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ABE" w:rsidRPr="004D3B1F" w:rsidRDefault="005E7ABE" w:rsidP="005E7ABE">
      <w:pPr>
        <w:rPr>
          <w:lang w:val="es-CR"/>
        </w:rPr>
      </w:pPr>
      <w:bookmarkStart w:id="0" w:name="_Toc478576406"/>
    </w:p>
    <w:p w:rsidR="005B3647" w:rsidRPr="00C37170" w:rsidRDefault="005B3647" w:rsidP="005B3647">
      <w:pPr>
        <w:rPr>
          <w:rFonts w:ascii="Palatino Linotype" w:hAnsi="Palatino Linotype"/>
        </w:rPr>
      </w:pPr>
    </w:p>
    <w:p w:rsidR="005B3647" w:rsidRDefault="005B3647" w:rsidP="005B3647">
      <w:pPr>
        <w:rPr>
          <w:rFonts w:ascii="Palatino Linotype" w:hAnsi="Palatino Linotype"/>
        </w:rPr>
      </w:pPr>
    </w:p>
    <w:p w:rsidR="005B3647" w:rsidRDefault="005B3647" w:rsidP="005B3647">
      <w:pPr>
        <w:rPr>
          <w:rFonts w:ascii="Palatino Linotype" w:hAnsi="Palatino Linotype"/>
        </w:rPr>
      </w:pPr>
    </w:p>
    <w:p w:rsidR="005B3647" w:rsidRPr="00C37170" w:rsidRDefault="005B3647" w:rsidP="005B3647">
      <w:pPr>
        <w:rPr>
          <w:rFonts w:ascii="Palatino Linotype" w:hAnsi="Palatino Linotype"/>
        </w:rPr>
      </w:pPr>
    </w:p>
    <w:p w:rsidR="005B3647" w:rsidRPr="00C37170" w:rsidRDefault="005B3647" w:rsidP="005B3647">
      <w:pPr>
        <w:rPr>
          <w:rFonts w:ascii="Palatino Linotype" w:hAnsi="Palatino Linotype"/>
        </w:rPr>
      </w:pPr>
    </w:p>
    <w:p w:rsidR="005B3647" w:rsidRPr="00C37170" w:rsidRDefault="005B3647" w:rsidP="005B3647">
      <w:pPr>
        <w:rPr>
          <w:rFonts w:ascii="Palatino Linotype" w:hAnsi="Palatino Linotype"/>
        </w:rPr>
      </w:pPr>
    </w:p>
    <w:p w:rsidR="005B3647" w:rsidRPr="00C37170" w:rsidRDefault="005B3647" w:rsidP="005B3647">
      <w:pPr>
        <w:rPr>
          <w:rFonts w:ascii="Palatino Linotype" w:hAnsi="Palatino Linotype"/>
        </w:rPr>
      </w:pPr>
    </w:p>
    <w:p w:rsidR="005B3647" w:rsidRPr="00C37170" w:rsidRDefault="005B3647" w:rsidP="005B3647">
      <w:pPr>
        <w:jc w:val="center"/>
        <w:rPr>
          <w:rFonts w:ascii="Palatino Linotype" w:hAnsi="Palatino Linotype"/>
          <w:b/>
          <w:sz w:val="36"/>
          <w:szCs w:val="36"/>
        </w:rPr>
      </w:pPr>
      <w:r w:rsidRPr="00C37170">
        <w:rPr>
          <w:rFonts w:ascii="Palatino Linotype" w:hAnsi="Palatino Linotype"/>
          <w:b/>
          <w:sz w:val="36"/>
          <w:szCs w:val="36"/>
        </w:rPr>
        <w:t>MEMORIAS DEL VI CONGRESO</w:t>
      </w:r>
    </w:p>
    <w:p w:rsidR="005B3647" w:rsidRDefault="005B3647" w:rsidP="005B3647">
      <w:pPr>
        <w:jc w:val="center"/>
        <w:rPr>
          <w:rFonts w:ascii="Palatino Linotype" w:hAnsi="Palatino Linotype"/>
          <w:b/>
          <w:sz w:val="36"/>
          <w:szCs w:val="36"/>
        </w:rPr>
      </w:pPr>
    </w:p>
    <w:p w:rsidR="005B3647" w:rsidRDefault="005B3647" w:rsidP="005B3647">
      <w:pPr>
        <w:jc w:val="center"/>
        <w:rPr>
          <w:rFonts w:ascii="Palatino Linotype" w:hAnsi="Palatino Linotype"/>
          <w:b/>
          <w:sz w:val="36"/>
          <w:szCs w:val="36"/>
        </w:rPr>
      </w:pPr>
      <w:r w:rsidRPr="00C37170">
        <w:rPr>
          <w:rFonts w:ascii="Palatino Linotype" w:hAnsi="Palatino Linotype"/>
          <w:b/>
          <w:sz w:val="36"/>
          <w:szCs w:val="36"/>
        </w:rPr>
        <w:t>INSTITUTO COSTARRICENSE DE DERECHO PROCESAL CIENTÍFICO</w:t>
      </w:r>
    </w:p>
    <w:p w:rsidR="005B3647" w:rsidRDefault="005B3647">
      <w:pPr>
        <w:widowControl/>
        <w:autoSpaceDE/>
        <w:autoSpaceDN/>
        <w:adjustRightInd/>
        <w:rPr>
          <w:rFonts w:ascii="Palatino Linotype" w:hAnsi="Palatino Linotype"/>
          <w:b/>
          <w:sz w:val="36"/>
          <w:szCs w:val="36"/>
        </w:rPr>
      </w:pPr>
      <w:r>
        <w:rPr>
          <w:rFonts w:ascii="Palatino Linotype" w:hAnsi="Palatino Linotype"/>
          <w:b/>
          <w:sz w:val="36"/>
          <w:szCs w:val="36"/>
        </w:rPr>
        <w:br w:type="page"/>
      </w:r>
    </w:p>
    <w:p w:rsidR="005B3647" w:rsidRPr="00C37170" w:rsidRDefault="005B3647" w:rsidP="005B3647">
      <w:pPr>
        <w:jc w:val="center"/>
        <w:rPr>
          <w:rFonts w:ascii="Palatino Linotype" w:hAnsi="Palatino Linotype"/>
        </w:rPr>
      </w:pPr>
    </w:p>
    <w:p w:rsidR="005B3647" w:rsidRPr="00C37170" w:rsidRDefault="005B3647" w:rsidP="005B3647">
      <w:pPr>
        <w:rPr>
          <w:rFonts w:ascii="Palatino Linotype" w:hAnsi="Palatino Linotype"/>
          <w:sz w:val="22"/>
          <w:szCs w:val="22"/>
        </w:rPr>
      </w:pPr>
      <w:r w:rsidRPr="00C37170">
        <w:rPr>
          <w:rFonts w:ascii="Palatino Linotype" w:hAnsi="Palatino Linotype"/>
          <w:sz w:val="22"/>
          <w:szCs w:val="22"/>
        </w:rPr>
        <w:t>340.05</w:t>
      </w:r>
    </w:p>
    <w:p w:rsidR="005B3647" w:rsidRPr="00C37170" w:rsidRDefault="005B3647" w:rsidP="005B3647">
      <w:pPr>
        <w:ind w:left="1416" w:hanging="1416"/>
        <w:rPr>
          <w:rFonts w:ascii="Palatino Linotype" w:hAnsi="Palatino Linotype"/>
          <w:sz w:val="22"/>
          <w:szCs w:val="22"/>
        </w:rPr>
      </w:pPr>
      <w:r w:rsidRPr="00C37170">
        <w:rPr>
          <w:rFonts w:ascii="Palatino Linotype" w:hAnsi="Palatino Linotype"/>
          <w:sz w:val="22"/>
          <w:szCs w:val="22"/>
        </w:rPr>
        <w:t xml:space="preserve">O-63º.    </w:t>
      </w:r>
      <w:r w:rsidRPr="00C37170">
        <w:rPr>
          <w:rFonts w:ascii="Palatino Linotype" w:hAnsi="Palatino Linotype"/>
          <w:sz w:val="22"/>
          <w:szCs w:val="22"/>
        </w:rPr>
        <w:tab/>
        <w:t>Las pruebas judiciales. En materia laboral, civil, contenciosa, penal, constitucional, ambiental / Carlos Picado V… (et al.).</w:t>
      </w:r>
    </w:p>
    <w:p w:rsidR="005B3647" w:rsidRPr="00C37170" w:rsidRDefault="005B3647" w:rsidP="005B3647">
      <w:pPr>
        <w:ind w:left="1416" w:hanging="1416"/>
        <w:rPr>
          <w:rFonts w:ascii="Palatino Linotype" w:hAnsi="Palatino Linotype"/>
          <w:sz w:val="22"/>
          <w:szCs w:val="22"/>
        </w:rPr>
      </w:pPr>
      <w:r w:rsidRPr="00C37170">
        <w:rPr>
          <w:rFonts w:ascii="Palatino Linotype" w:hAnsi="Palatino Linotype"/>
          <w:sz w:val="22"/>
          <w:szCs w:val="22"/>
        </w:rPr>
        <w:tab/>
        <w:t>1ª ed. San José, C. R.- Abril 2017.</w:t>
      </w:r>
    </w:p>
    <w:p w:rsidR="005B3647" w:rsidRPr="00C37170" w:rsidRDefault="005B3647" w:rsidP="005B3647">
      <w:pPr>
        <w:ind w:left="1416" w:hanging="1416"/>
        <w:rPr>
          <w:rFonts w:ascii="Palatino Linotype" w:hAnsi="Palatino Linotype"/>
          <w:sz w:val="22"/>
          <w:szCs w:val="22"/>
        </w:rPr>
      </w:pPr>
      <w:r w:rsidRPr="00C37170">
        <w:rPr>
          <w:rFonts w:ascii="Palatino Linotype" w:hAnsi="Palatino Linotype"/>
          <w:sz w:val="22"/>
          <w:szCs w:val="22"/>
        </w:rPr>
        <w:tab/>
        <w:t>658 p. 23 x 16 cm</w:t>
      </w:r>
    </w:p>
    <w:p w:rsidR="005B3647" w:rsidRPr="00C37170" w:rsidRDefault="005B3647" w:rsidP="005B3647">
      <w:pPr>
        <w:ind w:left="1416" w:hanging="1416"/>
        <w:rPr>
          <w:rFonts w:ascii="Palatino Linotype" w:hAnsi="Palatino Linotype"/>
          <w:sz w:val="22"/>
          <w:szCs w:val="22"/>
        </w:rPr>
      </w:pPr>
      <w:r w:rsidRPr="00C37170">
        <w:rPr>
          <w:rFonts w:ascii="Palatino Linotype" w:hAnsi="Palatino Linotype"/>
          <w:sz w:val="22"/>
          <w:szCs w:val="22"/>
        </w:rPr>
        <w:tab/>
        <w:t>ISBN  978-9977-13-576-2</w:t>
      </w:r>
    </w:p>
    <w:p w:rsidR="005B3647" w:rsidRPr="00C37170" w:rsidRDefault="005B3647" w:rsidP="005B3647">
      <w:pPr>
        <w:ind w:left="1416" w:hanging="1416"/>
        <w:rPr>
          <w:rFonts w:ascii="Palatino Linotype" w:hAnsi="Palatino Linotype"/>
          <w:sz w:val="22"/>
          <w:szCs w:val="22"/>
        </w:rPr>
      </w:pPr>
      <w:r w:rsidRPr="00C37170">
        <w:rPr>
          <w:rFonts w:ascii="Palatino Linotype" w:hAnsi="Palatino Linotype"/>
          <w:sz w:val="22"/>
          <w:szCs w:val="22"/>
        </w:rPr>
        <w:tab/>
        <w:t>1.- Prueba judicial.  2. Oralidad. 1. Carlos Picado. AA.VV. V. II Título</w:t>
      </w:r>
    </w:p>
    <w:p w:rsidR="005B3647" w:rsidRPr="00C37170" w:rsidRDefault="005B3647" w:rsidP="005B3647">
      <w:pPr>
        <w:rPr>
          <w:rFonts w:ascii="Palatino Linotype" w:hAnsi="Palatino Linotype"/>
          <w:sz w:val="22"/>
          <w:szCs w:val="22"/>
        </w:rPr>
      </w:pPr>
    </w:p>
    <w:p w:rsidR="005B3647" w:rsidRPr="00C37170" w:rsidRDefault="005B3647" w:rsidP="005B3647">
      <w:pPr>
        <w:rPr>
          <w:rFonts w:ascii="Palatino Linotype" w:hAnsi="Palatino Linotype"/>
          <w:sz w:val="22"/>
          <w:szCs w:val="22"/>
        </w:rPr>
      </w:pPr>
    </w:p>
    <w:p w:rsidR="005B3647" w:rsidRPr="00C37170" w:rsidRDefault="005B3647" w:rsidP="005B3647">
      <w:pPr>
        <w:rPr>
          <w:rFonts w:ascii="Palatino Linotype" w:eastAsia="Times New Roman" w:hAnsi="Palatino Linotype" w:cs="Helvetica"/>
          <w:color w:val="000000"/>
          <w:sz w:val="22"/>
          <w:szCs w:val="22"/>
        </w:rPr>
      </w:pPr>
    </w:p>
    <w:p w:rsidR="005B3647" w:rsidRPr="00C37170" w:rsidRDefault="005B3647" w:rsidP="005B3647">
      <w:pPr>
        <w:rPr>
          <w:rFonts w:ascii="Palatino Linotype" w:eastAsia="Times New Roman" w:hAnsi="Palatino Linotype" w:cs="Helvetica"/>
          <w:b/>
          <w:color w:val="000000"/>
          <w:sz w:val="22"/>
          <w:szCs w:val="22"/>
        </w:rPr>
      </w:pPr>
      <w:r w:rsidRPr="00C37170">
        <w:rPr>
          <w:rFonts w:ascii="Palatino Linotype" w:eastAsia="Times New Roman" w:hAnsi="Palatino Linotype" w:cs="Helvetica"/>
          <w:b/>
          <w:color w:val="000000"/>
          <w:sz w:val="22"/>
          <w:szCs w:val="22"/>
        </w:rPr>
        <w:t>Comité Editorial</w:t>
      </w:r>
    </w:p>
    <w:p w:rsidR="005B3647" w:rsidRPr="00C37170" w:rsidRDefault="005B3647" w:rsidP="005B3647">
      <w:pPr>
        <w:rPr>
          <w:rFonts w:ascii="Palatino Linotype" w:eastAsia="Times New Roman" w:hAnsi="Palatino Linotype" w:cs="Helvetica"/>
          <w:color w:val="000000"/>
          <w:sz w:val="22"/>
          <w:szCs w:val="22"/>
        </w:rPr>
      </w:pPr>
      <w:r w:rsidRPr="00C37170">
        <w:rPr>
          <w:rFonts w:ascii="Palatino Linotype" w:eastAsia="Times New Roman" w:hAnsi="Palatino Linotype" w:cs="Helvetica"/>
          <w:color w:val="000000"/>
          <w:sz w:val="22"/>
          <w:szCs w:val="22"/>
        </w:rPr>
        <w:t>Dr. Enrique Ulate Chacón</w:t>
      </w:r>
    </w:p>
    <w:p w:rsidR="005B3647" w:rsidRPr="00C37170" w:rsidRDefault="005B3647" w:rsidP="005B3647">
      <w:pPr>
        <w:rPr>
          <w:rFonts w:ascii="Palatino Linotype" w:eastAsia="Times New Roman" w:hAnsi="Palatino Linotype" w:cs="Helvetica"/>
          <w:color w:val="000000"/>
          <w:sz w:val="22"/>
          <w:szCs w:val="22"/>
        </w:rPr>
      </w:pPr>
      <w:r w:rsidRPr="00C37170">
        <w:rPr>
          <w:rFonts w:ascii="Palatino Linotype" w:eastAsia="Times New Roman" w:hAnsi="Palatino Linotype" w:cs="Helvetica"/>
          <w:color w:val="000000"/>
          <w:sz w:val="22"/>
          <w:szCs w:val="22"/>
        </w:rPr>
        <w:t>Dr. Carlos Picado Vargas</w:t>
      </w:r>
    </w:p>
    <w:p w:rsidR="005B3647" w:rsidRPr="00C37170" w:rsidRDefault="005B3647" w:rsidP="005B3647">
      <w:pPr>
        <w:rPr>
          <w:rFonts w:ascii="Palatino Linotype" w:eastAsia="Times New Roman" w:hAnsi="Palatino Linotype" w:cs="Helvetica"/>
          <w:color w:val="000000"/>
          <w:sz w:val="22"/>
          <w:szCs w:val="22"/>
        </w:rPr>
      </w:pPr>
      <w:r w:rsidRPr="00C37170">
        <w:rPr>
          <w:rFonts w:ascii="Palatino Linotype" w:eastAsia="Times New Roman" w:hAnsi="Palatino Linotype" w:cs="Helvetica"/>
          <w:color w:val="000000"/>
          <w:sz w:val="22"/>
          <w:szCs w:val="22"/>
        </w:rPr>
        <w:t>Dr. Shirley Víquez Vargas</w:t>
      </w:r>
    </w:p>
    <w:p w:rsidR="005B3647" w:rsidRDefault="005B3647" w:rsidP="005B3647">
      <w:pPr>
        <w:rPr>
          <w:rFonts w:ascii="Palatino Linotype" w:eastAsia="Times New Roman" w:hAnsi="Palatino Linotype" w:cs="Helvetica"/>
          <w:color w:val="000000"/>
        </w:rPr>
      </w:pPr>
      <w:r w:rsidRPr="00C37170">
        <w:rPr>
          <w:rFonts w:ascii="Palatino Linotype" w:eastAsia="Times New Roman" w:hAnsi="Palatino Linotype" w:cs="Helvetica"/>
          <w:color w:val="000000"/>
          <w:sz w:val="22"/>
          <w:szCs w:val="22"/>
        </w:rPr>
        <w:t>Dr. Álvaro Burgos Mata</w:t>
      </w:r>
    </w:p>
    <w:p w:rsidR="005B3647" w:rsidRPr="00C37170" w:rsidRDefault="005B3647" w:rsidP="005B3647">
      <w:pPr>
        <w:rPr>
          <w:rFonts w:ascii="Palatino Linotype" w:eastAsia="Times New Roman" w:hAnsi="Palatino Linotype" w:cs="Helvetica"/>
          <w:color w:val="000000"/>
          <w:sz w:val="22"/>
          <w:szCs w:val="22"/>
        </w:rPr>
      </w:pPr>
      <w:r>
        <w:rPr>
          <w:rFonts w:ascii="Palatino Linotype" w:eastAsia="Times New Roman" w:hAnsi="Palatino Linotype" w:cs="Helvetica"/>
          <w:color w:val="000000"/>
        </w:rPr>
        <w:t>Lic. Jonatán Picado León</w:t>
      </w:r>
    </w:p>
    <w:p w:rsidR="005B3647" w:rsidRPr="00C37170" w:rsidRDefault="005B3647" w:rsidP="005B3647">
      <w:pPr>
        <w:rPr>
          <w:rFonts w:ascii="Palatino Linotype" w:eastAsia="Times New Roman" w:hAnsi="Palatino Linotype" w:cs="Helvetica"/>
          <w:color w:val="000000"/>
          <w:sz w:val="22"/>
          <w:szCs w:val="22"/>
        </w:rPr>
      </w:pPr>
    </w:p>
    <w:p w:rsidR="005B3647" w:rsidRPr="00C37170" w:rsidRDefault="005B3647" w:rsidP="005B3647">
      <w:pPr>
        <w:rPr>
          <w:rFonts w:ascii="Palatino Linotype" w:eastAsia="Times New Roman" w:hAnsi="Palatino Linotype" w:cs="Helvetica"/>
          <w:b/>
          <w:color w:val="000000"/>
          <w:sz w:val="22"/>
          <w:szCs w:val="22"/>
        </w:rPr>
      </w:pPr>
      <w:r w:rsidRPr="00C37170">
        <w:rPr>
          <w:rFonts w:ascii="Palatino Linotype" w:eastAsia="Times New Roman" w:hAnsi="Palatino Linotype" w:cs="Helvetica"/>
          <w:b/>
          <w:color w:val="000000"/>
          <w:sz w:val="22"/>
          <w:szCs w:val="22"/>
        </w:rPr>
        <w:t>Consejo Editorial</w:t>
      </w:r>
    </w:p>
    <w:p w:rsidR="005B3647" w:rsidRPr="00C37170" w:rsidRDefault="005B3647" w:rsidP="005B3647">
      <w:pPr>
        <w:rPr>
          <w:rFonts w:ascii="Palatino Linotype" w:eastAsia="Times New Roman" w:hAnsi="Palatino Linotype" w:cs="Helvetica"/>
          <w:color w:val="000000"/>
          <w:sz w:val="22"/>
          <w:szCs w:val="22"/>
        </w:rPr>
      </w:pPr>
      <w:r w:rsidRPr="00C37170">
        <w:rPr>
          <w:rFonts w:ascii="Palatino Linotype" w:eastAsia="Times New Roman" w:hAnsi="Palatino Linotype" w:cs="Helvetica"/>
          <w:color w:val="000000"/>
          <w:sz w:val="22"/>
          <w:szCs w:val="22"/>
        </w:rPr>
        <w:t>Dr. Ricardo Zeledón Zeledón</w:t>
      </w:r>
    </w:p>
    <w:p w:rsidR="005B3647" w:rsidRDefault="005B3647" w:rsidP="005B3647">
      <w:pPr>
        <w:rPr>
          <w:rFonts w:ascii="Palatino Linotype" w:eastAsia="Times New Roman" w:hAnsi="Palatino Linotype" w:cs="Helvetica"/>
          <w:color w:val="000000"/>
        </w:rPr>
      </w:pPr>
      <w:r>
        <w:rPr>
          <w:rFonts w:ascii="Palatino Linotype" w:eastAsia="Times New Roman" w:hAnsi="Palatino Linotype" w:cs="Helvetica"/>
          <w:color w:val="000000"/>
        </w:rPr>
        <w:t>Msc</w:t>
      </w:r>
      <w:r w:rsidRPr="00C37170">
        <w:rPr>
          <w:rFonts w:ascii="Palatino Linotype" w:eastAsia="Times New Roman" w:hAnsi="Palatino Linotype" w:cs="Helvetica"/>
          <w:color w:val="000000"/>
          <w:sz w:val="22"/>
          <w:szCs w:val="22"/>
        </w:rPr>
        <w:t xml:space="preserve">. </w:t>
      </w:r>
      <w:r>
        <w:rPr>
          <w:rFonts w:ascii="Palatino Linotype" w:eastAsia="Times New Roman" w:hAnsi="Palatino Linotype" w:cs="Helvetica"/>
          <w:color w:val="000000"/>
        </w:rPr>
        <w:t>Luis Ortíz Zamora</w:t>
      </w:r>
    </w:p>
    <w:p w:rsidR="005B3647" w:rsidRDefault="005B3647" w:rsidP="005B3647">
      <w:pPr>
        <w:rPr>
          <w:rFonts w:ascii="Palatino Linotype" w:eastAsia="Times New Roman" w:hAnsi="Palatino Linotype" w:cs="Helvetica"/>
          <w:color w:val="000000"/>
        </w:rPr>
      </w:pPr>
      <w:r>
        <w:rPr>
          <w:rFonts w:ascii="Palatino Linotype" w:eastAsia="Times New Roman" w:hAnsi="Palatino Linotype" w:cs="Helvetica"/>
          <w:color w:val="000000"/>
        </w:rPr>
        <w:t>Msc. Herman Duarte</w:t>
      </w:r>
    </w:p>
    <w:p w:rsidR="005B3647" w:rsidRPr="00C37170" w:rsidRDefault="005B3647" w:rsidP="005B3647">
      <w:pPr>
        <w:rPr>
          <w:rFonts w:ascii="Palatino Linotype" w:eastAsia="Times New Roman" w:hAnsi="Palatino Linotype" w:cs="Helvetica"/>
          <w:color w:val="000000"/>
          <w:sz w:val="22"/>
          <w:szCs w:val="22"/>
        </w:rPr>
      </w:pPr>
      <w:r>
        <w:rPr>
          <w:rFonts w:ascii="Palatino Linotype" w:eastAsia="Times New Roman" w:hAnsi="Palatino Linotype" w:cs="Helvetica"/>
          <w:color w:val="000000"/>
        </w:rPr>
        <w:t>Dr. Herman Mora</w:t>
      </w:r>
    </w:p>
    <w:p w:rsidR="005B3647" w:rsidRPr="00C37170" w:rsidRDefault="005B3647" w:rsidP="005B3647">
      <w:pPr>
        <w:rPr>
          <w:rFonts w:ascii="Palatino Linotype" w:eastAsia="Times New Roman" w:hAnsi="Palatino Linotype" w:cs="Helvetica"/>
          <w:color w:val="000000"/>
          <w:sz w:val="22"/>
          <w:szCs w:val="22"/>
        </w:rPr>
      </w:pPr>
      <w:r w:rsidRPr="00C37170">
        <w:rPr>
          <w:rFonts w:ascii="Palatino Linotype" w:eastAsia="Times New Roman" w:hAnsi="Palatino Linotype" w:cs="Helvetica"/>
          <w:color w:val="000000"/>
          <w:sz w:val="22"/>
          <w:szCs w:val="22"/>
        </w:rPr>
        <w:t>Dr. Juan Marcos Rivero Sánchez</w:t>
      </w:r>
    </w:p>
    <w:p w:rsidR="005B3647" w:rsidRPr="00C37170" w:rsidRDefault="005B3647" w:rsidP="005B3647">
      <w:pPr>
        <w:rPr>
          <w:rFonts w:ascii="Palatino Linotype" w:eastAsia="Times New Roman" w:hAnsi="Palatino Linotype" w:cs="Helvetica"/>
          <w:color w:val="000000"/>
          <w:sz w:val="22"/>
          <w:szCs w:val="22"/>
        </w:rPr>
      </w:pPr>
      <w:r w:rsidRPr="00C37170">
        <w:rPr>
          <w:rFonts w:ascii="Palatino Linotype" w:eastAsia="Times New Roman" w:hAnsi="Palatino Linotype" w:cs="Helvetica"/>
          <w:color w:val="000000"/>
          <w:sz w:val="22"/>
          <w:szCs w:val="22"/>
        </w:rPr>
        <w:t>Dr. Carlos Picado Vargas</w:t>
      </w:r>
    </w:p>
    <w:p w:rsidR="005B3647" w:rsidRPr="00C37170" w:rsidRDefault="005B3647" w:rsidP="005B3647">
      <w:pPr>
        <w:rPr>
          <w:rFonts w:ascii="Palatino Linotype" w:eastAsia="Times New Roman" w:hAnsi="Palatino Linotype" w:cs="Helvetica"/>
          <w:color w:val="000000"/>
          <w:sz w:val="22"/>
          <w:szCs w:val="22"/>
        </w:rPr>
      </w:pPr>
      <w:r w:rsidRPr="00C37170">
        <w:rPr>
          <w:rFonts w:ascii="Palatino Linotype" w:eastAsia="Times New Roman" w:hAnsi="Palatino Linotype" w:cs="Helvetica"/>
          <w:color w:val="000000"/>
          <w:sz w:val="22"/>
          <w:szCs w:val="22"/>
        </w:rPr>
        <w:t>Dr. Sergio Artavia Barrantes</w:t>
      </w:r>
    </w:p>
    <w:p w:rsidR="005B3647" w:rsidRPr="00C37170" w:rsidRDefault="005B3647" w:rsidP="005B3647">
      <w:pPr>
        <w:rPr>
          <w:rFonts w:ascii="Palatino Linotype" w:eastAsia="Times New Roman" w:hAnsi="Palatino Linotype" w:cs="Helvetica"/>
          <w:sz w:val="22"/>
          <w:szCs w:val="22"/>
        </w:rPr>
      </w:pPr>
    </w:p>
    <w:p w:rsidR="005B3647" w:rsidRPr="00C37170" w:rsidRDefault="005B3647" w:rsidP="005B3647">
      <w:pPr>
        <w:rPr>
          <w:rFonts w:ascii="Palatino Linotype" w:eastAsia="Times New Roman" w:hAnsi="Palatino Linotype" w:cs="Helvetica"/>
          <w:sz w:val="22"/>
          <w:szCs w:val="22"/>
        </w:rPr>
      </w:pPr>
      <w:r w:rsidRPr="00C37170">
        <w:rPr>
          <w:rFonts w:ascii="Palatino Linotype" w:eastAsia="Times New Roman" w:hAnsi="Palatino Linotype" w:cs="Helvetica"/>
          <w:sz w:val="22"/>
          <w:szCs w:val="22"/>
        </w:rPr>
        <w:tab/>
        <w:t xml:space="preserve">Instituto Costarricense de Derecho Procesal Científico. </w:t>
      </w:r>
      <w:r w:rsidRPr="00C37170">
        <w:rPr>
          <w:rFonts w:ascii="Palatino Linotype" w:eastAsia="Times New Roman" w:hAnsi="Palatino Linotype" w:cs="Helvetica"/>
          <w:sz w:val="22"/>
          <w:szCs w:val="22"/>
          <w:lang w:val="en-US"/>
        </w:rPr>
        <w:t xml:space="preserve">Telf. 2234-0728. Fax. 2253-5657.  </w:t>
      </w:r>
      <w:hyperlink r:id="rId8" w:history="1">
        <w:r w:rsidRPr="00C37170">
          <w:rPr>
            <w:rStyle w:val="Hipervnculo"/>
            <w:rFonts w:ascii="Palatino Linotype" w:eastAsia="Times New Roman" w:hAnsi="Palatino Linotype" w:cs="Helvetica"/>
            <w:sz w:val="22"/>
            <w:szCs w:val="22"/>
            <w:lang w:val="en-US"/>
          </w:rPr>
          <w:t>www.institutocdp.org</w:t>
        </w:r>
      </w:hyperlink>
      <w:r w:rsidRPr="00C37170">
        <w:rPr>
          <w:rFonts w:ascii="Palatino Linotype" w:eastAsia="Times New Roman" w:hAnsi="Palatino Linotype" w:cs="Helvetica"/>
          <w:sz w:val="22"/>
          <w:szCs w:val="22"/>
          <w:lang w:val="en-US"/>
        </w:rPr>
        <w:t xml:space="preserve">.  </w:t>
      </w:r>
      <w:hyperlink r:id="rId9" w:history="1">
        <w:r w:rsidRPr="00C37170">
          <w:rPr>
            <w:rStyle w:val="Hipervnculo"/>
            <w:rFonts w:ascii="Palatino Linotype" w:eastAsia="Times New Roman" w:hAnsi="Palatino Linotype" w:cs="Helvetica"/>
            <w:sz w:val="22"/>
            <w:szCs w:val="22"/>
          </w:rPr>
          <w:t>info@institutocdp.org</w:t>
        </w:r>
      </w:hyperlink>
      <w:r w:rsidRPr="00C37170">
        <w:rPr>
          <w:rFonts w:ascii="Palatino Linotype" w:eastAsia="Times New Roman" w:hAnsi="Palatino Linotype" w:cs="Helvetica"/>
          <w:sz w:val="22"/>
          <w:szCs w:val="22"/>
        </w:rPr>
        <w:t xml:space="preserve">. </w:t>
      </w:r>
    </w:p>
    <w:p w:rsidR="005B3647" w:rsidRDefault="005B3647" w:rsidP="005B3647">
      <w:pPr>
        <w:rPr>
          <w:rFonts w:ascii="Palatino Linotype" w:eastAsia="Times New Roman" w:hAnsi="Palatino Linotype" w:cs="Helvetica"/>
        </w:rPr>
        <w:sectPr w:rsidR="005B3647" w:rsidSect="00FC1DF6">
          <w:footerReference w:type="even" r:id="rId10"/>
          <w:footerReference w:type="default" r:id="rId11"/>
          <w:footerReference w:type="first" r:id="rId12"/>
          <w:type w:val="oddPage"/>
          <w:pgSz w:w="12240" w:h="15840" w:code="1"/>
          <w:pgMar w:top="1667" w:right="851" w:bottom="4253" w:left="3686" w:header="1021" w:footer="3005" w:gutter="0"/>
          <w:cols w:space="708"/>
          <w:titlePg/>
          <w:docGrid w:linePitch="360"/>
        </w:sectPr>
      </w:pPr>
      <w:r w:rsidRPr="00C37170">
        <w:rPr>
          <w:rFonts w:ascii="Palatino Linotype" w:eastAsia="Times New Roman" w:hAnsi="Palatino Linotype" w:cs="Helvetica"/>
          <w:sz w:val="22"/>
          <w:szCs w:val="22"/>
        </w:rPr>
        <w:tab/>
        <w:t xml:space="preserve">Editorial Jurídica Faro. Telf. 2234-0233.  </w:t>
      </w:r>
      <w:hyperlink r:id="rId13" w:history="1">
        <w:r w:rsidRPr="00C37170">
          <w:rPr>
            <w:rStyle w:val="Hipervnculo"/>
            <w:rFonts w:ascii="Palatino Linotype" w:eastAsia="Times New Roman" w:hAnsi="Palatino Linotype" w:cs="Helvetica"/>
            <w:sz w:val="22"/>
            <w:szCs w:val="22"/>
          </w:rPr>
          <w:t>www.editorialfaro.com</w:t>
        </w:r>
      </w:hyperlink>
      <w:r w:rsidRPr="00C37170">
        <w:rPr>
          <w:rFonts w:ascii="Palatino Linotype" w:eastAsia="Times New Roman" w:hAnsi="Palatino Linotype" w:cs="Helvetica"/>
        </w:rPr>
        <w:t xml:space="preserve"> </w:t>
      </w:r>
    </w:p>
    <w:p w:rsidR="005B3647" w:rsidRPr="00C37170" w:rsidRDefault="005B3647" w:rsidP="005B3647">
      <w:pPr>
        <w:rPr>
          <w:rFonts w:ascii="Palatino Linotype" w:eastAsia="Times New Roman" w:hAnsi="Palatino Linotype" w:cs="Helvetica"/>
        </w:rPr>
      </w:pPr>
    </w:p>
    <w:p w:rsidR="005B3647" w:rsidRPr="00C37170" w:rsidRDefault="005B3647" w:rsidP="005B3647">
      <w:pPr>
        <w:rPr>
          <w:rFonts w:ascii="Palatino Linotype" w:eastAsia="Times New Roman" w:hAnsi="Palatino Linotype" w:cs="Helvetica"/>
          <w:color w:val="000000"/>
        </w:rPr>
      </w:pPr>
    </w:p>
    <w:p w:rsidR="005B3647" w:rsidRPr="00C37170" w:rsidRDefault="005B3647" w:rsidP="005B3647">
      <w:pPr>
        <w:rPr>
          <w:rFonts w:ascii="Palatino Linotype" w:eastAsia="Times New Roman" w:hAnsi="Palatino Linotype" w:cs="Helvetica"/>
          <w:color w:val="000000"/>
        </w:rPr>
      </w:pPr>
      <w:r w:rsidRPr="00C37170">
        <w:rPr>
          <w:rFonts w:ascii="Palatino Linotype" w:eastAsia="Times New Roman" w:hAnsi="Palatino Linotype" w:cs="Helvetica"/>
          <w:color w:val="000000"/>
        </w:rPr>
        <w:t xml:space="preserve"> </w:t>
      </w:r>
    </w:p>
    <w:p w:rsidR="005B3647" w:rsidRPr="00C37170" w:rsidRDefault="005B3647" w:rsidP="005B3647">
      <w:pPr>
        <w:rPr>
          <w:rFonts w:ascii="Palatino Linotype" w:eastAsia="Times New Roman" w:hAnsi="Palatino Linotype" w:cs="Helvetica"/>
          <w:color w:val="000000"/>
        </w:rPr>
      </w:pPr>
    </w:p>
    <w:p w:rsidR="005B3647" w:rsidRPr="00C37170" w:rsidRDefault="005B3647" w:rsidP="005B3647">
      <w:pPr>
        <w:jc w:val="center"/>
        <w:rPr>
          <w:rFonts w:ascii="Palatino Linotype" w:hAnsi="Palatino Linotype"/>
          <w:b/>
          <w:sz w:val="36"/>
          <w:szCs w:val="36"/>
        </w:rPr>
      </w:pPr>
      <w:r w:rsidRPr="00C37170">
        <w:rPr>
          <w:rFonts w:ascii="Palatino Linotype" w:hAnsi="Palatino Linotype"/>
          <w:b/>
          <w:sz w:val="36"/>
          <w:szCs w:val="36"/>
        </w:rPr>
        <w:t>INSTITUTO COSTARRICENSE DE DERECHO PROCESAL CIENTÍFICO</w:t>
      </w:r>
    </w:p>
    <w:p w:rsidR="005B3647" w:rsidRDefault="005B3647" w:rsidP="005B3647">
      <w:pPr>
        <w:jc w:val="center"/>
        <w:rPr>
          <w:rFonts w:ascii="Palatino Linotype" w:hAnsi="Palatino Linotype"/>
        </w:rPr>
      </w:pPr>
    </w:p>
    <w:p w:rsidR="005B3647" w:rsidRDefault="005B3647" w:rsidP="005B3647">
      <w:pPr>
        <w:jc w:val="center"/>
        <w:rPr>
          <w:rFonts w:ascii="Palatino Linotype" w:hAnsi="Palatino Linotype"/>
        </w:rPr>
      </w:pPr>
    </w:p>
    <w:p w:rsidR="005B3647" w:rsidRPr="00C37170" w:rsidRDefault="005B3647" w:rsidP="005B3647">
      <w:pPr>
        <w:rPr>
          <w:rFonts w:ascii="Palatino Linotype" w:hAnsi="Palatino Linotype"/>
        </w:rPr>
      </w:pPr>
    </w:p>
    <w:p w:rsidR="005B3647" w:rsidRPr="00C37170" w:rsidRDefault="005B3647" w:rsidP="005B3647">
      <w:pPr>
        <w:jc w:val="center"/>
        <w:rPr>
          <w:rFonts w:ascii="Palatino Linotype" w:hAnsi="Palatino Linotype"/>
          <w:sz w:val="36"/>
          <w:szCs w:val="36"/>
        </w:rPr>
      </w:pPr>
      <w:r w:rsidRPr="00C37170">
        <w:rPr>
          <w:rFonts w:ascii="Palatino Linotype" w:hAnsi="Palatino Linotype"/>
          <w:sz w:val="36"/>
          <w:szCs w:val="36"/>
        </w:rPr>
        <w:t>MEMORIAS DEL VI CONGRESO INTERNACIONAL</w:t>
      </w:r>
    </w:p>
    <w:p w:rsidR="005B3647" w:rsidRPr="00C37170" w:rsidRDefault="005B3647" w:rsidP="005B3647">
      <w:pPr>
        <w:jc w:val="center"/>
        <w:rPr>
          <w:rFonts w:ascii="Palatino Linotype" w:hAnsi="Palatino Linotype"/>
        </w:rPr>
      </w:pPr>
      <w:r w:rsidRPr="00C37170">
        <w:rPr>
          <w:rFonts w:ascii="Palatino Linotype" w:hAnsi="Palatino Linotype"/>
          <w:sz w:val="36"/>
          <w:szCs w:val="36"/>
        </w:rPr>
        <w:t>DE DERECHO PROCESAL</w:t>
      </w:r>
    </w:p>
    <w:p w:rsidR="005B3647" w:rsidRPr="00C37170" w:rsidRDefault="005B3647" w:rsidP="005B3647">
      <w:pPr>
        <w:jc w:val="center"/>
        <w:rPr>
          <w:rFonts w:ascii="Palatino Linotype" w:hAnsi="Palatino Linotype"/>
        </w:rPr>
      </w:pPr>
      <w:r>
        <w:rPr>
          <w:rFonts w:ascii="Palatino Linotype" w:hAnsi="Palatino Linotype"/>
        </w:rPr>
        <w:t>San José – Abril 2016</w:t>
      </w:r>
    </w:p>
    <w:p w:rsidR="005B3647" w:rsidRPr="00C37170" w:rsidRDefault="005B3647" w:rsidP="005B3647">
      <w:pPr>
        <w:jc w:val="center"/>
        <w:rPr>
          <w:rFonts w:ascii="Palatino Linotype" w:hAnsi="Palatino Linotype"/>
        </w:rPr>
      </w:pPr>
    </w:p>
    <w:p w:rsidR="005B3647" w:rsidRPr="00C37170" w:rsidRDefault="005B3647" w:rsidP="005B3647">
      <w:pPr>
        <w:jc w:val="center"/>
        <w:rPr>
          <w:rFonts w:ascii="Palatino Linotype" w:hAnsi="Palatino Linotype"/>
        </w:rPr>
      </w:pPr>
    </w:p>
    <w:p w:rsidR="005B3647" w:rsidRPr="00C37170" w:rsidRDefault="005B3647" w:rsidP="005B3647">
      <w:pPr>
        <w:jc w:val="center"/>
        <w:rPr>
          <w:rFonts w:ascii="Palatino Linotype" w:hAnsi="Palatino Linotype"/>
          <w:b/>
          <w:sz w:val="36"/>
          <w:szCs w:val="36"/>
        </w:rPr>
      </w:pPr>
      <w:r w:rsidRPr="00C37170">
        <w:rPr>
          <w:rFonts w:ascii="Palatino Linotype" w:hAnsi="Palatino Linotype"/>
          <w:b/>
          <w:sz w:val="36"/>
          <w:szCs w:val="36"/>
        </w:rPr>
        <w:t>LAS PRUEBAS JUDICIALES</w:t>
      </w:r>
    </w:p>
    <w:p w:rsidR="005B3647" w:rsidRPr="00C37170" w:rsidRDefault="005B3647" w:rsidP="005B3647">
      <w:pPr>
        <w:jc w:val="center"/>
        <w:rPr>
          <w:rFonts w:ascii="Palatino Linotype" w:hAnsi="Palatino Linotype"/>
          <w:sz w:val="22"/>
          <w:szCs w:val="22"/>
        </w:rPr>
      </w:pPr>
      <w:r w:rsidRPr="00C37170">
        <w:rPr>
          <w:rFonts w:ascii="Palatino Linotype" w:hAnsi="Palatino Linotype"/>
          <w:sz w:val="22"/>
          <w:szCs w:val="22"/>
        </w:rPr>
        <w:t>COLABORADORES</w:t>
      </w:r>
    </w:p>
    <w:p w:rsidR="005B3647" w:rsidRPr="00C37170" w:rsidRDefault="005B3647" w:rsidP="005B3647">
      <w:pPr>
        <w:rPr>
          <w:rFonts w:ascii="Palatino Linotype" w:hAnsi="Palatino Linotype"/>
          <w:b/>
        </w:rPr>
      </w:pPr>
    </w:p>
    <w:p w:rsidR="005B3647" w:rsidRDefault="005B3647" w:rsidP="005B3647">
      <w:pPr>
        <w:rPr>
          <w:rFonts w:ascii="Palatino Linotype" w:hAnsi="Palatino Linotype"/>
        </w:rPr>
      </w:pPr>
      <w:r>
        <w:rPr>
          <w:rFonts w:ascii="Palatino Linotype" w:hAnsi="Palatino Linotype"/>
        </w:rPr>
        <w:t>Jordi Ferrer Beltrán</w:t>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Carmen Vazquez</w:t>
      </w:r>
    </w:p>
    <w:p w:rsidR="005B3647" w:rsidRDefault="005B3647" w:rsidP="005B3647">
      <w:pPr>
        <w:rPr>
          <w:rFonts w:ascii="Palatino Linotype" w:hAnsi="Palatino Linotype"/>
        </w:rPr>
      </w:pPr>
      <w:r>
        <w:rPr>
          <w:rFonts w:ascii="Palatino Linotype" w:hAnsi="Palatino Linotype"/>
        </w:rPr>
        <w:t>Enrique Ulate Chacón</w:t>
      </w:r>
      <w:r>
        <w:rPr>
          <w:rFonts w:ascii="Palatino Linotype" w:hAnsi="Palatino Linotype"/>
        </w:rPr>
        <w:tab/>
      </w:r>
      <w:r>
        <w:rPr>
          <w:rFonts w:ascii="Palatino Linotype" w:hAnsi="Palatino Linotype"/>
        </w:rPr>
        <w:tab/>
      </w:r>
      <w:r>
        <w:rPr>
          <w:rFonts w:ascii="Palatino Linotype" w:hAnsi="Palatino Linotype"/>
        </w:rPr>
        <w:tab/>
        <w:t>Alvaro Burgos</w:t>
      </w:r>
      <w:r>
        <w:rPr>
          <w:rFonts w:ascii="Palatino Linotype" w:hAnsi="Palatino Linotype"/>
        </w:rPr>
        <w:tab/>
      </w:r>
      <w:r>
        <w:rPr>
          <w:rFonts w:ascii="Palatino Linotype" w:hAnsi="Palatino Linotype"/>
        </w:rPr>
        <w:tab/>
      </w:r>
    </w:p>
    <w:p w:rsidR="005B3647" w:rsidRDefault="005B3647" w:rsidP="005B3647">
      <w:pPr>
        <w:rPr>
          <w:rFonts w:ascii="Palatino Linotype" w:hAnsi="Palatino Linotype"/>
        </w:rPr>
      </w:pPr>
      <w:r>
        <w:rPr>
          <w:rFonts w:ascii="Palatino Linotype" w:hAnsi="Palatino Linotype"/>
        </w:rPr>
        <w:t>J. Roberto Garita Navarro</w:t>
      </w:r>
      <w:r>
        <w:rPr>
          <w:rFonts w:ascii="Palatino Linotype" w:hAnsi="Palatino Linotype"/>
        </w:rPr>
        <w:tab/>
      </w:r>
      <w:r>
        <w:rPr>
          <w:rFonts w:ascii="Palatino Linotype" w:hAnsi="Palatino Linotype"/>
        </w:rPr>
        <w:tab/>
      </w:r>
      <w:r>
        <w:rPr>
          <w:rFonts w:ascii="Palatino Linotype" w:hAnsi="Palatino Linotype"/>
        </w:rPr>
        <w:tab/>
        <w:t xml:space="preserve">Haideer Miranda Bonilla </w:t>
      </w:r>
    </w:p>
    <w:p w:rsidR="005B3647" w:rsidRDefault="005B3647" w:rsidP="005B3647">
      <w:pPr>
        <w:rPr>
          <w:rFonts w:ascii="Palatino Linotype" w:hAnsi="Palatino Linotype"/>
        </w:rPr>
      </w:pPr>
      <w:r w:rsidRPr="00C37170">
        <w:rPr>
          <w:rFonts w:ascii="Palatino Linotype" w:hAnsi="Palatino Linotype"/>
        </w:rPr>
        <w:t>Maureen Jiménez Gómez</w:t>
      </w:r>
      <w:r w:rsidRPr="00C37170">
        <w:rPr>
          <w:rFonts w:ascii="Palatino Linotype" w:hAnsi="Palatino Linotype"/>
        </w:rPr>
        <w:tab/>
      </w:r>
      <w:r w:rsidRPr="00C37170">
        <w:rPr>
          <w:rFonts w:ascii="Palatino Linotype" w:hAnsi="Palatino Linotype"/>
        </w:rPr>
        <w:tab/>
      </w:r>
      <w:r>
        <w:rPr>
          <w:rFonts w:ascii="Palatino Linotype" w:hAnsi="Palatino Linotype"/>
        </w:rPr>
        <w:tab/>
        <w:t>Carlos Picado Vargas</w:t>
      </w:r>
    </w:p>
    <w:p w:rsidR="005B3647" w:rsidRDefault="005B3647" w:rsidP="005B3647">
      <w:pPr>
        <w:rPr>
          <w:rFonts w:ascii="Palatino Linotype" w:hAnsi="Palatino Linotype"/>
        </w:rPr>
      </w:pPr>
      <w:r>
        <w:rPr>
          <w:rFonts w:ascii="Palatino Linotype" w:hAnsi="Palatino Linotype"/>
        </w:rPr>
        <w:t>Yuri López Casal</w:t>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Farid Suárez</w:t>
      </w:r>
    </w:p>
    <w:p w:rsidR="005B3647" w:rsidRDefault="005B3647" w:rsidP="005B3647">
      <w:pPr>
        <w:rPr>
          <w:rFonts w:ascii="Palatino Linotype" w:hAnsi="Palatino Linotype"/>
        </w:rPr>
      </w:pPr>
      <w:r>
        <w:rPr>
          <w:rFonts w:ascii="Palatino Linotype" w:hAnsi="Palatino Linotype"/>
        </w:rPr>
        <w:t xml:space="preserve">Ricardo Zeledón Zeledón </w:t>
      </w:r>
      <w:r>
        <w:rPr>
          <w:rFonts w:ascii="Palatino Linotype" w:hAnsi="Palatino Linotype"/>
        </w:rPr>
        <w:tab/>
      </w:r>
      <w:r>
        <w:rPr>
          <w:rFonts w:ascii="Palatino Linotype" w:hAnsi="Palatino Linotype"/>
        </w:rPr>
        <w:tab/>
      </w:r>
      <w:r>
        <w:rPr>
          <w:rFonts w:ascii="Palatino Linotype" w:hAnsi="Palatino Linotype"/>
        </w:rPr>
        <w:tab/>
        <w:t>Luis Ortíz Zamora</w:t>
      </w:r>
    </w:p>
    <w:p w:rsidR="005B3647" w:rsidRDefault="005B3647" w:rsidP="005B3647">
      <w:pPr>
        <w:rPr>
          <w:rFonts w:ascii="Palatino Linotype" w:hAnsi="Palatino Linotype"/>
        </w:rPr>
      </w:pPr>
      <w:r>
        <w:rPr>
          <w:rFonts w:ascii="Palatino Linotype" w:hAnsi="Palatino Linotype"/>
        </w:rPr>
        <w:t>Herman Mora</w:t>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Herman Duarte</w:t>
      </w:r>
    </w:p>
    <w:p w:rsidR="005B3647" w:rsidRDefault="005B3647" w:rsidP="005B3647">
      <w:pPr>
        <w:rPr>
          <w:rFonts w:ascii="Palatino Linotype" w:hAnsi="Palatino Linotype"/>
        </w:rPr>
      </w:pPr>
      <w:r>
        <w:rPr>
          <w:rFonts w:ascii="Palatino Linotype" w:hAnsi="Palatino Linotype"/>
        </w:rPr>
        <w:t>Mario Peña Chacón</w:t>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Pablo José Porras Barahona</w:t>
      </w:r>
    </w:p>
    <w:p w:rsidR="005B3647" w:rsidRDefault="005B3647" w:rsidP="005B3647">
      <w:pPr>
        <w:rPr>
          <w:rFonts w:ascii="Palatino Linotype" w:hAnsi="Palatino Linotype"/>
        </w:rPr>
        <w:sectPr w:rsidR="005B3647" w:rsidSect="00FC1DF6">
          <w:type w:val="oddPage"/>
          <w:pgSz w:w="12240" w:h="15840" w:code="1"/>
          <w:pgMar w:top="1667" w:right="851" w:bottom="4253" w:left="3686" w:header="1021" w:footer="3005" w:gutter="0"/>
          <w:cols w:space="708"/>
          <w:titlePg/>
          <w:docGrid w:linePitch="360"/>
        </w:sectPr>
      </w:pPr>
      <w:r>
        <w:rPr>
          <w:rFonts w:ascii="Palatino Linotype" w:hAnsi="Palatino Linotype"/>
        </w:rPr>
        <w:t>Sergio Artavia B.</w:t>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p>
    <w:p w:rsidR="005B3647" w:rsidRPr="00C37170" w:rsidRDefault="005B3647" w:rsidP="005B3647">
      <w:pPr>
        <w:rPr>
          <w:rFonts w:ascii="Palatino Linotype" w:hAnsi="Palatino Linotype"/>
        </w:rPr>
      </w:pPr>
    </w:p>
    <w:p w:rsidR="005B3647" w:rsidRDefault="005B3647" w:rsidP="005B3647">
      <w:pPr>
        <w:jc w:val="both"/>
        <w:rPr>
          <w:rFonts w:ascii="Palatino Linotype" w:hAnsi="Palatino Linotype"/>
        </w:rPr>
      </w:pPr>
    </w:p>
    <w:p w:rsidR="005B3647" w:rsidRDefault="005B3647" w:rsidP="005B3647">
      <w:pPr>
        <w:rPr>
          <w:rFonts w:ascii="Palatino Linotype" w:hAnsi="Palatino Linotype"/>
        </w:rPr>
      </w:pPr>
    </w:p>
    <w:p w:rsidR="005B3647" w:rsidRDefault="005B3647" w:rsidP="005B3647">
      <w:pPr>
        <w:jc w:val="center"/>
        <w:rPr>
          <w:rFonts w:ascii="Palatino Linotype" w:hAnsi="Palatino Linotype"/>
        </w:rPr>
      </w:pPr>
      <w:r>
        <w:rPr>
          <w:rFonts w:ascii="Palatino Linotype" w:hAnsi="Palatino Linotype"/>
        </w:rPr>
        <w:t>INTRODUCCIÓN</w:t>
      </w:r>
    </w:p>
    <w:p w:rsidR="005B3647" w:rsidRDefault="005B3647" w:rsidP="005B3647">
      <w:pPr>
        <w:rPr>
          <w:rFonts w:ascii="Palatino Linotype" w:hAnsi="Palatino Linotype"/>
        </w:rPr>
      </w:pPr>
    </w:p>
    <w:p w:rsidR="005B3647" w:rsidRPr="00C37170" w:rsidRDefault="005B3647" w:rsidP="005B3647">
      <w:pPr>
        <w:rPr>
          <w:rFonts w:ascii="Palatino Linotype" w:hAnsi="Palatino Linotype"/>
        </w:rPr>
      </w:pPr>
      <w:r>
        <w:rPr>
          <w:rFonts w:ascii="Palatino Linotype" w:hAnsi="Palatino Linotype"/>
        </w:rPr>
        <w:tab/>
      </w:r>
    </w:p>
    <w:p w:rsidR="005B3647" w:rsidRDefault="005B3647" w:rsidP="00A05EF6">
      <w:pPr>
        <w:widowControl/>
        <w:autoSpaceDE/>
        <w:autoSpaceDN/>
        <w:adjustRightInd/>
        <w:jc w:val="center"/>
        <w:rPr>
          <w:rFonts w:ascii="Palatino Linotype" w:hAnsi="Palatino Linotype"/>
          <w:b/>
          <w:sz w:val="40"/>
          <w:szCs w:val="40"/>
        </w:rPr>
        <w:sectPr w:rsidR="005B3647" w:rsidSect="00FC1DF6">
          <w:type w:val="oddPage"/>
          <w:pgSz w:w="12240" w:h="15840" w:code="1"/>
          <w:pgMar w:top="1667" w:right="851" w:bottom="4253" w:left="3686" w:header="1021" w:footer="3005" w:gutter="0"/>
          <w:cols w:space="708"/>
          <w:titlePg/>
          <w:docGrid w:linePitch="360"/>
        </w:sectPr>
      </w:pPr>
    </w:p>
    <w:p w:rsidR="005B3647" w:rsidRDefault="005B3647" w:rsidP="00A05EF6">
      <w:pPr>
        <w:widowControl/>
        <w:autoSpaceDE/>
        <w:autoSpaceDN/>
        <w:adjustRightInd/>
        <w:jc w:val="center"/>
        <w:rPr>
          <w:rFonts w:ascii="Palatino Linotype" w:hAnsi="Palatino Linotype"/>
          <w:b/>
          <w:sz w:val="40"/>
          <w:szCs w:val="40"/>
        </w:rPr>
      </w:pPr>
    </w:p>
    <w:p w:rsidR="005B3647" w:rsidRDefault="005B3647" w:rsidP="00A05EF6">
      <w:pPr>
        <w:widowControl/>
        <w:autoSpaceDE/>
        <w:autoSpaceDN/>
        <w:adjustRightInd/>
        <w:jc w:val="center"/>
        <w:rPr>
          <w:rFonts w:ascii="Palatino Linotype" w:hAnsi="Palatino Linotype"/>
          <w:b/>
          <w:sz w:val="40"/>
          <w:szCs w:val="40"/>
        </w:rPr>
      </w:pPr>
    </w:p>
    <w:p w:rsidR="005B3647" w:rsidRDefault="005B3647" w:rsidP="00A05EF6">
      <w:pPr>
        <w:widowControl/>
        <w:autoSpaceDE/>
        <w:autoSpaceDN/>
        <w:adjustRightInd/>
        <w:jc w:val="center"/>
        <w:rPr>
          <w:rFonts w:ascii="Palatino Linotype" w:hAnsi="Palatino Linotype"/>
          <w:b/>
          <w:sz w:val="40"/>
          <w:szCs w:val="40"/>
        </w:rPr>
      </w:pPr>
    </w:p>
    <w:p w:rsidR="005B3647" w:rsidRDefault="005B3647" w:rsidP="00A05EF6">
      <w:pPr>
        <w:widowControl/>
        <w:autoSpaceDE/>
        <w:autoSpaceDN/>
        <w:adjustRightInd/>
        <w:jc w:val="center"/>
        <w:rPr>
          <w:rFonts w:ascii="Palatino Linotype" w:hAnsi="Palatino Linotype"/>
          <w:b/>
          <w:sz w:val="40"/>
          <w:szCs w:val="40"/>
        </w:rPr>
      </w:pPr>
    </w:p>
    <w:p w:rsidR="005B3647" w:rsidRDefault="005B3647" w:rsidP="00A05EF6">
      <w:pPr>
        <w:widowControl/>
        <w:autoSpaceDE/>
        <w:autoSpaceDN/>
        <w:adjustRightInd/>
        <w:jc w:val="center"/>
        <w:rPr>
          <w:rFonts w:ascii="Palatino Linotype" w:hAnsi="Palatino Linotype"/>
          <w:b/>
          <w:sz w:val="40"/>
          <w:szCs w:val="40"/>
        </w:rPr>
      </w:pPr>
    </w:p>
    <w:p w:rsidR="005B3647" w:rsidRDefault="005B3647" w:rsidP="00A05EF6">
      <w:pPr>
        <w:widowControl/>
        <w:autoSpaceDE/>
        <w:autoSpaceDN/>
        <w:adjustRightInd/>
        <w:jc w:val="center"/>
        <w:rPr>
          <w:rFonts w:ascii="Palatino Linotype" w:hAnsi="Palatino Linotype"/>
          <w:b/>
          <w:sz w:val="40"/>
          <w:szCs w:val="40"/>
        </w:rPr>
      </w:pPr>
    </w:p>
    <w:p w:rsidR="005B3647" w:rsidRDefault="005B3647" w:rsidP="00A05EF6">
      <w:pPr>
        <w:widowControl/>
        <w:autoSpaceDE/>
        <w:autoSpaceDN/>
        <w:adjustRightInd/>
        <w:jc w:val="center"/>
        <w:rPr>
          <w:rFonts w:ascii="Palatino Linotype" w:hAnsi="Palatino Linotype"/>
          <w:b/>
          <w:sz w:val="40"/>
          <w:szCs w:val="40"/>
        </w:rPr>
      </w:pPr>
    </w:p>
    <w:p w:rsidR="00A05EF6" w:rsidRDefault="006301B3" w:rsidP="00A05EF6">
      <w:pPr>
        <w:widowControl/>
        <w:autoSpaceDE/>
        <w:autoSpaceDN/>
        <w:adjustRightInd/>
        <w:jc w:val="center"/>
        <w:rPr>
          <w:rFonts w:ascii="Palatino Linotype" w:hAnsi="Palatino Linotype"/>
          <w:b/>
          <w:sz w:val="40"/>
          <w:szCs w:val="40"/>
        </w:rPr>
        <w:sectPr w:rsidR="00A05EF6" w:rsidSect="00FC1DF6">
          <w:type w:val="oddPage"/>
          <w:pgSz w:w="12240" w:h="15840" w:code="1"/>
          <w:pgMar w:top="1667" w:right="851" w:bottom="4253" w:left="3686" w:header="1021" w:footer="3005" w:gutter="0"/>
          <w:cols w:space="708"/>
          <w:titlePg/>
          <w:docGrid w:linePitch="360"/>
        </w:sectPr>
      </w:pPr>
      <w:r w:rsidRPr="00A05EF6">
        <w:rPr>
          <w:rFonts w:ascii="Palatino Linotype" w:hAnsi="Palatino Linotype"/>
          <w:b/>
          <w:sz w:val="40"/>
          <w:szCs w:val="40"/>
        </w:rPr>
        <w:t>MATERIA LABORAL</w:t>
      </w:r>
    </w:p>
    <w:p w:rsidR="00C4690B" w:rsidRPr="00E10347" w:rsidRDefault="002A76CC" w:rsidP="00A05EF6">
      <w:pPr>
        <w:widowControl/>
        <w:autoSpaceDE/>
        <w:autoSpaceDN/>
        <w:adjustRightInd/>
        <w:jc w:val="center"/>
        <w:rPr>
          <w:rFonts w:ascii="Palatino Linotype" w:hAnsi="Palatino Linotype"/>
          <w:b/>
          <w:sz w:val="21"/>
          <w:szCs w:val="21"/>
        </w:rPr>
      </w:pPr>
      <w:bookmarkStart w:id="1" w:name="_Hlk479195834"/>
      <w:r w:rsidRPr="00E10347">
        <w:rPr>
          <w:rFonts w:ascii="Palatino Linotype" w:hAnsi="Palatino Linotype"/>
          <w:b/>
          <w:sz w:val="21"/>
          <w:szCs w:val="21"/>
        </w:rPr>
        <w:lastRenderedPageBreak/>
        <w:t>LA CARGA LABORAL DE LA PRUEBA Y SU COMPARACIÓN CON LA CIVIL, A LA LUZ DE LAS NUEVAS REFORMAS PROCESALES</w:t>
      </w:r>
      <w:bookmarkEnd w:id="1"/>
    </w:p>
    <w:p w:rsidR="00C4690B" w:rsidRDefault="00C4690B" w:rsidP="00E10347">
      <w:pPr>
        <w:ind w:firstLine="709"/>
        <w:jc w:val="right"/>
        <w:rPr>
          <w:rFonts w:ascii="Palatino Linotype" w:hAnsi="Palatino Linotype"/>
          <w:b/>
          <w:i/>
          <w:sz w:val="21"/>
          <w:szCs w:val="21"/>
        </w:rPr>
      </w:pPr>
      <w:bookmarkStart w:id="2" w:name="_Hlk479195866"/>
      <w:r w:rsidRPr="00E10347">
        <w:rPr>
          <w:rFonts w:ascii="Palatino Linotype" w:hAnsi="Palatino Linotype"/>
          <w:b/>
          <w:i/>
          <w:sz w:val="21"/>
          <w:szCs w:val="21"/>
        </w:rPr>
        <w:t>M.Sc. Maureen Jiménez Gómez</w:t>
      </w:r>
      <w:bookmarkEnd w:id="2"/>
      <w:r w:rsidRPr="00E10347">
        <w:rPr>
          <w:rFonts w:ascii="Palatino Linotype" w:hAnsi="Palatino Linotype"/>
          <w:b/>
          <w:i/>
          <w:sz w:val="21"/>
          <w:szCs w:val="21"/>
        </w:rPr>
        <w:t>.</w:t>
      </w:r>
    </w:p>
    <w:p w:rsidR="008A0E38" w:rsidRDefault="008A0E38" w:rsidP="008A0E38">
      <w:pPr>
        <w:rPr>
          <w:rFonts w:ascii="Palatino Linotype" w:hAnsi="Palatino Linotype"/>
          <w:b/>
          <w:i/>
          <w:sz w:val="21"/>
          <w:szCs w:val="21"/>
        </w:rPr>
      </w:pPr>
    </w:p>
    <w:p w:rsidR="008A0E38" w:rsidRPr="00D1279A" w:rsidRDefault="008A0E38" w:rsidP="008A0E38">
      <w:pPr>
        <w:jc w:val="both"/>
        <w:rPr>
          <w:rFonts w:ascii="Palatino Linotype" w:hAnsi="Palatino Linotype"/>
          <w:sz w:val="21"/>
          <w:szCs w:val="21"/>
        </w:rPr>
      </w:pPr>
      <w:r w:rsidRPr="00D1279A">
        <w:rPr>
          <w:rFonts w:ascii="Palatino Linotype" w:hAnsi="Palatino Linotype"/>
          <w:sz w:val="21"/>
          <w:szCs w:val="21"/>
        </w:rPr>
        <w:t>SUMARIO: 1.- Introducción.  2.- ¿Cuál verdad?  3.- El sistema de carga de la prueba adoptado.  4.- Medios de prueba.  5.- Exención probatoria.  6.- La incorporación de la prueba o prueba trasladada.  7.- La prueba para mejor resolver, de oficio o complementaria.  8.- Conclusiones</w:t>
      </w:r>
    </w:p>
    <w:p w:rsidR="008A0E38" w:rsidRPr="008A0E38" w:rsidRDefault="008A0E38" w:rsidP="008A0E38">
      <w:pPr>
        <w:rPr>
          <w:rFonts w:ascii="Palatino Linotype" w:hAnsi="Palatino Linotype"/>
          <w:b/>
          <w:sz w:val="21"/>
          <w:szCs w:val="21"/>
        </w:rPr>
      </w:pPr>
    </w:p>
    <w:p w:rsidR="008A0E38" w:rsidRPr="00E10347" w:rsidRDefault="008A0E38" w:rsidP="00E10347">
      <w:pPr>
        <w:ind w:firstLine="709"/>
        <w:jc w:val="right"/>
        <w:rPr>
          <w:rFonts w:ascii="Palatino Linotype" w:hAnsi="Palatino Linotype"/>
          <w:b/>
          <w:i/>
          <w:sz w:val="21"/>
          <w:szCs w:val="21"/>
        </w:rPr>
      </w:pPr>
    </w:p>
    <w:p w:rsidR="00C4690B" w:rsidRPr="00E10347" w:rsidRDefault="003F3E60" w:rsidP="00E10347">
      <w:pPr>
        <w:jc w:val="both"/>
        <w:rPr>
          <w:rFonts w:ascii="Palatino Linotype" w:hAnsi="Palatino Linotype"/>
          <w:b/>
          <w:sz w:val="21"/>
          <w:szCs w:val="21"/>
        </w:rPr>
      </w:pPr>
      <w:r w:rsidRPr="00E10347">
        <w:rPr>
          <w:rFonts w:ascii="Palatino Linotype" w:hAnsi="Palatino Linotype"/>
          <w:b/>
          <w:sz w:val="21"/>
          <w:szCs w:val="21"/>
        </w:rPr>
        <w:t xml:space="preserve">1.- </w:t>
      </w:r>
      <w:r w:rsidR="00C4690B" w:rsidRPr="00E10347">
        <w:rPr>
          <w:rFonts w:ascii="Palatino Linotype" w:hAnsi="Palatino Linotype"/>
          <w:b/>
          <w:sz w:val="21"/>
          <w:szCs w:val="21"/>
        </w:rPr>
        <w:t>Introducción</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El reto de comparar la forma de probar en la materia laboral frente a la civil no es fácil, tiene su complejidad y no siempre un justo resultado, habida cuenta que, irremediablemente toda comparación resulta odiosa, pues siempre hay un algo o un alguien, que termina siendo mejor en el balance realizado. </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No es ese el fin que se busca a través de estas líneas reflexivas, sino, rescatar las diferencias que distinguen cada labor procesal, las cuales, sin duda alguna, responden a las distintas naturalezas jurídicas de la rama a la que corresponden. </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La carga probatoria es uno de los temas más sensibles de la materia procesal laboral, toda vez que encierra la pesada obligación procesal que se cierne sobre la persona trabajadora, parte más débil de toda relación laboral, frente a un patrono poderoso y plenipotenciario.</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Una visión muy diferente ofrece el tema, cuando se analiza desde el cristal del derecho civil, toda vez que ahí se presupone la igualdad procesal de las partes, consecuentemente, no hay un fin reivindicador de la norma hacia alguna de las partes, como sí ocurre en cuantiosas normas procesales laborales, proteccionistas de la parte trabajadora. </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El tema de la carga laboral ha venido teniendo un papel protagónico en la jurisprudencia de la materia, al punto que la Reforma Procesal Laboral (Ley N°9343 del 25 de enero de 2016) hace suyos muchos criterios de ese orden y los plasma en blanco y negro, con poder de norma de orden público y acatamiento obligatorio.</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Este nuevo cuerpo normativo, apunta a una regulación ordenada de las cargas probatorias. Ni más ni menos, pretende dar respuesta a la pregunta: ¿qué le corresponde probar a cada parte procesal? Esa contestación se ha tornado  necesaria desde hace ya muchos años y ha venido siendo suplida por la labor acuciosa de los </w:t>
      </w:r>
      <w:r w:rsidRPr="00E10347">
        <w:rPr>
          <w:rFonts w:ascii="Palatino Linotype" w:hAnsi="Palatino Linotype"/>
          <w:sz w:val="21"/>
          <w:szCs w:val="21"/>
        </w:rPr>
        <w:lastRenderedPageBreak/>
        <w:t xml:space="preserve">tribunales de justicia laborales, quienes han guiado su tarea sobre la base de una mezca </w:t>
      </w:r>
      <w:r w:rsidRPr="00E10347">
        <w:rPr>
          <w:rFonts w:ascii="Palatino Linotype" w:hAnsi="Palatino Linotype"/>
          <w:i/>
          <w:sz w:val="21"/>
          <w:szCs w:val="21"/>
        </w:rPr>
        <w:t>sui generis</w:t>
      </w:r>
      <w:r w:rsidRPr="00E10347">
        <w:rPr>
          <w:rFonts w:ascii="Palatino Linotype" w:hAnsi="Palatino Linotype"/>
          <w:sz w:val="21"/>
          <w:szCs w:val="21"/>
        </w:rPr>
        <w:t xml:space="preserve"> entre el derecho procesal civil supletorio, principios procesales laborales y principios laborales de fondo, amalgama exótica que, para cualquier persona profesional en derecho nueva en el medio, representa un  grado de incertidumbre, en su acercamiento con el derecho laboral, bien sea en calidad de juzgadora o litigante.</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Por su parte, el Nuevo Código Procesal Civil, Ley N°9342 del 03 de febrero de 2016, ofrece un remozamiento de las normas anteriores, en materia de carga probatoria, introduciendo nuevos institutos procesales y reforzando algunos ya existentes. </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Sin duda alguna, la nueva normativa procesal civil, continúa siendo la normativa supletoria por excelencia del orden laboral, entre otros. Es así como la Reforma Procesal Laboral, expresamente autoriza su utilización en cada uno de los siguientes supuestos: procesos contra el Estado y sus instituciones (art. 428); competencia subjetiva (art. 441); acumulación de pretensiones (art. 487); procesos cautelares y anticipados (art. 489); ofrecimiento de prueba pericial (art. 495); contrato de cuota litis (art. 564); formas anormales de terminación del proceso (art. 570); proceso de ejecución (art. 572); efectos de la apelación, apelación adhesiva y por inadmisión (art. 599); recurso de revisión (art. 601). </w:t>
      </w:r>
    </w:p>
    <w:p w:rsidR="009A5379" w:rsidRDefault="009A5379" w:rsidP="00E10347">
      <w:pPr>
        <w:jc w:val="both"/>
        <w:rPr>
          <w:rFonts w:ascii="Palatino Linotype" w:hAnsi="Palatino Linotype"/>
          <w:b/>
          <w:sz w:val="21"/>
          <w:szCs w:val="21"/>
        </w:rPr>
      </w:pPr>
    </w:p>
    <w:p w:rsidR="00C4690B" w:rsidRPr="00E10347" w:rsidRDefault="003F3E60" w:rsidP="00E10347">
      <w:pPr>
        <w:jc w:val="both"/>
        <w:rPr>
          <w:rFonts w:ascii="Palatino Linotype" w:hAnsi="Palatino Linotype"/>
          <w:b/>
          <w:sz w:val="21"/>
          <w:szCs w:val="21"/>
        </w:rPr>
      </w:pPr>
      <w:r w:rsidRPr="00E10347">
        <w:rPr>
          <w:rFonts w:ascii="Palatino Linotype" w:hAnsi="Palatino Linotype"/>
          <w:b/>
          <w:sz w:val="21"/>
          <w:szCs w:val="21"/>
        </w:rPr>
        <w:t xml:space="preserve">2.- </w:t>
      </w:r>
      <w:r w:rsidR="00C4690B" w:rsidRPr="00E10347">
        <w:rPr>
          <w:rFonts w:ascii="Palatino Linotype" w:hAnsi="Palatino Linotype"/>
          <w:b/>
          <w:sz w:val="21"/>
          <w:szCs w:val="21"/>
        </w:rPr>
        <w:t>¿Cuál verdad?</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Cuando del tema probatorio se trata, aflora la necesidad de identificar qué tipo de verdad se busca, a través de la actividad probatoria contemplada en una normativa procesal.</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En lo que a la Reforma Procesal Laboral se refiere, debe apuntarse la grotesca contradicción existente entre los numerales 421 y 476 del Código de Trabajo reformado, pues este último le atribuye a la prueba, como objetivo fundamental, la búsqueda de la verdad </w:t>
      </w:r>
      <w:r w:rsidRPr="00E10347">
        <w:rPr>
          <w:rFonts w:ascii="Palatino Linotype" w:hAnsi="Palatino Linotype"/>
          <w:b/>
          <w:sz w:val="21"/>
          <w:szCs w:val="21"/>
        </w:rPr>
        <w:t>material</w:t>
      </w:r>
      <w:r w:rsidRPr="00E10347">
        <w:rPr>
          <w:rFonts w:ascii="Palatino Linotype" w:hAnsi="Palatino Linotype"/>
          <w:sz w:val="21"/>
          <w:szCs w:val="21"/>
        </w:rPr>
        <w:t xml:space="preserve">, olvidándose que desde el título décimo, el artículo 421 proclamó la verdad </w:t>
      </w:r>
      <w:r w:rsidRPr="00E10347">
        <w:rPr>
          <w:rFonts w:ascii="Palatino Linotype" w:hAnsi="Palatino Linotype"/>
          <w:b/>
          <w:sz w:val="21"/>
          <w:szCs w:val="21"/>
        </w:rPr>
        <w:t>real</w:t>
      </w:r>
      <w:r w:rsidRPr="00E10347">
        <w:rPr>
          <w:rFonts w:ascii="Palatino Linotype" w:hAnsi="Palatino Linotype"/>
          <w:sz w:val="21"/>
          <w:szCs w:val="21"/>
        </w:rPr>
        <w:t xml:space="preserve">, como uno de los principios del proceso laboral. </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La “solución” a tal contrariedad queda en manos de la persona operadora del derecho, pero, sin duda alguna, la elección debe apuntar al segundo criterio (verdad real), en razón de los principios sustanciales que informan la materia, los cuales resultan aplicados por los procesales, tal y como el mismo artículo último citado lo ordena: </w:t>
      </w:r>
      <w:r w:rsidRPr="00E10347">
        <w:rPr>
          <w:rFonts w:ascii="Palatino Linotype" w:hAnsi="Palatino Linotype"/>
          <w:i/>
          <w:sz w:val="21"/>
          <w:szCs w:val="21"/>
        </w:rPr>
        <w:t xml:space="preserve">“…Al interpretarse las disposiciones de este título, deberá tenerse en cuenta que su finalidad última es permitir ordenadamente la aplicación de las normas </w:t>
      </w:r>
      <w:r w:rsidRPr="00E10347">
        <w:rPr>
          <w:rFonts w:ascii="Palatino Linotype" w:hAnsi="Palatino Linotype"/>
          <w:i/>
          <w:sz w:val="21"/>
          <w:szCs w:val="21"/>
        </w:rPr>
        <w:lastRenderedPageBreak/>
        <w:t xml:space="preserve">sustanciales y los principios que las informan, cuando resulten aplicables.” </w:t>
      </w:r>
      <w:r w:rsidRPr="00E10347">
        <w:rPr>
          <w:rFonts w:ascii="Palatino Linotype" w:hAnsi="Palatino Linotype"/>
          <w:sz w:val="21"/>
          <w:szCs w:val="21"/>
        </w:rPr>
        <w:t xml:space="preserve">Y tales principios sustanciales no se pueden alcanzar, cuando la verdad que se busca con la actividad probatoria es material, pues ésta se limita a la verdad procesal, a lo que cada parte ha querido mostrar. </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Al respecto, veamos que si bien la Reforma propone un cambio de paradigma en la dinámica de tramitación del proceso, principalmente a partir del reforzamiento (porque ya existía la verbalidad, según el numeral 443 del Código vigente</w:t>
      </w:r>
      <w:r w:rsidRPr="00E10347">
        <w:rPr>
          <w:rStyle w:val="Refdenotaalpie"/>
          <w:rFonts w:ascii="Palatino Linotype" w:hAnsi="Palatino Linotype"/>
          <w:sz w:val="21"/>
          <w:szCs w:val="21"/>
        </w:rPr>
        <w:footnoteReference w:id="1"/>
      </w:r>
      <w:r w:rsidRPr="00E10347">
        <w:rPr>
          <w:rFonts w:ascii="Palatino Linotype" w:hAnsi="Palatino Linotype"/>
          <w:sz w:val="21"/>
          <w:szCs w:val="21"/>
        </w:rPr>
        <w:t xml:space="preserve">) de la oralidad y las etapas del proceso por audiencias, es claro que entre los principios procesales característicos de la materia, el de </w:t>
      </w:r>
      <w:r w:rsidRPr="00E10347">
        <w:rPr>
          <w:rFonts w:ascii="Palatino Linotype" w:hAnsi="Palatino Linotype"/>
          <w:b/>
          <w:sz w:val="21"/>
          <w:szCs w:val="21"/>
        </w:rPr>
        <w:t xml:space="preserve">oficiosidad </w:t>
      </w:r>
      <w:r w:rsidRPr="00E10347">
        <w:rPr>
          <w:rFonts w:ascii="Palatino Linotype" w:hAnsi="Palatino Linotype"/>
          <w:sz w:val="21"/>
          <w:szCs w:val="21"/>
        </w:rPr>
        <w:t xml:space="preserve">ocupa un importante lugar, y ello abona en favor de la propuesta de búsqueda de la verdad real, como elección interpretativa; además, el artículo 422 del Código reformado aporta datos confirmatorios de ser ése el camino correcto: </w:t>
      </w:r>
    </w:p>
    <w:p w:rsidR="00C4690B" w:rsidRPr="00E10347" w:rsidRDefault="00C4690B" w:rsidP="00E10347">
      <w:pPr>
        <w:ind w:left="708" w:firstLine="709"/>
        <w:jc w:val="both"/>
        <w:rPr>
          <w:rFonts w:ascii="Palatino Linotype" w:hAnsi="Palatino Linotype"/>
          <w:sz w:val="21"/>
          <w:szCs w:val="21"/>
        </w:rPr>
      </w:pPr>
      <w:r w:rsidRPr="00E10347">
        <w:rPr>
          <w:rFonts w:ascii="Palatino Linotype" w:hAnsi="Palatino Linotype"/>
          <w:sz w:val="21"/>
          <w:szCs w:val="21"/>
        </w:rPr>
        <w:t xml:space="preserve">“…Las personas encargadas de los órganos de esta materia dirigirán el proceso de forma protagónica, impulsándolo oportunamente, buscando la verdad real dentro de los límites establecidos, dándole a ésta, primacía sobre las expresiones formales, tutelando la indisponibilidad de los derechos y aplicando, de forma adecuada, las reglas </w:t>
      </w:r>
      <w:r w:rsidRPr="00E10347">
        <w:rPr>
          <w:rFonts w:ascii="Palatino Linotype" w:hAnsi="Palatino Linotype"/>
          <w:i/>
          <w:sz w:val="21"/>
          <w:szCs w:val="21"/>
        </w:rPr>
        <w:t>“pro operario”</w:t>
      </w:r>
      <w:r w:rsidRPr="00E10347">
        <w:rPr>
          <w:rFonts w:ascii="Palatino Linotype" w:hAnsi="Palatino Linotype"/>
          <w:sz w:val="21"/>
          <w:szCs w:val="21"/>
        </w:rPr>
        <w:t xml:space="preserve"> (“in dubio pro operario”, norma más favorable y condición más beneficiosa), de modo que en la solución de los conflictos se cumplan los principios cristianos de justicia social y la desigualdad de la parte trabajadora no se exprese en el resultado del proceso.”</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Ahora bien, según el artículo 476 del mismo cuerpo normativo, esa búsqueda de verdad real, se encuentra estrechamente ligada al comportamiento de las partes, el cual importa buena fe y cooperación hacia los tribunales de justicia </w:t>
      </w:r>
      <w:r w:rsidRPr="00E10347">
        <w:rPr>
          <w:rFonts w:ascii="Palatino Linotype" w:hAnsi="Palatino Linotype"/>
          <w:i/>
          <w:sz w:val="21"/>
          <w:szCs w:val="21"/>
        </w:rPr>
        <w:t>“…en el acopio de los elementos probatorios necesarios para resolver con justicia… y los titulares de esos órganos pondrán todo su empeño y diligencia para la consecución de dicho objetivo.”</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Por su parte, el NCPC propugna en el numeral 5.6 como una de las potestades del tribunal civil: </w:t>
      </w:r>
      <w:r w:rsidRPr="00E10347">
        <w:rPr>
          <w:rFonts w:ascii="Palatino Linotype" w:hAnsi="Palatino Linotype"/>
          <w:i/>
          <w:sz w:val="21"/>
          <w:szCs w:val="21"/>
        </w:rPr>
        <w:t>“Procurar la búsqueda de la verdad dentro de los límites establecidos por el ordenamiento jurídico.”</w:t>
      </w:r>
      <w:r w:rsidRPr="00E10347">
        <w:rPr>
          <w:rFonts w:ascii="Palatino Linotype" w:hAnsi="Palatino Linotype"/>
          <w:sz w:val="21"/>
          <w:szCs w:val="21"/>
        </w:rPr>
        <w:t xml:space="preserve">; a diferencia de lo que establecía el artículo 98.4 del CPC derogado, en relación con los deberes del juez: </w:t>
      </w:r>
      <w:r w:rsidRPr="00E10347">
        <w:rPr>
          <w:rFonts w:ascii="Palatino Linotype" w:hAnsi="Palatino Linotype"/>
          <w:i/>
          <w:sz w:val="21"/>
          <w:szCs w:val="21"/>
        </w:rPr>
        <w:t xml:space="preserve">“En cuanto a las pruebas, deberá ejercer los poderes que se le confieren, a fin de verificar las afirmaciones hechas por </w:t>
      </w:r>
      <w:r w:rsidRPr="00E10347">
        <w:rPr>
          <w:rFonts w:ascii="Palatino Linotype" w:hAnsi="Palatino Linotype"/>
          <w:i/>
          <w:sz w:val="21"/>
          <w:szCs w:val="21"/>
        </w:rPr>
        <w:lastRenderedPageBreak/>
        <w:t>las partes.”</w:t>
      </w:r>
      <w:r w:rsidRPr="00E10347">
        <w:rPr>
          <w:rFonts w:ascii="Palatino Linotype" w:hAnsi="Palatino Linotype"/>
          <w:sz w:val="21"/>
          <w:szCs w:val="21"/>
        </w:rPr>
        <w:t xml:space="preserve"> Vemos así, que el nuevo Código Procesal Civil contiene una norma menos inquisitiva que la de su predecesor, pues delimita el ámbito de acción decisora de la persona juzgadora, al límite que permite la interacción de principios como el dispositivo, la igualdad de partes y consecuente equilibrio de trato, eliminación de la prueba para mejor resolver y sustitución por la prueba de oficio con límites, entre otros que propugnan el respeto por la teoría del caso que expone y defiende cada parte procesal. Todas estas señales evidencian, que el NCPC exhibe la bandera de la búsqueda de la verdad material. </w:t>
      </w:r>
    </w:p>
    <w:p w:rsidR="009A5379" w:rsidRDefault="009A5379" w:rsidP="00E10347">
      <w:pPr>
        <w:rPr>
          <w:rFonts w:ascii="Palatino Linotype" w:hAnsi="Palatino Linotype"/>
          <w:b/>
          <w:sz w:val="21"/>
          <w:szCs w:val="21"/>
        </w:rPr>
      </w:pPr>
    </w:p>
    <w:p w:rsidR="00C4690B" w:rsidRPr="00E10347" w:rsidRDefault="003F3E60" w:rsidP="00E10347">
      <w:pPr>
        <w:rPr>
          <w:rFonts w:ascii="Palatino Linotype" w:hAnsi="Palatino Linotype"/>
          <w:b/>
          <w:sz w:val="21"/>
          <w:szCs w:val="21"/>
        </w:rPr>
      </w:pPr>
      <w:r w:rsidRPr="00E10347">
        <w:rPr>
          <w:rFonts w:ascii="Palatino Linotype" w:hAnsi="Palatino Linotype"/>
          <w:b/>
          <w:sz w:val="21"/>
          <w:szCs w:val="21"/>
        </w:rPr>
        <w:t xml:space="preserve">3.- </w:t>
      </w:r>
      <w:r w:rsidR="00C4690B" w:rsidRPr="00E10347">
        <w:rPr>
          <w:rFonts w:ascii="Palatino Linotype" w:hAnsi="Palatino Linotype"/>
          <w:b/>
          <w:sz w:val="21"/>
          <w:szCs w:val="21"/>
        </w:rPr>
        <w:t>El sistema de carga de la prueba adoptado</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El artículo 477 del Código de Trabajo reformado, define el concepto de carga probatoria, como </w:t>
      </w:r>
      <w:r w:rsidRPr="00E10347">
        <w:rPr>
          <w:rFonts w:ascii="Palatino Linotype" w:hAnsi="Palatino Linotype"/>
          <w:i/>
          <w:sz w:val="21"/>
          <w:szCs w:val="21"/>
        </w:rPr>
        <w:t>“…la obligación de la parte de ofrecer, allegar o presentar la probanza en el momento procesal oportuno.”</w:t>
      </w:r>
      <w:r w:rsidRPr="00E10347">
        <w:rPr>
          <w:rFonts w:ascii="Palatino Linotype" w:hAnsi="Palatino Linotype"/>
          <w:sz w:val="21"/>
          <w:szCs w:val="21"/>
        </w:rPr>
        <w:t xml:space="preserve"> Adicionalmente, encontramos en estas líneas, un deber de colaboración de las partes con la acreditación de sus posiciones procesales; algo muy similar a lo contemplado en el artículo 41.4.1. del NCPC, que en lo que interesa dispone: “</w:t>
      </w:r>
      <w:r w:rsidRPr="00E10347">
        <w:rPr>
          <w:rFonts w:ascii="Palatino Linotype" w:hAnsi="Palatino Linotype"/>
          <w:i/>
          <w:sz w:val="21"/>
          <w:szCs w:val="21"/>
        </w:rPr>
        <w:t>Es responsabilidad exclusiva de la parte proponente citar y presentar sus fuentes probatorias…”</w:t>
      </w:r>
      <w:r w:rsidRPr="00E10347">
        <w:rPr>
          <w:rFonts w:ascii="Palatino Linotype" w:hAnsi="Palatino Linotype"/>
          <w:sz w:val="21"/>
          <w:szCs w:val="21"/>
        </w:rPr>
        <w:t xml:space="preserve">  </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Por otra parte, el numeral bajo estudio establece la regla general y enunciativa -cual si fuere una síntesis de los dos incisos del actual artículo 317 del CPC-</w:t>
      </w:r>
      <w:r w:rsidRPr="00E10347">
        <w:rPr>
          <w:rFonts w:ascii="Palatino Linotype" w:hAnsi="Palatino Linotype"/>
          <w:sz w:val="21"/>
          <w:szCs w:val="21"/>
        </w:rPr>
        <w:softHyphen/>
        <w:t xml:space="preserve"> de cómo se distribuyen las cargas probatorias en el nuevo proceso laboral: </w:t>
      </w:r>
      <w:r w:rsidRPr="00E10347">
        <w:rPr>
          <w:rFonts w:ascii="Palatino Linotype" w:hAnsi="Palatino Linotype"/>
          <w:i/>
          <w:sz w:val="21"/>
          <w:szCs w:val="21"/>
        </w:rPr>
        <w:t>“…la carga de la prueba de los hechos controvertidos, constitutivos e impeditivos le corresponde a quien los invoca en su favor…”</w:t>
      </w:r>
      <w:r w:rsidRPr="00E10347">
        <w:rPr>
          <w:rFonts w:ascii="Palatino Linotype" w:hAnsi="Palatino Linotype"/>
          <w:sz w:val="21"/>
          <w:szCs w:val="21"/>
        </w:rPr>
        <w:t xml:space="preserve">  Lo anterior tiene estrecho ligamen con la admisibilidad de la prueba, la cual tendrá lugar, tal y como lo enuncia el artículo 41.3 del NCPC, en relación directa con los hechos y la pretensión, siempre que sean controvertidos; consecuentemente, no se admite prueba respecto de hechos admitidos (expresamente o que se tengan como tales conforme a la ley), amparados en presunción absoluta, evidentes, notorios, impertinencia excesiva, inconducente o ilegal. </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A diferencia de tal síntesis, el NCPC en sus numerales 41.1.1 y 41.1.2, reproduce literalmente los dos incisos del vigente artículo 317 del CPC, pero agrega dos párrafos de capital valor, que dejan ver el sistema de carga probatoria adoptado por este cuerpo normativo, al disponer que para la aplicación de los anteriores incisos, se deberá tener presente la disponibilidad y facilidad probatoria que corresponde a cada una de las partes, de acuerdo con la naturaleza de lo debatido; lo anterior regirá -reza la norma- (tal y como lo previene el párrafo final de dicho </w:t>
      </w:r>
      <w:r w:rsidRPr="00E10347">
        <w:rPr>
          <w:rFonts w:ascii="Palatino Linotype" w:hAnsi="Palatino Linotype"/>
          <w:sz w:val="21"/>
          <w:szCs w:val="21"/>
        </w:rPr>
        <w:lastRenderedPageBreak/>
        <w:t xml:space="preserve">inciso), en el tanto no exista una disposición legal expresa que distribuya la carga probatoria con criterios especiales, como sucede en el caso contemplado por el artículo 482 del Código de Trabajo reformado, el cual ordena a la parte que dispone de los documentos en los que constan las pruebas de los hechos controvertidos, el deber de presentarlos al proceso, </w:t>
      </w:r>
      <w:r w:rsidRPr="00E10347">
        <w:rPr>
          <w:rFonts w:ascii="Palatino Linotype" w:hAnsi="Palatino Linotype"/>
          <w:sz w:val="21"/>
          <w:szCs w:val="21"/>
          <w:u w:val="single"/>
        </w:rPr>
        <w:t>si es requerida para ello</w:t>
      </w:r>
      <w:r w:rsidRPr="00E10347">
        <w:rPr>
          <w:rFonts w:ascii="Palatino Linotype" w:hAnsi="Palatino Linotype"/>
          <w:sz w:val="21"/>
          <w:szCs w:val="21"/>
        </w:rPr>
        <w:t xml:space="preserve">, advirtiéndose que en caso de incumplimiento injustificado, la calificación de dicho comportamiento se tendrá como malicioso y, con base en ello, se considerará que la documentación omitida le da razón a lo afirmado por la contraparte. </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Es interesante el ligamen de este último aspecto, con el párrafo segundo del artículo 41.5 del NCPC, en tanto se afirma: “</w:t>
      </w:r>
      <w:r w:rsidRPr="00E10347">
        <w:rPr>
          <w:rFonts w:ascii="Palatino Linotype" w:hAnsi="Palatino Linotype"/>
          <w:i/>
          <w:sz w:val="21"/>
          <w:szCs w:val="21"/>
        </w:rPr>
        <w:t xml:space="preserve">La conducta de las partes durante el procedimiento </w:t>
      </w:r>
      <w:r w:rsidRPr="00E10347">
        <w:rPr>
          <w:rFonts w:ascii="Palatino Linotype" w:hAnsi="Palatino Linotype"/>
          <w:sz w:val="21"/>
          <w:szCs w:val="21"/>
        </w:rPr>
        <w:t>[sic]</w:t>
      </w:r>
      <w:r w:rsidRPr="00E10347">
        <w:rPr>
          <w:rFonts w:ascii="Palatino Linotype" w:hAnsi="Palatino Linotype"/>
          <w:i/>
          <w:sz w:val="21"/>
          <w:szCs w:val="21"/>
        </w:rPr>
        <w:t xml:space="preserve"> podrá constituir un elemento de convicción ratificante de las pruebas.</w:t>
      </w:r>
      <w:r w:rsidRPr="00E10347">
        <w:rPr>
          <w:rFonts w:ascii="Palatino Linotype" w:hAnsi="Palatino Linotype"/>
          <w:sz w:val="21"/>
          <w:szCs w:val="21"/>
        </w:rPr>
        <w:t xml:space="preserve">” Ello por cuanto, se introduce en la normativa de carga probatoria un aspecto de </w:t>
      </w:r>
      <w:r w:rsidRPr="00E10347">
        <w:rPr>
          <w:rFonts w:ascii="Palatino Linotype" w:hAnsi="Palatino Linotype"/>
          <w:b/>
          <w:sz w:val="21"/>
          <w:szCs w:val="21"/>
        </w:rPr>
        <w:t>valoración</w:t>
      </w:r>
      <w:r w:rsidRPr="00E10347">
        <w:rPr>
          <w:rFonts w:ascii="Palatino Linotype" w:hAnsi="Palatino Linotype"/>
          <w:sz w:val="21"/>
          <w:szCs w:val="21"/>
        </w:rPr>
        <w:t xml:space="preserve"> probatoria, que aunque son temas muy ligados, no deberían desarrollarse por la ley a un mismo tiempo; cosa diferente ocurre en la normativa procesal civil, donde se encuentran deslindados en su tratamiento. </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Es así como aparece en escena la teoría de la carga dinámica de la prueba, </w:t>
      </w:r>
      <w:r w:rsidRPr="00E10347">
        <w:rPr>
          <w:rFonts w:ascii="Palatino Linotype" w:hAnsi="Palatino Linotype"/>
          <w:i/>
          <w:sz w:val="21"/>
          <w:szCs w:val="21"/>
        </w:rPr>
        <w:t>“…según la cual el tribunal valorará las circunstancias particulares de cada caso, apreciando quién se encontraba en mejores condiciones para acreditar el hecho controvertido, así como las razones por las cuales quién tenía la carga de probar no produjo la prueba.”</w:t>
      </w:r>
      <w:r w:rsidRPr="00E10347">
        <w:rPr>
          <w:rFonts w:ascii="Palatino Linotype" w:hAnsi="Palatino Linotype"/>
          <w:sz w:val="21"/>
          <w:szCs w:val="21"/>
        </w:rPr>
        <w:t xml:space="preserve"> </w:t>
      </w:r>
      <w:r w:rsidRPr="00E10347">
        <w:rPr>
          <w:rStyle w:val="Refdenotaalpie"/>
          <w:rFonts w:ascii="Palatino Linotype" w:hAnsi="Palatino Linotype"/>
          <w:sz w:val="21"/>
          <w:szCs w:val="21"/>
        </w:rPr>
        <w:footnoteReference w:id="2"/>
      </w:r>
    </w:p>
    <w:p w:rsidR="00C4690B" w:rsidRPr="00E10347" w:rsidRDefault="00C4690B" w:rsidP="00E10347">
      <w:pPr>
        <w:ind w:firstLine="709"/>
        <w:jc w:val="both"/>
        <w:rPr>
          <w:rFonts w:ascii="Palatino Linotype" w:hAnsi="Palatino Linotype"/>
          <w:sz w:val="21"/>
          <w:szCs w:val="21"/>
          <w:u w:val="single"/>
        </w:rPr>
      </w:pPr>
      <w:r w:rsidRPr="00E10347">
        <w:rPr>
          <w:rFonts w:ascii="Palatino Linotype" w:hAnsi="Palatino Linotype"/>
          <w:sz w:val="21"/>
          <w:szCs w:val="21"/>
        </w:rPr>
        <w:t xml:space="preserve">En tal teoría se encuentra también matriculada la Reforma Procesal Laboral, toda vez que el artículo 478 establece como norte del </w:t>
      </w:r>
      <w:r w:rsidRPr="00E10347">
        <w:rPr>
          <w:rFonts w:ascii="Palatino Linotype" w:hAnsi="Palatino Linotype"/>
          <w:i/>
          <w:sz w:val="21"/>
          <w:szCs w:val="21"/>
        </w:rPr>
        <w:t>onus probandi</w:t>
      </w:r>
      <w:r w:rsidRPr="00E10347">
        <w:rPr>
          <w:rFonts w:ascii="Palatino Linotype" w:hAnsi="Palatino Linotype"/>
          <w:sz w:val="21"/>
          <w:szCs w:val="21"/>
        </w:rPr>
        <w:t xml:space="preserve">, la obligación para la parte empleadora, de probar los hechos impeditivos que invoque </w:t>
      </w:r>
      <w:r w:rsidRPr="00E10347">
        <w:rPr>
          <w:rFonts w:ascii="Palatino Linotype" w:hAnsi="Palatino Linotype"/>
          <w:i/>
          <w:sz w:val="21"/>
          <w:szCs w:val="21"/>
        </w:rPr>
        <w:t>“…y de todos aquellos que tiene obligación de mantener debidamente documentados o registrados…”</w:t>
      </w:r>
      <w:r w:rsidRPr="00E10347">
        <w:rPr>
          <w:rFonts w:ascii="Palatino Linotype" w:hAnsi="Palatino Linotype"/>
          <w:sz w:val="21"/>
          <w:szCs w:val="21"/>
        </w:rPr>
        <w:t xml:space="preserve"> Así también, está obligada esa parte a demostrar, según el inciso 11 de este  mismo artículo: </w:t>
      </w:r>
      <w:r w:rsidRPr="00E10347">
        <w:rPr>
          <w:rFonts w:ascii="Palatino Linotype" w:hAnsi="Palatino Linotype"/>
          <w:i/>
          <w:sz w:val="21"/>
          <w:szCs w:val="21"/>
        </w:rPr>
        <w:t>“…Cualquier otra situación fáctica cuya fuente probatoria le sea de más fácil acceso que al trabajador o la trabajadora.”</w:t>
      </w:r>
      <w:r w:rsidRPr="00E10347">
        <w:rPr>
          <w:rFonts w:ascii="Palatino Linotype" w:hAnsi="Palatino Linotype"/>
          <w:sz w:val="21"/>
          <w:szCs w:val="21"/>
        </w:rPr>
        <w:t xml:space="preserve"> No obstante, esta declaración se realiza, previo establecerse la regla insoslayable para la parte trabajadora, de demostrar la prestación personal de los servicios. Ambos criterios son tomados de la producción jurisprudencial que hasta ahora se trae: </w:t>
      </w:r>
    </w:p>
    <w:p w:rsidR="00C4690B" w:rsidRPr="00E10347" w:rsidRDefault="00C4690B" w:rsidP="00E10347">
      <w:pPr>
        <w:ind w:left="708" w:firstLine="709"/>
        <w:jc w:val="both"/>
        <w:rPr>
          <w:rFonts w:ascii="Palatino Linotype" w:hAnsi="Palatino Linotype"/>
          <w:sz w:val="21"/>
          <w:szCs w:val="21"/>
          <w:u w:val="single"/>
        </w:rPr>
      </w:pPr>
      <w:r w:rsidRPr="00E10347">
        <w:rPr>
          <w:rFonts w:ascii="Palatino Linotype" w:hAnsi="Palatino Linotype"/>
          <w:sz w:val="21"/>
          <w:szCs w:val="21"/>
          <w:lang w:val="es-CR"/>
        </w:rPr>
        <w:t xml:space="preserve">“…Esta Sala reiteradamente ha establecido que le corresponde al trabajador (a) la prueba de la prestación personal del servicio y al </w:t>
      </w:r>
      <w:r w:rsidRPr="00E10347">
        <w:rPr>
          <w:rFonts w:ascii="Palatino Linotype" w:hAnsi="Palatino Linotype"/>
          <w:sz w:val="21"/>
          <w:szCs w:val="21"/>
          <w:lang w:val="es-CR"/>
        </w:rPr>
        <w:lastRenderedPageBreak/>
        <w:t>empleador, demostrar los hechos impeditivos que invoque y todos aquellos que tiene la obligación de mantener debidamente documentados. Le corresponde al patrono probar: la fecha de ingreso del trabajador; la antigüedad; el puesto y naturaleza de las labores ejecutadas; causas de extinción del contrato; entrega de la carta de despido; el pago de las obligaciones salariales; clase y duración de la jornada; pago o disfrute de feriados, descansos, licencias, aguinaldo y vacaciones; cumplimiento de las obligaciones de la seguridad social; justificación de la objetividad, racionalidad y proporcionalidad de las medidas señaladas como discriminatorias; así como cualquier otra situación fáctica cuya fuente probatoria le sea de más fácil acceso que al trabajador (a), pues es el patrono quien tiene más fácil acceso a estos documentos y datos (voto 91-2007 de las 09:30 horas del 16 de febrero de 2007)…” (Sala Segunda de la Corte Suprema de Justicia, N°356 del 19 de marzo de 2010. Ver, además, los votos de ese mismo tribunal, N°681-2008 y 968-2010)</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Debe apuntarse como una bondad de la nueva normativa, la enunciación </w:t>
      </w:r>
      <w:r w:rsidRPr="00E10347">
        <w:rPr>
          <w:rFonts w:ascii="Palatino Linotype" w:hAnsi="Palatino Linotype"/>
          <w:i/>
          <w:sz w:val="21"/>
          <w:szCs w:val="21"/>
        </w:rPr>
        <w:t>numerus apertus</w:t>
      </w:r>
      <w:r w:rsidRPr="00E10347">
        <w:rPr>
          <w:rFonts w:ascii="Palatino Linotype" w:hAnsi="Palatino Linotype"/>
          <w:sz w:val="21"/>
          <w:szCs w:val="21"/>
        </w:rPr>
        <w:t>, de los tópicos que le corresponde probar a la parte empleadora, los cuales, tal y como se puede leer en la transcripción anterior, también son resultado de la recopilación jurisprudencial: fecha de ingreso, antigüedad laboral, puesto o cargo, naturaleza o características de las labores ejecutadas, causa de extinción del contrato, entrega de la carta de despido con indicación de razones que motivaron la extinción laboral, pago completo de obligaciones salariales (montos y componentes), participaciones en utilidades, ventas o cobros, incentivos y demás pluses convencional o legalmente establecidos, clase y duración de la jornada de trabajo, pago o disfrute de días feriados, descansos, licencias, aguinaldo y vacaciones, cumplimiento de obligaciones del sistema de seguridad social, justificación de objetividad, racionalidad y proporcionalidad de las medidas o conductas señaladas como discriminatorias (en demandas relacionadas con ese tema) y cualquier otra situación fáctica cuya fuente probatoria le sea de más fácil acceso que al trabajador o la trabajadora.</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Como no es ésta la ocasión para detallar un estudio jurisprudencial de todos y cada uno de los tópicos citados, nos limitaremos a transcribir una resolución emblemática sobre el tema, emitida por la Sala Segunda de la Corte Suprema de Justicia, que expone con apoyo en autorizada doctrina, el origen de este tratamiento tan particular en sede laboral:</w:t>
      </w:r>
    </w:p>
    <w:p w:rsidR="00C4690B" w:rsidRPr="00E10347" w:rsidRDefault="00C4690B" w:rsidP="00E10347">
      <w:pPr>
        <w:ind w:left="708" w:firstLine="709"/>
        <w:jc w:val="both"/>
        <w:rPr>
          <w:rFonts w:ascii="Palatino Linotype" w:hAnsi="Palatino Linotype"/>
          <w:sz w:val="21"/>
          <w:szCs w:val="21"/>
        </w:rPr>
      </w:pPr>
      <w:r w:rsidRPr="00E10347">
        <w:rPr>
          <w:rFonts w:ascii="Palatino Linotype" w:hAnsi="Palatino Linotype"/>
          <w:bCs/>
          <w:sz w:val="21"/>
          <w:szCs w:val="21"/>
        </w:rPr>
        <w:lastRenderedPageBreak/>
        <w:t xml:space="preserve">“…En el derecho procesal laboral, el trabajador -que es normalmente el actor o demandante-, se ve exonerado, en lo sustancial, de probar su dicho; por lo que, la carga probatoria recae, en lo básico, sobre el accionado. La demanda goza, por así decirlo, de una presunción de veracidad, que debe ser destruida por el demandado con su prueba. Por ello la doctrina procesal, nos habla del concepto de “redistribución” y no de “reversión” o “inversión” de la carga probatoria, que han sido las expresiones clásicas, general y anteriormente, más usadas. Redistribuir, </w:t>
      </w:r>
      <w:r w:rsidRPr="00E10347">
        <w:rPr>
          <w:rFonts w:ascii="Palatino Linotype" w:hAnsi="Palatino Linotype"/>
          <w:bCs/>
          <w:i/>
          <w:iCs/>
          <w:sz w:val="21"/>
          <w:szCs w:val="21"/>
        </w:rPr>
        <w:t xml:space="preserve">es atribuir de modo diverso, que en eso consiste propiamente este principio, cuando hace recaer el peso de la prueba de modo desigual, pero no necesariamente intercambiado entre las partes. Mientras los contratantes, en la esfera civil, tienen posibilidades iguales de producir prueba, en el campo laboral es notoria la inferioridad del trabajador, por lo que urge corregir esos desequilibrios, confiriendo al empleador mayores cargas en la producción de la prueba. Del principio de redistribución de la carga de la prueba, desde esta perspectiva, entonces pueden extraerse las siguientes reglas: a) La demanda se presume verdadera a priori, lo que se traduce en un apercibimiento de tenerse por cierto su contenido si el demandado incumple con el trámite de contestación; b) la demanda impone contestación específica respecto de cada uno de los extremos que contiene; la falta de contradicción expresa respecto de alguno de ellos implica un allanamiento tácito; c) el trabajador </w:t>
      </w:r>
      <w:r w:rsidR="002A76CC">
        <w:rPr>
          <w:rFonts w:ascii="Palatino Linotype" w:hAnsi="Palatino Linotype"/>
          <w:bCs/>
          <w:i/>
          <w:iCs/>
          <w:sz w:val="21"/>
          <w:szCs w:val="21"/>
        </w:rPr>
        <w:t xml:space="preserve">solo </w:t>
      </w:r>
      <w:r w:rsidRPr="00E10347">
        <w:rPr>
          <w:rFonts w:ascii="Palatino Linotype" w:hAnsi="Palatino Linotype"/>
          <w:bCs/>
          <w:i/>
          <w:iCs/>
          <w:sz w:val="21"/>
          <w:szCs w:val="21"/>
        </w:rPr>
        <w:t xml:space="preserve">tiene obligación formal de probar la existencia de la relación laboral, sin que ello implique impedimento ni exoneración absoluta de demostrar complementariamente los diversos hechos que afirma y; d) corresponde al empleador probar que no debe, que no ha incumplido o que ya pagó, que es, en esencia, lo nuclear del proceso pues con su incumplimiento, su débito o su mora lo que se discute en el fondo de la controversia. </w:t>
      </w:r>
      <w:r w:rsidRPr="00E10347">
        <w:rPr>
          <w:rFonts w:ascii="Palatino Linotype" w:hAnsi="Palatino Linotype"/>
          <w:bCs/>
          <w:sz w:val="21"/>
          <w:szCs w:val="21"/>
        </w:rPr>
        <w:t>(PASCO COSMOPOLIS, Mario. “FUNDAMENTOS DE DERECHO PROCESAL DEL TRABAJO”. Editorial Aele, abril 1997, pág. 69)…”</w:t>
      </w:r>
      <w:r w:rsidRPr="00E10347">
        <w:rPr>
          <w:rFonts w:ascii="Palatino Linotype" w:hAnsi="Palatino Linotype"/>
          <w:sz w:val="21"/>
          <w:szCs w:val="21"/>
        </w:rPr>
        <w:t xml:space="preserve">  (Sala Segunda de la Corte Suprema de Justicia. N</w:t>
      </w:r>
      <w:r w:rsidRPr="00E10347">
        <w:rPr>
          <w:rFonts w:ascii="Palatino Linotype" w:hAnsi="Palatino Linotype"/>
          <w:bCs/>
          <w:sz w:val="21"/>
          <w:szCs w:val="21"/>
        </w:rPr>
        <w:t>° 131, de 11:00 hrs, de 19 de mayo de 1999</w:t>
      </w:r>
      <w:r w:rsidRPr="00E10347">
        <w:rPr>
          <w:rFonts w:ascii="Palatino Linotype" w:hAnsi="Palatino Linotype"/>
          <w:sz w:val="21"/>
          <w:szCs w:val="21"/>
        </w:rPr>
        <w:t>).</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 Sin duda alguna, hay un trato muy diferenciado que salta a la vista entre las cargas probatorias que rigen para la materia laboral y las propias de la materia civil, el cual responde, para el primer caso, tal y como se ha dicho en líneas precedentes, a los principios sustanciales que impregnan la normativa procesal, que en el fondo, buscan equilibrar el desequilibrio procesal (y social) entre patronos y trabajadores. </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Además de este criterio jurisprudencial, plenamente vigente a pesar de la </w:t>
      </w:r>
      <w:r w:rsidRPr="00E10347">
        <w:rPr>
          <w:rFonts w:ascii="Palatino Linotype" w:hAnsi="Palatino Linotype"/>
          <w:sz w:val="21"/>
          <w:szCs w:val="21"/>
        </w:rPr>
        <w:lastRenderedPageBreak/>
        <w:t>emisión de nueva normativa procesal laboral, debe hacerse hincapié en que el legislador patrio no quiso dejar lugar a dudas de su posición proteccionista, pues una vez más queda visible, en el artículo 483 del Código de Trabajo reformado</w:t>
      </w:r>
      <w:r w:rsidRPr="00E10347">
        <w:rPr>
          <w:rStyle w:val="Refdenotaalpie"/>
          <w:rFonts w:ascii="Palatino Linotype" w:hAnsi="Palatino Linotype"/>
          <w:sz w:val="21"/>
          <w:szCs w:val="21"/>
        </w:rPr>
        <w:footnoteReference w:id="3"/>
      </w:r>
      <w:r w:rsidRPr="00E10347">
        <w:rPr>
          <w:rFonts w:ascii="Palatino Linotype" w:hAnsi="Palatino Linotype"/>
          <w:sz w:val="21"/>
          <w:szCs w:val="21"/>
        </w:rPr>
        <w:t xml:space="preserve">, que se refiere expresamente al último inciso del artículo 478 citado, estableciendo  en relación con el mismo (o sea, con la prueba que se le exige a la parte patronal), que los tribunales tienen suficientes facultades para requerir </w:t>
      </w:r>
      <w:r w:rsidRPr="00E10347">
        <w:rPr>
          <w:rFonts w:ascii="Palatino Linotype" w:hAnsi="Palatino Linotype"/>
          <w:b/>
          <w:sz w:val="21"/>
          <w:szCs w:val="21"/>
        </w:rPr>
        <w:t>todas</w:t>
      </w:r>
      <w:r w:rsidRPr="00E10347">
        <w:rPr>
          <w:rFonts w:ascii="Palatino Linotype" w:hAnsi="Palatino Linotype"/>
          <w:sz w:val="21"/>
          <w:szCs w:val="21"/>
        </w:rPr>
        <w:t xml:space="preserve"> las pruebas que el caso amerite, con lo cual, el espectro de carga procesal se inclina marcadamente hacia la parte empleadora, sin límite alguno divisado en el horizonte.</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Baste decir, adicionalmente, que se omitió en este enunciado, la mención expresa respecto de la carga probatoria de la parte trabajadora, en cuanto a la acreditación de las horas extras laboradas, lo cual también ha sido desarrollado por la jurisprudencia de la materia que se expone de seguido, con la clara advertencia que tal regla aplica, para cuando la jornada extraordinaria invocada por la parte trabajadora, es excepcional: </w:t>
      </w:r>
    </w:p>
    <w:p w:rsidR="00C4690B" w:rsidRPr="00E10347" w:rsidRDefault="00C4690B" w:rsidP="00E10347">
      <w:pPr>
        <w:ind w:left="708" w:firstLine="709"/>
        <w:jc w:val="both"/>
        <w:rPr>
          <w:rFonts w:ascii="Palatino Linotype" w:hAnsi="Palatino Linotype"/>
          <w:sz w:val="21"/>
          <w:szCs w:val="21"/>
          <w:lang w:val="es-CR"/>
        </w:rPr>
      </w:pPr>
      <w:r w:rsidRPr="00E10347">
        <w:rPr>
          <w:rFonts w:ascii="Palatino Linotype" w:hAnsi="Palatino Linotype"/>
          <w:sz w:val="21"/>
          <w:szCs w:val="21"/>
          <w:lang w:val="es-CR"/>
        </w:rPr>
        <w:t>“…Mientras que, cuestiones invocadas por el trabajador como excepcionales -tal es el caso del trabajo en jornada extraordinaria-, es a este a quien le corresponde acreditar su dicho. No obstante, se ha advertido que esta última regla se aplica únicamente cuando dicha jornada se alega como ocasional dentro de la relación de trabajo, más no cuando el actor ha afirmado que se le impuso como la normal jornada que debe laborarse; supuesto este último en que la parte empleadora tendría la carga procesal de probar el hecho que le interesa. Lo anterior es así -se repite- porque la jornada no se ha argüido como excepcional dentro de la relación de trabajo, sino como la habitualmente impuesta, debiendo la parte accionada acreditar la jornada normal de la contratación…” (Sala Segunda de la Corte Suprema de Justicia. N°1266 del 18 de noviembre de 2016. Adicionamente, se pueden consultar entre otros, los votos de ese mismo tribunal, N°1548-2010, 110-2011, 844-2013 y 693-2016).</w:t>
      </w:r>
    </w:p>
    <w:p w:rsidR="009A5379" w:rsidRDefault="009A5379" w:rsidP="00E10347">
      <w:pPr>
        <w:jc w:val="both"/>
        <w:rPr>
          <w:rFonts w:ascii="Palatino Linotype" w:hAnsi="Palatino Linotype"/>
          <w:b/>
          <w:sz w:val="21"/>
          <w:szCs w:val="21"/>
        </w:rPr>
      </w:pPr>
    </w:p>
    <w:p w:rsidR="00A05EF6" w:rsidRDefault="00A05EF6" w:rsidP="00E10347">
      <w:pPr>
        <w:jc w:val="both"/>
        <w:rPr>
          <w:rFonts w:ascii="Palatino Linotype" w:hAnsi="Palatino Linotype"/>
          <w:b/>
          <w:sz w:val="21"/>
          <w:szCs w:val="21"/>
        </w:rPr>
      </w:pPr>
    </w:p>
    <w:p w:rsidR="00C4690B" w:rsidRPr="00E10347" w:rsidRDefault="003F3E60" w:rsidP="00E10347">
      <w:pPr>
        <w:jc w:val="both"/>
        <w:rPr>
          <w:rFonts w:ascii="Palatino Linotype" w:hAnsi="Palatino Linotype"/>
          <w:sz w:val="21"/>
          <w:szCs w:val="21"/>
        </w:rPr>
      </w:pPr>
      <w:r w:rsidRPr="00E10347">
        <w:rPr>
          <w:rFonts w:ascii="Palatino Linotype" w:hAnsi="Palatino Linotype"/>
          <w:b/>
          <w:sz w:val="21"/>
          <w:szCs w:val="21"/>
        </w:rPr>
        <w:lastRenderedPageBreak/>
        <w:t xml:space="preserve">4.- </w:t>
      </w:r>
      <w:r w:rsidR="00C4690B" w:rsidRPr="00E10347">
        <w:rPr>
          <w:rFonts w:ascii="Palatino Linotype" w:hAnsi="Palatino Linotype"/>
          <w:b/>
          <w:sz w:val="21"/>
          <w:szCs w:val="21"/>
        </w:rPr>
        <w:t>Medios de prueba.</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Según lo dispone el artículo 479 del Código de Trabajo reformado: </w:t>
      </w:r>
      <w:r w:rsidRPr="00E10347">
        <w:rPr>
          <w:rFonts w:ascii="Palatino Linotype" w:hAnsi="Palatino Linotype"/>
          <w:i/>
          <w:sz w:val="21"/>
          <w:szCs w:val="21"/>
        </w:rPr>
        <w:t xml:space="preserve">“Puede ofrecerse todo medio probatorio que sirva a la convicción del tribunal, admisibles </w:t>
      </w:r>
      <w:r w:rsidRPr="00E10347">
        <w:rPr>
          <w:rFonts w:ascii="Palatino Linotype" w:hAnsi="Palatino Linotype"/>
          <w:sz w:val="21"/>
          <w:szCs w:val="21"/>
        </w:rPr>
        <w:t xml:space="preserve">[sic] </w:t>
      </w:r>
      <w:r w:rsidRPr="00E10347">
        <w:rPr>
          <w:rFonts w:ascii="Palatino Linotype" w:hAnsi="Palatino Linotype"/>
          <w:i/>
          <w:sz w:val="21"/>
          <w:szCs w:val="21"/>
        </w:rPr>
        <w:t>en derecho público y en derecho común, siempre que no esté expresamente prohibido ni sea contrario al orden público o a la moral…”</w:t>
      </w:r>
      <w:r w:rsidRPr="00E10347">
        <w:rPr>
          <w:rFonts w:ascii="Palatino Linotype" w:hAnsi="Palatino Linotype"/>
          <w:sz w:val="21"/>
          <w:szCs w:val="21"/>
        </w:rPr>
        <w:t xml:space="preserve">  Esta última restricción también la contiene el inciso 7) del artículo 41.2 del NCPC, en tanto autoriza: </w:t>
      </w:r>
      <w:r w:rsidRPr="00E10347">
        <w:rPr>
          <w:rFonts w:ascii="Palatino Linotype" w:hAnsi="Palatino Linotype"/>
          <w:i/>
          <w:sz w:val="21"/>
          <w:szCs w:val="21"/>
        </w:rPr>
        <w:t xml:space="preserve">“Cualquier otro </w:t>
      </w:r>
      <w:r w:rsidRPr="00E10347">
        <w:rPr>
          <w:rFonts w:ascii="Palatino Linotype" w:hAnsi="Palatino Linotype"/>
          <w:sz w:val="21"/>
          <w:szCs w:val="21"/>
        </w:rPr>
        <w:t>–medio de prueba-</w:t>
      </w:r>
      <w:r w:rsidRPr="00E10347">
        <w:rPr>
          <w:rFonts w:ascii="Palatino Linotype" w:hAnsi="Palatino Linotype"/>
          <w:i/>
          <w:sz w:val="21"/>
          <w:szCs w:val="21"/>
        </w:rPr>
        <w:t xml:space="preserve"> no prohibido.”</w:t>
      </w:r>
      <w:r w:rsidRPr="00E10347">
        <w:rPr>
          <w:rFonts w:ascii="Palatino Linotype" w:hAnsi="Palatino Linotype"/>
          <w:sz w:val="21"/>
          <w:szCs w:val="21"/>
        </w:rPr>
        <w:t xml:space="preserve"> Ambas normas otorgan a la persona juzgadora, la gran labor de calificar la admisibilidad de </w:t>
      </w:r>
      <w:r w:rsidRPr="00E10347">
        <w:rPr>
          <w:rFonts w:ascii="Palatino Linotype" w:hAnsi="Palatino Linotype"/>
          <w:b/>
          <w:sz w:val="21"/>
          <w:szCs w:val="21"/>
        </w:rPr>
        <w:t xml:space="preserve">nuevos </w:t>
      </w:r>
      <w:r w:rsidRPr="00E10347">
        <w:rPr>
          <w:rFonts w:ascii="Palatino Linotype" w:hAnsi="Palatino Linotype"/>
          <w:sz w:val="21"/>
          <w:szCs w:val="21"/>
        </w:rPr>
        <w:t>medios probatorios que ofrezcan las partes, bajo los derroteros del orden público, la moral y la ley. Adicionalmente, en lo tocante a la norma procesal civil, se refuerza el principio de libertad probatoria que rige en esa materia, el cual, básicamente propugna que ni la ley ni la persona juzgadora debe limitar a las partes, en el uso de los medios probatorios que tienen a su alcance, de modo que le queda al tribunal la calificación de la admisibilidad de cada uno de los ofrecidos.</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Expuesta esta regla, de seguido la norma procesal laboral pasa a individualizar los medios de prueba que expresamente autoriza: declaración y confesional de parte, declaración de personas testigos, de testigos peritos, de funcionarios públicos (obligados todos estos últimos a declarar, según el artículo 41.4.1 párrafo segundo del NCPC), dictámenes de peritos, documentos e informes de funcionarios (que no es lo mismo que su declaración), reconocimiento judicial, medios científicos, reproducciones gráficas o sonoras. </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En relación con el vigente Código de Trabajo, se introducen las declaraciones de funcionarios públicos y de testigos peritos, así como  informes de personas funcionarias, como nuevos medios probatorios, que fortalecen la diversidad de medios probatorios con que cuentan las partes litigantes de la jurisdicción laboral, las cuales, por cierto, ya han tenido aplicación en los procesos contenciosos administrativos, a partir de la vigencia del Código Procesal Contencioso Administrativo (enero 2008), resultando de gran utilidad en los procesos de empleo público, que resultan ser numerosos en la jurisdicción laboral, a pesar de la restricción sufrida a partir del voto de la Sala Constitucional N°9928-2010.</w:t>
      </w:r>
      <w:r w:rsidRPr="00E10347">
        <w:rPr>
          <w:rStyle w:val="Refdenotaalpie"/>
          <w:rFonts w:ascii="Palatino Linotype" w:hAnsi="Palatino Linotype"/>
          <w:sz w:val="21"/>
          <w:szCs w:val="21"/>
        </w:rPr>
        <w:footnoteReference w:id="4"/>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lastRenderedPageBreak/>
        <w:t xml:space="preserve"> En cuanto a los dos primeros medios probatorios, el artículo 83 del CPCA refiere:  </w:t>
      </w:r>
    </w:p>
    <w:p w:rsidR="00C4690B" w:rsidRPr="00E10347" w:rsidRDefault="00C4690B" w:rsidP="00E10347">
      <w:pPr>
        <w:ind w:left="708" w:firstLine="709"/>
        <w:jc w:val="both"/>
        <w:rPr>
          <w:rFonts w:ascii="Palatino Linotype" w:hAnsi="Palatino Linotype"/>
          <w:sz w:val="21"/>
          <w:szCs w:val="21"/>
        </w:rPr>
      </w:pPr>
      <w:r w:rsidRPr="00E10347">
        <w:rPr>
          <w:rFonts w:ascii="Palatino Linotype" w:hAnsi="Palatino Linotype"/>
          <w:sz w:val="21"/>
          <w:szCs w:val="21"/>
        </w:rPr>
        <w:t xml:space="preserve">“1) Las partes o sus representantes, la jueza o el juez tramitador o el Tribunal, según corresponda, podrán requerir la declaración testimonial de la persona funcionaria o de las personas funcionarias que hayan tenido participación, directa o indirecta, en la conducta administrativa objeto del proceso. 2) También, las partes, la jueza o el juez tramitador o el Tribunal podrán requerir la declaración de testigos-peritos, quienes se regirán por las reglas de la prueba testimonial, sin perjuicio de  que puedan ser interrogados en aspectos técnicos y de apreciación.” </w:t>
      </w:r>
    </w:p>
    <w:p w:rsidR="00C4690B" w:rsidRPr="00E10347" w:rsidRDefault="00C4690B" w:rsidP="00E10347">
      <w:pPr>
        <w:ind w:firstLine="709"/>
        <w:jc w:val="both"/>
        <w:rPr>
          <w:rFonts w:ascii="Palatino Linotype" w:hAnsi="Palatino Linotype"/>
          <w:i/>
          <w:sz w:val="21"/>
          <w:szCs w:val="21"/>
        </w:rPr>
      </w:pPr>
      <w:r w:rsidRPr="00E10347">
        <w:rPr>
          <w:rFonts w:ascii="Palatino Linotype" w:hAnsi="Palatino Linotype"/>
          <w:sz w:val="21"/>
          <w:szCs w:val="21"/>
        </w:rPr>
        <w:t xml:space="preserve">En relación con los informes de personas funcionarias, resulta aplicable el artículo 301 de la Ley General de la Administración Pública, que dispone -en lo que interesa-: </w:t>
      </w:r>
      <w:r w:rsidRPr="00E10347">
        <w:rPr>
          <w:rFonts w:ascii="Palatino Linotype" w:hAnsi="Palatino Linotype"/>
          <w:i/>
          <w:sz w:val="21"/>
          <w:szCs w:val="21"/>
        </w:rPr>
        <w:t>“1. La Administración no podrá confesar en su perjucio. 2. Las declaraciones o informes que rindan sus representantes o servidores se reputarán como testimonio para todo efecto legal…”</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En otro orden de ideas, a diferencia del artículo 41.2 del NCPC, la norma laboral en referencia (479) hace expresa mención a la prueba confesional, de modo que no la incluye dentro de la primera, como una especie del mismo género, derivando entonces, una diferenciación de la práctica forense, en torno al delito por el cual se advierte en la juramentación de la parte declarante (falso testimonio) o confesante (perjurio). Así también, distingue cuando la parte solicita cualquiera de ambos medios probatorios, pues deberá indicar de modo concreto, los hechos sobre los cuales ha de interrogar, con lo cual es claro concluir que de este modo, se compele a la parte a exhibir a la contraria el objeto </w:t>
      </w:r>
      <w:r w:rsidRPr="00E10347">
        <w:rPr>
          <w:rFonts w:ascii="Palatino Linotype" w:hAnsi="Palatino Linotype"/>
          <w:i/>
          <w:sz w:val="21"/>
          <w:szCs w:val="21"/>
        </w:rPr>
        <w:t xml:space="preserve">probandum </w:t>
      </w:r>
      <w:r w:rsidRPr="00E10347">
        <w:rPr>
          <w:rFonts w:ascii="Palatino Linotype" w:hAnsi="Palatino Linotype"/>
          <w:sz w:val="21"/>
          <w:szCs w:val="21"/>
        </w:rPr>
        <w:t>de ese medio concreto</w:t>
      </w:r>
      <w:r w:rsidRPr="00E10347">
        <w:rPr>
          <w:rFonts w:ascii="Palatino Linotype" w:hAnsi="Palatino Linotype"/>
          <w:i/>
          <w:sz w:val="21"/>
          <w:szCs w:val="21"/>
        </w:rPr>
        <w:t xml:space="preserve">, </w:t>
      </w:r>
      <w:r w:rsidRPr="00E10347">
        <w:rPr>
          <w:rFonts w:ascii="Palatino Linotype" w:hAnsi="Palatino Linotype"/>
          <w:sz w:val="21"/>
          <w:szCs w:val="21"/>
        </w:rPr>
        <w:t xml:space="preserve">sin embargo, hay un bien superior que lo justifica y se refuerza con esta disposición, cual es, la buena fe procesal, que exige un litigio respetuoso </w:t>
      </w:r>
      <w:r w:rsidRPr="00E10347">
        <w:rPr>
          <w:rFonts w:ascii="Palatino Linotype" w:hAnsi="Palatino Linotype"/>
          <w:i/>
          <w:sz w:val="21"/>
          <w:szCs w:val="21"/>
        </w:rPr>
        <w:t>inter</w:t>
      </w:r>
      <w:r w:rsidRPr="00E10347">
        <w:rPr>
          <w:rFonts w:ascii="Palatino Linotype" w:hAnsi="Palatino Linotype"/>
          <w:sz w:val="21"/>
          <w:szCs w:val="21"/>
        </w:rPr>
        <w:t xml:space="preserve"> partes y hacia el despacho judicial.</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En cuanto a la prueba testimonial, hay una variante respecto del numeral 476 del Código de Trabajo actualmente vigente, la cual consiste en reducir el número de personas testigos a ofrecer por cada hecho, pues lo pasa de 4 a 2 (reproduciendo la práctica que se ha venido implantando en muchos despachos judiciales), e introduce la variable de un máximo de 4 personas, sobre los hechos generales.</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lastRenderedPageBreak/>
        <w:t>La enunciación de medios probatorios del numeral 479 de la Reforma Procesal Laboral, es reproducida en términos muy similares, por el NCPC en su artículo 41.2 que reza</w:t>
      </w:r>
      <w:r w:rsidRPr="00E10347">
        <w:rPr>
          <w:rFonts w:ascii="Palatino Linotype" w:hAnsi="Palatino Linotype"/>
          <w:i/>
          <w:sz w:val="21"/>
          <w:szCs w:val="21"/>
        </w:rPr>
        <w:t xml:space="preserve">: “Medios de prueba. Son admisible como medios de prueba los siguientes: 1. Declaración de parte. 2. Declaración de testigos. 3. Dictamen de peritos. 4. Documentos e informes. 5. Reconocimiento judicial. 6. Medios científicos y tecnológicos. 7. Cualquier otro no prohibido.” </w:t>
      </w:r>
      <w:r w:rsidRPr="00E10347">
        <w:rPr>
          <w:rFonts w:ascii="Palatino Linotype" w:hAnsi="Palatino Linotype"/>
          <w:sz w:val="21"/>
          <w:szCs w:val="21"/>
        </w:rPr>
        <w:t>Si comparamos esta lista con la letra del numeral 318 del actual CPC, observamos que las presunciones y los indicios dejaron de considerarse medios de prueba por parte del legislador patrio, lo cual encuentra origen doctrinario, en tanto las presunciones no se consideran medios de prueba, sino, prueba como tal, y respecto de los indicios, no hay uniformidad de critero respecto si lo son</w:t>
      </w:r>
      <w:r w:rsidRPr="00E10347">
        <w:rPr>
          <w:rStyle w:val="Refdenotaalpie"/>
          <w:rFonts w:ascii="Palatino Linotype" w:hAnsi="Palatino Linotype"/>
          <w:sz w:val="21"/>
          <w:szCs w:val="21"/>
        </w:rPr>
        <w:footnoteReference w:id="5"/>
      </w:r>
      <w:r w:rsidRPr="00E10347">
        <w:rPr>
          <w:rFonts w:ascii="Palatino Linotype" w:hAnsi="Palatino Linotype"/>
          <w:sz w:val="21"/>
          <w:szCs w:val="21"/>
        </w:rPr>
        <w:t>, pero sin duda alguna, estos últimos son fuente para llegar a tener por acreditado un hecho determinado, en el tanto reúnan las características que los hagan idóneos para tales propósitos, muy desarrollados por el derecho penal:</w:t>
      </w:r>
    </w:p>
    <w:p w:rsidR="009A5379" w:rsidRDefault="00C4690B" w:rsidP="009A5379">
      <w:pPr>
        <w:ind w:left="708" w:firstLine="709"/>
        <w:jc w:val="both"/>
        <w:rPr>
          <w:rFonts w:ascii="Palatino Linotype" w:hAnsi="Palatino Linotype"/>
          <w:sz w:val="21"/>
          <w:szCs w:val="21"/>
        </w:rPr>
      </w:pPr>
      <w:r w:rsidRPr="00E10347">
        <w:rPr>
          <w:rFonts w:ascii="Palatino Linotype" w:hAnsi="Palatino Linotype"/>
          <w:bCs/>
          <w:sz w:val="21"/>
          <w:szCs w:val="21"/>
        </w:rPr>
        <w:t>“XIX. […] Como bien sabemos, los indicios son circunstancias conocidas (hecho indiciario) que permiten inferir, lógicamente la existencia de otras (hecho indicado) que es necesario demostrar, de tal manera que la valoración conjunta de tales indicios, en aplicación de los principios de sana crítica y libertad probatoria, permita inferir un solo resultado, con fuerza de plena prueba (univocidad del indicio), pues en el tanto los indicios examinados permitan diferentes posibilidades de conclusión, no pueden ser estimados como sustento eficiente para lograr un juicio de certeza sobre el resultado que se pretende demostrar (indicio anfibológico).” (Sala Tercera de la Corte Suprema de Justicia. N°872 del 19 de agosto de 2008)</w:t>
      </w:r>
    </w:p>
    <w:p w:rsidR="009A5379" w:rsidRDefault="009A5379" w:rsidP="009A5379">
      <w:pPr>
        <w:jc w:val="both"/>
        <w:rPr>
          <w:rFonts w:ascii="Palatino Linotype" w:hAnsi="Palatino Linotype"/>
          <w:sz w:val="21"/>
          <w:szCs w:val="21"/>
        </w:rPr>
      </w:pPr>
    </w:p>
    <w:p w:rsidR="00C4690B" w:rsidRPr="009A5379" w:rsidRDefault="003F3E60" w:rsidP="009A5379">
      <w:pPr>
        <w:jc w:val="both"/>
        <w:rPr>
          <w:rFonts w:ascii="Palatino Linotype" w:hAnsi="Palatino Linotype"/>
          <w:sz w:val="21"/>
          <w:szCs w:val="21"/>
        </w:rPr>
      </w:pPr>
      <w:r w:rsidRPr="00E10347">
        <w:rPr>
          <w:rFonts w:ascii="Palatino Linotype" w:hAnsi="Palatino Linotype"/>
          <w:b/>
          <w:sz w:val="21"/>
          <w:szCs w:val="21"/>
        </w:rPr>
        <w:t xml:space="preserve">5.- </w:t>
      </w:r>
      <w:r w:rsidR="00C4690B" w:rsidRPr="00E10347">
        <w:rPr>
          <w:rFonts w:ascii="Palatino Linotype" w:hAnsi="Palatino Linotype"/>
          <w:b/>
          <w:sz w:val="21"/>
          <w:szCs w:val="21"/>
        </w:rPr>
        <w:t>Exención probatoria</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Según el artículo 480 de la Reforma Procesal Laboral, no requieren prueba: a) las normas de derecho internacional o interno debidamente publicadas; b) los hechos notorios; c) los hechos amparados por una presunción legal; c) los ya probados, admitidos o confesados.</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En un sentido similar, el numeral 41.3 del NCPC dispone -como parte del tamiz de admisibilidad que realiza el órgano jurisdiccional- el rechazo por los </w:t>
      </w:r>
      <w:r w:rsidRPr="00E10347">
        <w:rPr>
          <w:rFonts w:ascii="Palatino Linotype" w:hAnsi="Palatino Linotype"/>
          <w:sz w:val="21"/>
          <w:szCs w:val="21"/>
        </w:rPr>
        <w:lastRenderedPageBreak/>
        <w:t>medios probatorios que pretendan acreditar: hechos admitidos, amparados a una presunción absoluta, evidentes o notorios, así como aquellos que resulten: impertinentes, excesivos, inconducentes o ilegales.</w:t>
      </w:r>
    </w:p>
    <w:p w:rsidR="00C4690B" w:rsidRPr="00E10347" w:rsidRDefault="00C4690B" w:rsidP="00E10347">
      <w:pPr>
        <w:ind w:firstLine="709"/>
        <w:jc w:val="both"/>
        <w:rPr>
          <w:rStyle w:val="spelle"/>
          <w:rFonts w:ascii="Palatino Linotype" w:hAnsi="Palatino Linotype"/>
          <w:sz w:val="21"/>
          <w:szCs w:val="21"/>
        </w:rPr>
      </w:pPr>
      <w:r w:rsidRPr="00E10347">
        <w:rPr>
          <w:rFonts w:ascii="Palatino Linotype" w:hAnsi="Palatino Linotype"/>
          <w:sz w:val="21"/>
          <w:szCs w:val="21"/>
        </w:rPr>
        <w:t xml:space="preserve">Un ejemplo claro de presunción legal en el ámbito laboral, lo constituye el artículo 18 del Código de Trabajo (no afectado por la Reforma), con respecto al cual, se ha pronunciado la jurisprudencia así: </w:t>
      </w:r>
    </w:p>
    <w:p w:rsidR="00C4690B" w:rsidRPr="00E10347" w:rsidRDefault="00C4690B" w:rsidP="00E10347">
      <w:pPr>
        <w:ind w:left="708" w:firstLine="709"/>
        <w:jc w:val="both"/>
        <w:rPr>
          <w:rFonts w:ascii="Palatino Linotype" w:hAnsi="Palatino Linotype"/>
          <w:sz w:val="21"/>
          <w:szCs w:val="21"/>
        </w:rPr>
      </w:pPr>
      <w:r w:rsidRPr="00E10347">
        <w:rPr>
          <w:rStyle w:val="spelle"/>
          <w:rFonts w:ascii="Palatino Linotype" w:hAnsi="Palatino Linotype"/>
          <w:sz w:val="21"/>
          <w:szCs w:val="21"/>
          <w:lang w:val="es-CR"/>
        </w:rPr>
        <w:t>“…Tal</w:t>
      </w:r>
      <w:r w:rsidRPr="00E10347">
        <w:rPr>
          <w:rFonts w:ascii="Palatino Linotype" w:hAnsi="Palatino Linotype"/>
          <w:sz w:val="21"/>
          <w:szCs w:val="21"/>
          <w:lang w:val="es-CR"/>
        </w:rPr>
        <w:t xml:space="preserve"> y </w:t>
      </w:r>
      <w:r w:rsidRPr="00E10347">
        <w:rPr>
          <w:rStyle w:val="spelle"/>
          <w:rFonts w:ascii="Palatino Linotype" w:hAnsi="Palatino Linotype"/>
          <w:sz w:val="21"/>
          <w:szCs w:val="21"/>
          <w:lang w:val="es-CR"/>
        </w:rPr>
        <w:t>como</w:t>
      </w:r>
      <w:r w:rsidRPr="00E10347">
        <w:rPr>
          <w:rFonts w:ascii="Palatino Linotype" w:hAnsi="Palatino Linotype"/>
          <w:sz w:val="21"/>
          <w:szCs w:val="21"/>
          <w:lang w:val="es-CR"/>
        </w:rPr>
        <w:t xml:space="preserve"> se </w:t>
      </w:r>
      <w:r w:rsidRPr="00E10347">
        <w:rPr>
          <w:rStyle w:val="spelle"/>
          <w:rFonts w:ascii="Palatino Linotype" w:hAnsi="Palatino Linotype"/>
          <w:sz w:val="21"/>
          <w:szCs w:val="21"/>
          <w:lang w:val="es-CR"/>
        </w:rPr>
        <w:t>explicó</w:t>
      </w:r>
      <w:r w:rsidRPr="00E10347">
        <w:rPr>
          <w:rFonts w:ascii="Palatino Linotype" w:hAnsi="Palatino Linotype"/>
          <w:sz w:val="21"/>
          <w:szCs w:val="21"/>
          <w:lang w:val="es-CR"/>
        </w:rPr>
        <w:t xml:space="preserve"> en el </w:t>
      </w:r>
      <w:r w:rsidRPr="00E10347">
        <w:rPr>
          <w:rStyle w:val="spelle"/>
          <w:rFonts w:ascii="Palatino Linotype" w:hAnsi="Palatino Linotype"/>
          <w:sz w:val="21"/>
          <w:szCs w:val="21"/>
          <w:lang w:val="es-CR"/>
        </w:rPr>
        <w:t>considerando</w:t>
      </w:r>
      <w:r w:rsidRPr="00E10347">
        <w:rPr>
          <w:rFonts w:ascii="Palatino Linotype" w:hAnsi="Palatino Linotype"/>
          <w:sz w:val="21"/>
          <w:szCs w:val="21"/>
          <w:lang w:val="es-CR"/>
        </w:rPr>
        <w:t xml:space="preserve"> anterior, el numeral 18 del </w:t>
      </w:r>
      <w:r w:rsidRPr="00E10347">
        <w:rPr>
          <w:rStyle w:val="spelle"/>
          <w:rFonts w:ascii="Palatino Linotype" w:hAnsi="Palatino Linotype"/>
          <w:sz w:val="21"/>
          <w:szCs w:val="21"/>
          <w:lang w:val="es-CR"/>
        </w:rPr>
        <w:t>Código</w:t>
      </w:r>
      <w:r w:rsidRPr="00E10347">
        <w:rPr>
          <w:rFonts w:ascii="Palatino Linotype" w:hAnsi="Palatino Linotype"/>
          <w:sz w:val="21"/>
          <w:szCs w:val="21"/>
          <w:lang w:val="es-CR"/>
        </w:rPr>
        <w:t xml:space="preserve"> de </w:t>
      </w:r>
      <w:r w:rsidRPr="00E10347">
        <w:rPr>
          <w:rStyle w:val="spelle"/>
          <w:rFonts w:ascii="Palatino Linotype" w:hAnsi="Palatino Linotype"/>
          <w:sz w:val="21"/>
          <w:szCs w:val="21"/>
          <w:lang w:val="es-CR"/>
        </w:rPr>
        <w:t>Trabajo</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contempla</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una</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presunción</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iuris</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tantum</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respecto</w:t>
      </w:r>
      <w:r w:rsidRPr="00E10347">
        <w:rPr>
          <w:rFonts w:ascii="Palatino Linotype" w:hAnsi="Palatino Linotype"/>
          <w:sz w:val="21"/>
          <w:szCs w:val="21"/>
          <w:lang w:val="es-CR"/>
        </w:rPr>
        <w:t xml:space="preserve"> de la </w:t>
      </w:r>
      <w:r w:rsidRPr="00E10347">
        <w:rPr>
          <w:rStyle w:val="spelle"/>
          <w:rFonts w:ascii="Palatino Linotype" w:hAnsi="Palatino Linotype"/>
          <w:sz w:val="21"/>
          <w:szCs w:val="21"/>
          <w:lang w:val="es-CR"/>
        </w:rPr>
        <w:t>existencia</w:t>
      </w:r>
      <w:r w:rsidRPr="00E10347">
        <w:rPr>
          <w:rFonts w:ascii="Palatino Linotype" w:hAnsi="Palatino Linotype"/>
          <w:sz w:val="21"/>
          <w:szCs w:val="21"/>
          <w:lang w:val="es-CR"/>
        </w:rPr>
        <w:t xml:space="preserve"> de </w:t>
      </w:r>
      <w:r w:rsidRPr="00E10347">
        <w:rPr>
          <w:rStyle w:val="spelle"/>
          <w:rFonts w:ascii="Palatino Linotype" w:hAnsi="Palatino Linotype"/>
          <w:sz w:val="21"/>
          <w:szCs w:val="21"/>
          <w:lang w:val="es-CR"/>
        </w:rPr>
        <w:t>una</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relación</w:t>
      </w:r>
      <w:r w:rsidRPr="00E10347">
        <w:rPr>
          <w:rFonts w:ascii="Palatino Linotype" w:hAnsi="Palatino Linotype"/>
          <w:sz w:val="21"/>
          <w:szCs w:val="21"/>
          <w:lang w:val="es-CR"/>
        </w:rPr>
        <w:t xml:space="preserve"> de </w:t>
      </w:r>
      <w:r w:rsidRPr="00E10347">
        <w:rPr>
          <w:rStyle w:val="spelle"/>
          <w:rFonts w:ascii="Palatino Linotype" w:hAnsi="Palatino Linotype"/>
          <w:sz w:val="21"/>
          <w:szCs w:val="21"/>
          <w:lang w:val="es-CR"/>
        </w:rPr>
        <w:t>trabajo</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entre</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quien</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presta</w:t>
      </w:r>
      <w:r w:rsidRPr="00E10347">
        <w:rPr>
          <w:rFonts w:ascii="Palatino Linotype" w:hAnsi="Palatino Linotype"/>
          <w:sz w:val="21"/>
          <w:szCs w:val="21"/>
          <w:lang w:val="es-CR"/>
        </w:rPr>
        <w:t xml:space="preserve"> un </w:t>
      </w:r>
      <w:r w:rsidRPr="00E10347">
        <w:rPr>
          <w:rStyle w:val="spelle"/>
          <w:rFonts w:ascii="Palatino Linotype" w:hAnsi="Palatino Linotype"/>
          <w:sz w:val="21"/>
          <w:szCs w:val="21"/>
          <w:lang w:val="es-CR"/>
        </w:rPr>
        <w:t>servicio</w:t>
      </w:r>
      <w:r w:rsidRPr="00E10347">
        <w:rPr>
          <w:rFonts w:ascii="Palatino Linotype" w:hAnsi="Palatino Linotype"/>
          <w:sz w:val="21"/>
          <w:szCs w:val="21"/>
          <w:lang w:val="es-CR"/>
        </w:rPr>
        <w:t xml:space="preserve"> y la persona </w:t>
      </w:r>
      <w:r w:rsidRPr="00E10347">
        <w:rPr>
          <w:rStyle w:val="spelle"/>
          <w:rFonts w:ascii="Palatino Linotype" w:hAnsi="Palatino Linotype"/>
          <w:sz w:val="21"/>
          <w:szCs w:val="21"/>
          <w:lang w:val="es-CR"/>
        </w:rPr>
        <w:t>que</w:t>
      </w:r>
      <w:r w:rsidRPr="00E10347">
        <w:rPr>
          <w:rFonts w:ascii="Palatino Linotype" w:hAnsi="Palatino Linotype"/>
          <w:sz w:val="21"/>
          <w:szCs w:val="21"/>
          <w:lang w:val="es-CR"/>
        </w:rPr>
        <w:t xml:space="preserve"> lo </w:t>
      </w:r>
      <w:r w:rsidRPr="00E10347">
        <w:rPr>
          <w:rStyle w:val="spelle"/>
          <w:rFonts w:ascii="Palatino Linotype" w:hAnsi="Palatino Linotype"/>
          <w:sz w:val="21"/>
          <w:szCs w:val="21"/>
          <w:lang w:val="es-CR"/>
        </w:rPr>
        <w:t>recibe</w:t>
      </w:r>
      <w:r w:rsidRPr="00E10347">
        <w:rPr>
          <w:rFonts w:ascii="Palatino Linotype" w:hAnsi="Palatino Linotype"/>
          <w:sz w:val="21"/>
          <w:szCs w:val="21"/>
          <w:lang w:val="es-CR"/>
        </w:rPr>
        <w:t xml:space="preserve">. La </w:t>
      </w:r>
      <w:r w:rsidRPr="00E10347">
        <w:rPr>
          <w:rStyle w:val="spelle"/>
          <w:rFonts w:ascii="Palatino Linotype" w:hAnsi="Palatino Linotype"/>
          <w:sz w:val="21"/>
          <w:szCs w:val="21"/>
          <w:lang w:val="es-CR"/>
        </w:rPr>
        <w:t>doctrina</w:t>
      </w:r>
      <w:r w:rsidRPr="00E10347">
        <w:rPr>
          <w:rFonts w:ascii="Palatino Linotype" w:hAnsi="Palatino Linotype"/>
          <w:sz w:val="21"/>
          <w:szCs w:val="21"/>
          <w:lang w:val="es-CR"/>
        </w:rPr>
        <w:t xml:space="preserve">, ha </w:t>
      </w:r>
      <w:r w:rsidRPr="00E10347">
        <w:rPr>
          <w:rStyle w:val="spelle"/>
          <w:rFonts w:ascii="Palatino Linotype" w:hAnsi="Palatino Linotype"/>
          <w:sz w:val="21"/>
          <w:szCs w:val="21"/>
          <w:lang w:val="es-CR"/>
        </w:rPr>
        <w:t>definido</w:t>
      </w:r>
      <w:r w:rsidRPr="00E10347">
        <w:rPr>
          <w:rFonts w:ascii="Palatino Linotype" w:hAnsi="Palatino Linotype"/>
          <w:sz w:val="21"/>
          <w:szCs w:val="21"/>
          <w:lang w:val="es-CR"/>
        </w:rPr>
        <w:t xml:space="preserve"> a la “</w:t>
      </w:r>
      <w:r w:rsidRPr="00E10347">
        <w:rPr>
          <w:rStyle w:val="spelle"/>
          <w:rFonts w:ascii="Palatino Linotype" w:hAnsi="Palatino Linotype"/>
          <w:sz w:val="21"/>
          <w:szCs w:val="21"/>
          <w:lang w:val="es-CR"/>
        </w:rPr>
        <w:t>presunción</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como</w:t>
      </w:r>
      <w:r w:rsidRPr="00E10347">
        <w:rPr>
          <w:rFonts w:ascii="Palatino Linotype" w:hAnsi="Palatino Linotype"/>
          <w:sz w:val="21"/>
          <w:szCs w:val="21"/>
          <w:lang w:val="es-CR"/>
        </w:rPr>
        <w:t xml:space="preserve"> la </w:t>
      </w:r>
      <w:r w:rsidRPr="00E10347">
        <w:rPr>
          <w:rStyle w:val="spelle"/>
          <w:rFonts w:ascii="Palatino Linotype" w:hAnsi="Palatino Linotype"/>
          <w:sz w:val="21"/>
          <w:szCs w:val="21"/>
          <w:lang w:val="es-CR"/>
        </w:rPr>
        <w:t>facultad</w:t>
      </w:r>
      <w:r w:rsidRPr="00E10347">
        <w:rPr>
          <w:rFonts w:ascii="Palatino Linotype" w:hAnsi="Palatino Linotype"/>
          <w:sz w:val="21"/>
          <w:szCs w:val="21"/>
          <w:lang w:val="es-CR"/>
        </w:rPr>
        <w:t xml:space="preserve"> del </w:t>
      </w:r>
      <w:r w:rsidRPr="00E10347">
        <w:rPr>
          <w:rStyle w:val="spelle"/>
          <w:rFonts w:ascii="Palatino Linotype" w:hAnsi="Palatino Linotype"/>
          <w:sz w:val="21"/>
          <w:szCs w:val="21"/>
          <w:lang w:val="es-CR"/>
        </w:rPr>
        <w:t>juzgador</w:t>
      </w:r>
      <w:r w:rsidRPr="00E10347">
        <w:rPr>
          <w:rFonts w:ascii="Palatino Linotype" w:hAnsi="Palatino Linotype"/>
          <w:sz w:val="21"/>
          <w:szCs w:val="21"/>
          <w:lang w:val="es-CR"/>
        </w:rPr>
        <w:t xml:space="preserve"> de </w:t>
      </w:r>
      <w:r w:rsidRPr="00E10347">
        <w:rPr>
          <w:rStyle w:val="spelle"/>
          <w:rFonts w:ascii="Palatino Linotype" w:hAnsi="Palatino Linotype"/>
          <w:sz w:val="21"/>
          <w:szCs w:val="21"/>
          <w:lang w:val="es-CR"/>
        </w:rPr>
        <w:t>deducir</w:t>
      </w:r>
      <w:r w:rsidRPr="00E10347">
        <w:rPr>
          <w:rFonts w:ascii="Palatino Linotype" w:hAnsi="Palatino Linotype"/>
          <w:sz w:val="21"/>
          <w:szCs w:val="21"/>
          <w:lang w:val="es-CR"/>
        </w:rPr>
        <w:t xml:space="preserve"> un </w:t>
      </w:r>
      <w:r w:rsidRPr="00E10347">
        <w:rPr>
          <w:rStyle w:val="spelle"/>
          <w:rFonts w:ascii="Palatino Linotype" w:hAnsi="Palatino Linotype"/>
          <w:sz w:val="21"/>
          <w:szCs w:val="21"/>
          <w:lang w:val="es-CR"/>
        </w:rPr>
        <w:t>hecho</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relevante</w:t>
      </w:r>
      <w:r w:rsidRPr="00E10347">
        <w:rPr>
          <w:rFonts w:ascii="Palatino Linotype" w:hAnsi="Palatino Linotype"/>
          <w:sz w:val="21"/>
          <w:szCs w:val="21"/>
          <w:lang w:val="es-CR"/>
        </w:rPr>
        <w:t xml:space="preserve"> en </w:t>
      </w:r>
      <w:r w:rsidRPr="00E10347">
        <w:rPr>
          <w:rStyle w:val="spelle"/>
          <w:rFonts w:ascii="Palatino Linotype" w:hAnsi="Palatino Linotype"/>
          <w:sz w:val="21"/>
          <w:szCs w:val="21"/>
          <w:lang w:val="es-CR"/>
        </w:rPr>
        <w:t>una</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determinada</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controversia</w:t>
      </w:r>
      <w:r w:rsidRPr="00E10347">
        <w:rPr>
          <w:rFonts w:ascii="Palatino Linotype" w:hAnsi="Palatino Linotype"/>
          <w:sz w:val="21"/>
          <w:szCs w:val="21"/>
          <w:lang w:val="es-CR"/>
        </w:rPr>
        <w:t xml:space="preserve">-, y </w:t>
      </w:r>
      <w:r w:rsidRPr="00E10347">
        <w:rPr>
          <w:rStyle w:val="spelle"/>
          <w:rFonts w:ascii="Palatino Linotype" w:hAnsi="Palatino Linotype"/>
          <w:sz w:val="21"/>
          <w:szCs w:val="21"/>
          <w:lang w:val="es-CR"/>
        </w:rPr>
        <w:t>que</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resulta</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desconocido</w:t>
      </w:r>
      <w:r w:rsidRPr="00E10347">
        <w:rPr>
          <w:rFonts w:ascii="Palatino Linotype" w:hAnsi="Palatino Linotype"/>
          <w:sz w:val="21"/>
          <w:szCs w:val="21"/>
          <w:lang w:val="es-CR"/>
        </w:rPr>
        <w:t xml:space="preserve">, a </w:t>
      </w:r>
      <w:r w:rsidRPr="00E10347">
        <w:rPr>
          <w:rStyle w:val="spelle"/>
          <w:rFonts w:ascii="Palatino Linotype" w:hAnsi="Palatino Linotype"/>
          <w:sz w:val="21"/>
          <w:szCs w:val="21"/>
          <w:lang w:val="es-CR"/>
        </w:rPr>
        <w:t>partir</w:t>
      </w:r>
      <w:r w:rsidRPr="00E10347">
        <w:rPr>
          <w:rFonts w:ascii="Palatino Linotype" w:hAnsi="Palatino Linotype"/>
          <w:sz w:val="21"/>
          <w:szCs w:val="21"/>
          <w:lang w:val="es-CR"/>
        </w:rPr>
        <w:t xml:space="preserve"> de </w:t>
      </w:r>
      <w:r w:rsidRPr="00E10347">
        <w:rPr>
          <w:rStyle w:val="spelle"/>
          <w:rFonts w:ascii="Palatino Linotype" w:hAnsi="Palatino Linotype"/>
          <w:sz w:val="21"/>
          <w:szCs w:val="21"/>
          <w:lang w:val="es-CR"/>
        </w:rPr>
        <w:t>otro</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hecho</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que</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sí</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resulta</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conocido</w:t>
      </w:r>
      <w:r w:rsidRPr="00E10347">
        <w:rPr>
          <w:rFonts w:ascii="Palatino Linotype" w:hAnsi="Palatino Linotype"/>
          <w:sz w:val="21"/>
          <w:szCs w:val="21"/>
          <w:lang w:val="es-CR"/>
        </w:rPr>
        <w:t xml:space="preserve">, y de </w:t>
      </w:r>
      <w:r w:rsidRPr="00E10347">
        <w:rPr>
          <w:rStyle w:val="spelle"/>
          <w:rFonts w:ascii="Palatino Linotype" w:hAnsi="Palatino Linotype"/>
          <w:sz w:val="21"/>
          <w:szCs w:val="21"/>
          <w:lang w:val="es-CR"/>
        </w:rPr>
        <w:t>cuya</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presencia</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cabe</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deducir</w:t>
      </w:r>
      <w:r w:rsidRPr="00E10347">
        <w:rPr>
          <w:rFonts w:ascii="Palatino Linotype" w:hAnsi="Palatino Linotype"/>
          <w:sz w:val="21"/>
          <w:szCs w:val="21"/>
          <w:lang w:val="es-CR"/>
        </w:rPr>
        <w:t xml:space="preserve"> la </w:t>
      </w:r>
      <w:r w:rsidRPr="00E10347">
        <w:rPr>
          <w:rStyle w:val="spelle"/>
          <w:rFonts w:ascii="Palatino Linotype" w:hAnsi="Palatino Linotype"/>
          <w:sz w:val="21"/>
          <w:szCs w:val="21"/>
          <w:lang w:val="es-CR"/>
        </w:rPr>
        <w:t>existencia</w:t>
      </w:r>
      <w:r w:rsidRPr="00E10347">
        <w:rPr>
          <w:rFonts w:ascii="Palatino Linotype" w:hAnsi="Palatino Linotype"/>
          <w:sz w:val="21"/>
          <w:szCs w:val="21"/>
          <w:lang w:val="es-CR"/>
        </w:rPr>
        <w:t xml:space="preserve"> del anterior. Es </w:t>
      </w:r>
      <w:r w:rsidRPr="00E10347">
        <w:rPr>
          <w:rStyle w:val="grame"/>
          <w:rFonts w:ascii="Palatino Linotype" w:hAnsi="Palatino Linotype"/>
          <w:sz w:val="21"/>
          <w:szCs w:val="21"/>
          <w:lang w:val="es-CR"/>
        </w:rPr>
        <w:t>un</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mecanismo</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para</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deducir</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datos</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desconocidos</w:t>
      </w:r>
      <w:r w:rsidRPr="00E10347">
        <w:rPr>
          <w:rFonts w:ascii="Palatino Linotype" w:hAnsi="Palatino Linotype"/>
          <w:sz w:val="21"/>
          <w:szCs w:val="21"/>
          <w:lang w:val="es-CR"/>
        </w:rPr>
        <w:t xml:space="preserve">, a </w:t>
      </w:r>
      <w:r w:rsidRPr="00E10347">
        <w:rPr>
          <w:rStyle w:val="spelle"/>
          <w:rFonts w:ascii="Palatino Linotype" w:hAnsi="Palatino Linotype"/>
          <w:sz w:val="21"/>
          <w:szCs w:val="21"/>
          <w:lang w:val="es-CR"/>
        </w:rPr>
        <w:t>partir</w:t>
      </w:r>
      <w:r w:rsidRPr="00E10347">
        <w:rPr>
          <w:rFonts w:ascii="Palatino Linotype" w:hAnsi="Palatino Linotype"/>
          <w:sz w:val="21"/>
          <w:szCs w:val="21"/>
          <w:lang w:val="es-CR"/>
        </w:rPr>
        <w:t xml:space="preserve"> de </w:t>
      </w:r>
      <w:r w:rsidRPr="00E10347">
        <w:rPr>
          <w:rStyle w:val="spelle"/>
          <w:rFonts w:ascii="Palatino Linotype" w:hAnsi="Palatino Linotype"/>
          <w:sz w:val="21"/>
          <w:szCs w:val="21"/>
          <w:lang w:val="es-CR"/>
        </w:rPr>
        <w:t>otros</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conocidos</w:t>
      </w:r>
      <w:r w:rsidRPr="00E10347">
        <w:rPr>
          <w:rFonts w:ascii="Palatino Linotype" w:hAnsi="Palatino Linotype"/>
          <w:sz w:val="21"/>
          <w:szCs w:val="21"/>
          <w:lang w:val="es-CR"/>
        </w:rPr>
        <w:t xml:space="preserve">; de </w:t>
      </w:r>
      <w:r w:rsidRPr="00E10347">
        <w:rPr>
          <w:rStyle w:val="spelle"/>
          <w:rFonts w:ascii="Palatino Linotype" w:hAnsi="Palatino Linotype"/>
          <w:sz w:val="21"/>
          <w:szCs w:val="21"/>
          <w:lang w:val="es-CR"/>
        </w:rPr>
        <w:t>cuyo</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razonamiento</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deductivo</w:t>
      </w:r>
      <w:r w:rsidRPr="00E10347">
        <w:rPr>
          <w:rFonts w:ascii="Palatino Linotype" w:hAnsi="Palatino Linotype"/>
          <w:sz w:val="21"/>
          <w:szCs w:val="21"/>
          <w:lang w:val="es-CR"/>
        </w:rPr>
        <w:t xml:space="preserve">, y la </w:t>
      </w:r>
      <w:r w:rsidRPr="00E10347">
        <w:rPr>
          <w:rStyle w:val="spelle"/>
          <w:rFonts w:ascii="Palatino Linotype" w:hAnsi="Palatino Linotype"/>
          <w:sz w:val="21"/>
          <w:szCs w:val="21"/>
          <w:lang w:val="es-CR"/>
        </w:rPr>
        <w:t>consecuente</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deducción</w:t>
      </w:r>
      <w:r w:rsidRPr="00E10347">
        <w:rPr>
          <w:rFonts w:ascii="Palatino Linotype" w:hAnsi="Palatino Linotype"/>
          <w:sz w:val="21"/>
          <w:szCs w:val="21"/>
          <w:lang w:val="es-CR"/>
        </w:rPr>
        <w:t xml:space="preserve"> de </w:t>
      </w:r>
      <w:r w:rsidRPr="00E10347">
        <w:rPr>
          <w:rStyle w:val="spelle"/>
          <w:rFonts w:ascii="Palatino Linotype" w:hAnsi="Palatino Linotype"/>
          <w:sz w:val="21"/>
          <w:szCs w:val="21"/>
          <w:lang w:val="es-CR"/>
        </w:rPr>
        <w:t>datos</w:t>
      </w:r>
      <w:r w:rsidRPr="00E10347">
        <w:rPr>
          <w:rFonts w:ascii="Palatino Linotype" w:hAnsi="Palatino Linotype"/>
          <w:sz w:val="21"/>
          <w:szCs w:val="21"/>
          <w:lang w:val="es-CR"/>
        </w:rPr>
        <w:t xml:space="preserve">, surge la </w:t>
      </w:r>
      <w:r w:rsidRPr="00E10347">
        <w:rPr>
          <w:rStyle w:val="spelle"/>
          <w:rFonts w:ascii="Palatino Linotype" w:hAnsi="Palatino Linotype"/>
          <w:sz w:val="21"/>
          <w:szCs w:val="21"/>
          <w:lang w:val="es-CR"/>
        </w:rPr>
        <w:t>naturaleza</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misma</w:t>
      </w:r>
      <w:r w:rsidRPr="00E10347">
        <w:rPr>
          <w:rFonts w:ascii="Palatino Linotype" w:hAnsi="Palatino Linotype"/>
          <w:sz w:val="21"/>
          <w:szCs w:val="21"/>
          <w:lang w:val="es-CR"/>
        </w:rPr>
        <w:t xml:space="preserve"> de la </w:t>
      </w:r>
      <w:r w:rsidRPr="00E10347">
        <w:rPr>
          <w:rStyle w:val="spelle"/>
          <w:rFonts w:ascii="Palatino Linotype" w:hAnsi="Palatino Linotype"/>
          <w:sz w:val="21"/>
          <w:szCs w:val="21"/>
          <w:lang w:val="es-CR"/>
        </w:rPr>
        <w:t>presunción</w:t>
      </w:r>
      <w:r w:rsidRPr="00E10347">
        <w:rPr>
          <w:rFonts w:ascii="Palatino Linotype" w:hAnsi="Palatino Linotype"/>
          <w:sz w:val="21"/>
          <w:szCs w:val="21"/>
          <w:lang w:val="es-CR"/>
        </w:rPr>
        <w:t xml:space="preserve">. </w:t>
      </w:r>
      <w:r w:rsidRPr="00E10347">
        <w:rPr>
          <w:rStyle w:val="grame"/>
          <w:rFonts w:ascii="Palatino Linotype" w:hAnsi="Palatino Linotype"/>
          <w:sz w:val="21"/>
          <w:szCs w:val="21"/>
          <w:lang w:val="es-CR"/>
        </w:rPr>
        <w:t xml:space="preserve">Bajo </w:t>
      </w:r>
      <w:r w:rsidRPr="00E10347">
        <w:rPr>
          <w:rStyle w:val="spelle"/>
          <w:rFonts w:ascii="Palatino Linotype" w:hAnsi="Palatino Linotype"/>
          <w:sz w:val="21"/>
          <w:szCs w:val="21"/>
          <w:lang w:val="es-CR"/>
        </w:rPr>
        <w:t>esta</w:t>
      </w:r>
      <w:r w:rsidRPr="00E10347">
        <w:rPr>
          <w:rStyle w:val="grame"/>
          <w:rFonts w:ascii="Palatino Linotype" w:hAnsi="Palatino Linotype"/>
          <w:sz w:val="21"/>
          <w:szCs w:val="21"/>
          <w:lang w:val="es-CR"/>
        </w:rPr>
        <w:t xml:space="preserve"> </w:t>
      </w:r>
      <w:r w:rsidRPr="00E10347">
        <w:rPr>
          <w:rStyle w:val="spelle"/>
          <w:rFonts w:ascii="Palatino Linotype" w:hAnsi="Palatino Linotype"/>
          <w:sz w:val="21"/>
          <w:szCs w:val="21"/>
          <w:lang w:val="es-CR"/>
        </w:rPr>
        <w:t>perspectiva</w:t>
      </w:r>
      <w:r w:rsidRPr="00E10347">
        <w:rPr>
          <w:rStyle w:val="grame"/>
          <w:rFonts w:ascii="Palatino Linotype" w:hAnsi="Palatino Linotype"/>
          <w:sz w:val="21"/>
          <w:szCs w:val="21"/>
          <w:lang w:val="es-CR"/>
        </w:rPr>
        <w:t xml:space="preserve">, </w:t>
      </w:r>
      <w:r w:rsidRPr="00E10347">
        <w:rPr>
          <w:rStyle w:val="spelle"/>
          <w:rFonts w:ascii="Palatino Linotype" w:hAnsi="Palatino Linotype"/>
          <w:sz w:val="21"/>
          <w:szCs w:val="21"/>
          <w:lang w:val="es-CR"/>
        </w:rPr>
        <w:t>su</w:t>
      </w:r>
      <w:r w:rsidRPr="00E10347">
        <w:rPr>
          <w:rStyle w:val="grame"/>
          <w:rFonts w:ascii="Palatino Linotype" w:hAnsi="Palatino Linotype"/>
          <w:sz w:val="21"/>
          <w:szCs w:val="21"/>
          <w:lang w:val="es-CR"/>
        </w:rPr>
        <w:t xml:space="preserve"> </w:t>
      </w:r>
      <w:r w:rsidRPr="00E10347">
        <w:rPr>
          <w:rStyle w:val="spelle"/>
          <w:rFonts w:ascii="Palatino Linotype" w:hAnsi="Palatino Linotype"/>
          <w:sz w:val="21"/>
          <w:szCs w:val="21"/>
          <w:lang w:val="es-CR"/>
        </w:rPr>
        <w:t>objetivo</w:t>
      </w:r>
      <w:r w:rsidRPr="00E10347">
        <w:rPr>
          <w:rStyle w:val="grame"/>
          <w:rFonts w:ascii="Palatino Linotype" w:hAnsi="Palatino Linotype"/>
          <w:sz w:val="21"/>
          <w:szCs w:val="21"/>
          <w:lang w:val="es-CR"/>
        </w:rPr>
        <w:t xml:space="preserve"> fundamental </w:t>
      </w:r>
      <w:r w:rsidRPr="00E10347">
        <w:rPr>
          <w:rStyle w:val="spelle"/>
          <w:rFonts w:ascii="Palatino Linotype" w:hAnsi="Palatino Linotype"/>
          <w:sz w:val="21"/>
          <w:szCs w:val="21"/>
          <w:lang w:val="es-CR"/>
        </w:rPr>
        <w:t>es</w:t>
      </w:r>
      <w:r w:rsidRPr="00E10347">
        <w:rPr>
          <w:rStyle w:val="grame"/>
          <w:rFonts w:ascii="Palatino Linotype" w:hAnsi="Palatino Linotype"/>
          <w:sz w:val="21"/>
          <w:szCs w:val="21"/>
          <w:lang w:val="es-CR"/>
        </w:rPr>
        <w:t xml:space="preserve"> </w:t>
      </w:r>
      <w:r w:rsidRPr="00E10347">
        <w:rPr>
          <w:rStyle w:val="spelle"/>
          <w:rFonts w:ascii="Palatino Linotype" w:hAnsi="Palatino Linotype"/>
          <w:sz w:val="21"/>
          <w:szCs w:val="21"/>
          <w:lang w:val="es-CR"/>
        </w:rPr>
        <w:t>facilitar</w:t>
      </w:r>
      <w:r w:rsidRPr="00E10347">
        <w:rPr>
          <w:rStyle w:val="grame"/>
          <w:rFonts w:ascii="Palatino Linotype" w:hAnsi="Palatino Linotype"/>
          <w:sz w:val="21"/>
          <w:szCs w:val="21"/>
          <w:lang w:val="es-CR"/>
        </w:rPr>
        <w:t xml:space="preserve"> la </w:t>
      </w:r>
      <w:r w:rsidRPr="00E10347">
        <w:rPr>
          <w:rStyle w:val="spelle"/>
          <w:rFonts w:ascii="Palatino Linotype" w:hAnsi="Palatino Linotype"/>
          <w:sz w:val="21"/>
          <w:szCs w:val="21"/>
          <w:lang w:val="es-CR"/>
        </w:rPr>
        <w:t>prueba</w:t>
      </w:r>
      <w:r w:rsidRPr="00E10347">
        <w:rPr>
          <w:rStyle w:val="grame"/>
          <w:rFonts w:ascii="Palatino Linotype" w:hAnsi="Palatino Linotype"/>
          <w:sz w:val="21"/>
          <w:szCs w:val="21"/>
          <w:lang w:val="es-CR"/>
        </w:rPr>
        <w:t xml:space="preserve"> de </w:t>
      </w:r>
      <w:r w:rsidRPr="00E10347">
        <w:rPr>
          <w:rStyle w:val="spelle"/>
          <w:rFonts w:ascii="Palatino Linotype" w:hAnsi="Palatino Linotype"/>
          <w:sz w:val="21"/>
          <w:szCs w:val="21"/>
          <w:lang w:val="es-CR"/>
        </w:rPr>
        <w:t>determinados</w:t>
      </w:r>
      <w:r w:rsidRPr="00E10347">
        <w:rPr>
          <w:rStyle w:val="grame"/>
          <w:rFonts w:ascii="Palatino Linotype" w:hAnsi="Palatino Linotype"/>
          <w:sz w:val="21"/>
          <w:szCs w:val="21"/>
          <w:lang w:val="es-CR"/>
        </w:rPr>
        <w:t xml:space="preserve"> </w:t>
      </w:r>
      <w:r w:rsidRPr="00E10347">
        <w:rPr>
          <w:rStyle w:val="spelle"/>
          <w:rFonts w:ascii="Palatino Linotype" w:hAnsi="Palatino Linotype"/>
          <w:sz w:val="21"/>
          <w:szCs w:val="21"/>
          <w:lang w:val="es-CR"/>
        </w:rPr>
        <w:t>hechos</w:t>
      </w:r>
      <w:r w:rsidRPr="00E10347">
        <w:rPr>
          <w:rStyle w:val="grame"/>
          <w:rFonts w:ascii="Palatino Linotype" w:hAnsi="Palatino Linotype"/>
          <w:sz w:val="21"/>
          <w:szCs w:val="21"/>
          <w:lang w:val="es-CR"/>
        </w:rPr>
        <w:t xml:space="preserve">, </w:t>
      </w:r>
      <w:r w:rsidRPr="00E10347">
        <w:rPr>
          <w:rStyle w:val="spelle"/>
          <w:rFonts w:ascii="Palatino Linotype" w:hAnsi="Palatino Linotype"/>
          <w:sz w:val="21"/>
          <w:szCs w:val="21"/>
          <w:lang w:val="es-CR"/>
        </w:rPr>
        <w:t>que</w:t>
      </w:r>
      <w:r w:rsidRPr="00E10347">
        <w:rPr>
          <w:rStyle w:val="grame"/>
          <w:rFonts w:ascii="Palatino Linotype" w:hAnsi="Palatino Linotype"/>
          <w:sz w:val="21"/>
          <w:szCs w:val="21"/>
          <w:lang w:val="es-CR"/>
        </w:rPr>
        <w:t xml:space="preserve"> se </w:t>
      </w:r>
      <w:r w:rsidRPr="00E10347">
        <w:rPr>
          <w:rStyle w:val="spelle"/>
          <w:rFonts w:ascii="Palatino Linotype" w:hAnsi="Palatino Linotype"/>
          <w:sz w:val="21"/>
          <w:szCs w:val="21"/>
          <w:lang w:val="es-CR"/>
        </w:rPr>
        <w:t>consideren</w:t>
      </w:r>
      <w:r w:rsidRPr="00E10347">
        <w:rPr>
          <w:rStyle w:val="grame"/>
          <w:rFonts w:ascii="Palatino Linotype" w:hAnsi="Palatino Linotype"/>
          <w:sz w:val="21"/>
          <w:szCs w:val="21"/>
          <w:lang w:val="es-CR"/>
        </w:rPr>
        <w:t xml:space="preserve"> </w:t>
      </w:r>
      <w:r w:rsidRPr="00E10347">
        <w:rPr>
          <w:rStyle w:val="spelle"/>
          <w:rFonts w:ascii="Palatino Linotype" w:hAnsi="Palatino Linotype"/>
          <w:sz w:val="21"/>
          <w:szCs w:val="21"/>
          <w:lang w:val="es-CR"/>
        </w:rPr>
        <w:t>relevantes</w:t>
      </w:r>
      <w:r w:rsidRPr="00E10347">
        <w:rPr>
          <w:rStyle w:val="grame"/>
          <w:rFonts w:ascii="Palatino Linotype" w:hAnsi="Palatino Linotype"/>
          <w:sz w:val="21"/>
          <w:szCs w:val="21"/>
          <w:lang w:val="es-CR"/>
        </w:rPr>
        <w:t>.</w:t>
      </w:r>
      <w:r w:rsidRPr="00E10347">
        <w:rPr>
          <w:rFonts w:ascii="Palatino Linotype" w:hAnsi="Palatino Linotype"/>
          <w:sz w:val="21"/>
          <w:szCs w:val="21"/>
          <w:lang w:val="es-CR"/>
        </w:rPr>
        <w:t xml:space="preserve"> Sin embargo, </w:t>
      </w:r>
      <w:r w:rsidRPr="00E10347">
        <w:rPr>
          <w:rStyle w:val="spelle"/>
          <w:rFonts w:ascii="Palatino Linotype" w:hAnsi="Palatino Linotype"/>
          <w:sz w:val="21"/>
          <w:szCs w:val="21"/>
          <w:lang w:val="es-CR"/>
        </w:rPr>
        <w:t>para</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que</w:t>
      </w:r>
      <w:r w:rsidRPr="00E10347">
        <w:rPr>
          <w:rFonts w:ascii="Palatino Linotype" w:hAnsi="Palatino Linotype"/>
          <w:sz w:val="21"/>
          <w:szCs w:val="21"/>
          <w:lang w:val="es-CR"/>
        </w:rPr>
        <w:t xml:space="preserve"> </w:t>
      </w:r>
      <w:r w:rsidRPr="00E10347">
        <w:rPr>
          <w:rStyle w:val="grame"/>
          <w:rFonts w:ascii="Palatino Linotype" w:hAnsi="Palatino Linotype"/>
          <w:sz w:val="21"/>
          <w:szCs w:val="21"/>
          <w:lang w:val="es-CR"/>
        </w:rPr>
        <w:t>ese</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mecanismo</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deductivo</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entre</w:t>
      </w:r>
      <w:r w:rsidRPr="00E10347">
        <w:rPr>
          <w:rFonts w:ascii="Palatino Linotype" w:hAnsi="Palatino Linotype"/>
          <w:sz w:val="21"/>
          <w:szCs w:val="21"/>
          <w:lang w:val="es-CR"/>
        </w:rPr>
        <w:t xml:space="preserve"> en </w:t>
      </w:r>
      <w:r w:rsidRPr="00E10347">
        <w:rPr>
          <w:rStyle w:val="spelle"/>
          <w:rFonts w:ascii="Palatino Linotype" w:hAnsi="Palatino Linotype"/>
          <w:sz w:val="21"/>
          <w:szCs w:val="21"/>
          <w:lang w:val="es-CR"/>
        </w:rPr>
        <w:t>funcionamiento</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es</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necesario</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que</w:t>
      </w:r>
      <w:r w:rsidRPr="00E10347">
        <w:rPr>
          <w:rFonts w:ascii="Palatino Linotype" w:hAnsi="Palatino Linotype"/>
          <w:sz w:val="21"/>
          <w:szCs w:val="21"/>
          <w:lang w:val="es-CR"/>
        </w:rPr>
        <w:t xml:space="preserve"> la </w:t>
      </w:r>
      <w:r w:rsidRPr="00E10347">
        <w:rPr>
          <w:rStyle w:val="spelle"/>
          <w:rFonts w:ascii="Palatino Linotype" w:hAnsi="Palatino Linotype"/>
          <w:sz w:val="21"/>
          <w:szCs w:val="21"/>
          <w:lang w:val="es-CR"/>
        </w:rPr>
        <w:t>parte</w:t>
      </w:r>
      <w:r w:rsidRPr="00E10347">
        <w:rPr>
          <w:rFonts w:ascii="Palatino Linotype" w:hAnsi="Palatino Linotype"/>
          <w:sz w:val="21"/>
          <w:szCs w:val="21"/>
          <w:lang w:val="es-CR"/>
        </w:rPr>
        <w:t xml:space="preserve"> a </w:t>
      </w:r>
      <w:r w:rsidRPr="00E10347">
        <w:rPr>
          <w:rStyle w:val="spelle"/>
          <w:rFonts w:ascii="Palatino Linotype" w:hAnsi="Palatino Linotype"/>
          <w:sz w:val="21"/>
          <w:szCs w:val="21"/>
          <w:lang w:val="es-CR"/>
        </w:rPr>
        <w:t>quien</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favorece</w:t>
      </w:r>
      <w:r w:rsidRPr="00E10347">
        <w:rPr>
          <w:rFonts w:ascii="Palatino Linotype" w:hAnsi="Palatino Linotype"/>
          <w:sz w:val="21"/>
          <w:szCs w:val="21"/>
          <w:lang w:val="es-CR"/>
        </w:rPr>
        <w:t xml:space="preserve"> la </w:t>
      </w:r>
      <w:r w:rsidRPr="00E10347">
        <w:rPr>
          <w:rStyle w:val="spelle"/>
          <w:rFonts w:ascii="Palatino Linotype" w:hAnsi="Palatino Linotype"/>
          <w:sz w:val="21"/>
          <w:szCs w:val="21"/>
          <w:lang w:val="es-CR"/>
        </w:rPr>
        <w:t>presunción</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acredite</w:t>
      </w:r>
      <w:r w:rsidRPr="00E10347">
        <w:rPr>
          <w:rFonts w:ascii="Palatino Linotype" w:hAnsi="Palatino Linotype"/>
          <w:sz w:val="21"/>
          <w:szCs w:val="21"/>
          <w:lang w:val="es-CR"/>
        </w:rPr>
        <w:t xml:space="preserve"> la </w:t>
      </w:r>
      <w:r w:rsidRPr="00E10347">
        <w:rPr>
          <w:rStyle w:val="spelle"/>
          <w:rFonts w:ascii="Palatino Linotype" w:hAnsi="Palatino Linotype"/>
          <w:sz w:val="21"/>
          <w:szCs w:val="21"/>
          <w:lang w:val="es-CR"/>
        </w:rPr>
        <w:t>existencia</w:t>
      </w:r>
      <w:r w:rsidRPr="00E10347">
        <w:rPr>
          <w:rFonts w:ascii="Palatino Linotype" w:hAnsi="Palatino Linotype"/>
          <w:sz w:val="21"/>
          <w:szCs w:val="21"/>
          <w:lang w:val="es-CR"/>
        </w:rPr>
        <w:t xml:space="preserve"> del </w:t>
      </w:r>
      <w:r w:rsidRPr="00E10347">
        <w:rPr>
          <w:rStyle w:val="spelle"/>
          <w:rFonts w:ascii="Palatino Linotype" w:hAnsi="Palatino Linotype"/>
          <w:sz w:val="21"/>
          <w:szCs w:val="21"/>
          <w:lang w:val="es-CR"/>
        </w:rPr>
        <w:t>hecho</w:t>
      </w:r>
      <w:r w:rsidRPr="00E10347">
        <w:rPr>
          <w:rFonts w:ascii="Palatino Linotype" w:hAnsi="Palatino Linotype"/>
          <w:sz w:val="21"/>
          <w:szCs w:val="21"/>
          <w:lang w:val="es-CR"/>
        </w:rPr>
        <w:t xml:space="preserve"> base, </w:t>
      </w:r>
      <w:r w:rsidRPr="00E10347">
        <w:rPr>
          <w:rStyle w:val="spelle"/>
          <w:rFonts w:ascii="Palatino Linotype" w:hAnsi="Palatino Linotype"/>
          <w:sz w:val="21"/>
          <w:szCs w:val="21"/>
          <w:lang w:val="es-CR"/>
        </w:rPr>
        <w:t>que</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activa</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ese</w:t>
      </w:r>
      <w:r w:rsidRPr="00E10347">
        <w:rPr>
          <w:rFonts w:ascii="Palatino Linotype" w:hAnsi="Palatino Linotype"/>
          <w:sz w:val="21"/>
          <w:szCs w:val="21"/>
          <w:lang w:val="es-CR"/>
        </w:rPr>
        <w:t xml:space="preserve"> </w:t>
      </w:r>
      <w:r w:rsidRPr="00E10347">
        <w:rPr>
          <w:rStyle w:val="spelle"/>
          <w:rFonts w:ascii="Palatino Linotype" w:hAnsi="Palatino Linotype"/>
          <w:sz w:val="21"/>
          <w:szCs w:val="21"/>
          <w:lang w:val="es-CR"/>
        </w:rPr>
        <w:t>mecanismo. Ello se fundamenta en que el conocimiento de este hecho debe ser seguro; constatable a través de la prueba…” (Sala Segunda de la Corte Suprema de Justicia. N°634 del 30 de abril de 2010)</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Ahora bien, sí requieren ser probadas las normas convencionales o reglamentarias internas de la parte demandada, que invoque la parte actora a su favor, como fuente de una pretensión; tal es el caso de convenciones colectivas de trabajo y reglamentos internos de trabajo. Dicha normativa también puede ser prevenida por el despacho (a solicitud de la parte interesada) a la empleadora, en el traslado de la demanda, para que aporte un ejemplar. Es interesante el efecto procesal que se produce, a partir del incumplimiento de una prevención de este último tipo, pues de acuerdo con el mismo artículo 480, se  tiene </w:t>
      </w:r>
      <w:r w:rsidRPr="00E10347">
        <w:rPr>
          <w:rFonts w:ascii="Palatino Linotype" w:hAnsi="Palatino Linotype"/>
          <w:i/>
          <w:sz w:val="21"/>
          <w:szCs w:val="21"/>
        </w:rPr>
        <w:t>“…como un acto de deslealtad procesal y la existencia de la norma o disposición podrá reputarse como existente, en los términos en que fue invocada por la parte demandante...”</w:t>
      </w:r>
      <w:r w:rsidRPr="00E10347">
        <w:rPr>
          <w:rFonts w:ascii="Palatino Linotype" w:hAnsi="Palatino Linotype"/>
          <w:sz w:val="21"/>
          <w:szCs w:val="21"/>
        </w:rPr>
        <w:t xml:space="preserve"> Vemos presente en esta prevención normativa, una vez más, las consecuencias del incumplimiento de las partes, al principio de la carga dinámica de la prueba, referenciado en líneas </w:t>
      </w:r>
      <w:r w:rsidRPr="00E10347">
        <w:rPr>
          <w:rFonts w:ascii="Palatino Linotype" w:hAnsi="Palatino Linotype"/>
          <w:sz w:val="21"/>
          <w:szCs w:val="21"/>
        </w:rPr>
        <w:lastRenderedPageBreak/>
        <w:t xml:space="preserve">precedentes a las cuales se remite al lector.   </w:t>
      </w:r>
    </w:p>
    <w:p w:rsidR="009A5379" w:rsidRDefault="009A5379" w:rsidP="00E10347">
      <w:pPr>
        <w:jc w:val="both"/>
        <w:rPr>
          <w:rFonts w:ascii="Palatino Linotype" w:hAnsi="Palatino Linotype"/>
          <w:b/>
          <w:sz w:val="21"/>
          <w:szCs w:val="21"/>
        </w:rPr>
      </w:pPr>
    </w:p>
    <w:p w:rsidR="00C4690B" w:rsidRPr="00E10347" w:rsidRDefault="003F3E60" w:rsidP="00E10347">
      <w:pPr>
        <w:jc w:val="both"/>
        <w:rPr>
          <w:rFonts w:ascii="Palatino Linotype" w:hAnsi="Palatino Linotype"/>
          <w:b/>
          <w:sz w:val="21"/>
          <w:szCs w:val="21"/>
        </w:rPr>
      </w:pPr>
      <w:r w:rsidRPr="00E10347">
        <w:rPr>
          <w:rFonts w:ascii="Palatino Linotype" w:hAnsi="Palatino Linotype"/>
          <w:b/>
          <w:sz w:val="21"/>
          <w:szCs w:val="21"/>
        </w:rPr>
        <w:t xml:space="preserve">6.- </w:t>
      </w:r>
      <w:r w:rsidR="00C4690B" w:rsidRPr="00E10347">
        <w:rPr>
          <w:rFonts w:ascii="Palatino Linotype" w:hAnsi="Palatino Linotype"/>
          <w:b/>
          <w:sz w:val="21"/>
          <w:szCs w:val="21"/>
        </w:rPr>
        <w:t>La incorporación de la prueba o prueba trasladada</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La incorporación de las pruebas evacuadas en otro proceso judicial es una práctica judicial aprobada por la jurisprudencia (civil y laboral), cuyas razones y fundamentos expuestos a continuación, se comparten plenamente en la jurisdicción laboral:</w:t>
      </w:r>
    </w:p>
    <w:p w:rsidR="00C4690B" w:rsidRPr="00E10347" w:rsidRDefault="00C4690B" w:rsidP="00E10347">
      <w:pPr>
        <w:ind w:left="708" w:firstLine="709"/>
        <w:jc w:val="both"/>
        <w:rPr>
          <w:rFonts w:ascii="Palatino Linotype" w:eastAsia="Times New Roman" w:hAnsi="Palatino Linotype" w:cs="Times New Roman"/>
          <w:b/>
          <w:sz w:val="21"/>
          <w:szCs w:val="21"/>
          <w:lang w:val="es-CR" w:eastAsia="es-CR"/>
        </w:rPr>
      </w:pPr>
      <w:r w:rsidRPr="00E10347">
        <w:rPr>
          <w:rFonts w:ascii="Palatino Linotype" w:eastAsia="Times New Roman" w:hAnsi="Palatino Linotype"/>
          <w:b/>
          <w:sz w:val="21"/>
          <w:szCs w:val="21"/>
          <w:lang w:val="es-CR" w:eastAsia="es-CR"/>
        </w:rPr>
        <w:t>“IV. […]</w:t>
      </w:r>
      <w:r w:rsidRPr="00E10347">
        <w:rPr>
          <w:rFonts w:ascii="Palatino Linotype" w:eastAsia="Times New Roman" w:hAnsi="Palatino Linotype"/>
          <w:sz w:val="21"/>
          <w:szCs w:val="21"/>
          <w:lang w:eastAsia="es-CR"/>
        </w:rPr>
        <w:t xml:space="preserve"> </w:t>
      </w:r>
      <w:r w:rsidRPr="00E10347">
        <w:rPr>
          <w:rFonts w:ascii="Palatino Linotype" w:eastAsia="Times New Roman" w:hAnsi="Palatino Linotype"/>
          <w:sz w:val="21"/>
          <w:szCs w:val="21"/>
          <w:lang w:val="es-CR" w:eastAsia="es-CR"/>
        </w:rPr>
        <w:t xml:space="preserve">Respecto al tema de la prueba trasladada, ha señalado la Sala Primera de la Corte Suprema de Justicia: </w:t>
      </w:r>
      <w:r w:rsidRPr="00E10347">
        <w:rPr>
          <w:rFonts w:ascii="Palatino Linotype" w:eastAsia="Times New Roman" w:hAnsi="Palatino Linotype"/>
          <w:i/>
          <w:iCs/>
          <w:sz w:val="21"/>
          <w:szCs w:val="21"/>
          <w:lang w:val="es-CR" w:eastAsia="es-CR"/>
        </w:rPr>
        <w:t>"V .-</w:t>
      </w:r>
      <w:r w:rsidRPr="00E10347">
        <w:rPr>
          <w:rFonts w:ascii="Palatino Linotype" w:eastAsia="Times New Roman" w:hAnsi="Palatino Linotype"/>
          <w:i/>
          <w:iCs/>
          <w:sz w:val="21"/>
          <w:szCs w:val="21"/>
          <w:lang w:eastAsia="es-CR"/>
        </w:rPr>
        <w:t xml:space="preserve">(…) El traslado de pruebas es un mecanismo destinado a la verificación de los hechos debatidos, que permite que los medios probatorios oportunamente evacuados en un proceso, puedan ser incorporados a otro litigio. Tal figura no fue regulada en el Código Procesal Civil, sin embargo ello no faculta, a priori, para vedarlo como mecanismo al alcance de los litigantes para acreditar los fundamentos fácticos de sus reclamaciones. Debe tomarse en cuenta que el artículo 4 del Código Procesal Civil establece que para los casos no previstos en ese cuerpo normativo, habrá de acudirse a la analogía o, en la antípoda, a la disparidad de razón, para resolver la falta de norma, y en defecto de ellos, habrá de integrarse acudiendo a los principios constitucionales y las máximas del Derecho Procesal. Desde la perspectiva constitucional, a partir del artículo 39 de la Carta Magna, se ha desarrollado el principio del debido proceso, del cual se derivan, como aplicables a la actividad probatoria en el proceso civil, los corolarios de audiencia y contradicción. </w:t>
      </w:r>
      <w:r w:rsidRPr="00E10347">
        <w:rPr>
          <w:rFonts w:ascii="Palatino Linotype" w:eastAsia="Times New Roman" w:hAnsi="Palatino Linotype"/>
          <w:b/>
          <w:bCs/>
          <w:i/>
          <w:iCs/>
          <w:sz w:val="21"/>
          <w:szCs w:val="21"/>
          <w:u w:val="single"/>
          <w:lang w:eastAsia="es-CR"/>
        </w:rPr>
        <w:t>Por tanto, si en el proceso en el cual se evacuó el medio probatorio se dilucidó entre los mismos litigantes, quienes tuvieron a la mano la posibilidad de controvertirla, no hay obstáculo para su traslado a otro proceso, en el tanto, nuevamente allí se garanticen ambos derivados del derecho de defensa</w:t>
      </w:r>
      <w:r w:rsidRPr="00E10347">
        <w:rPr>
          <w:rFonts w:ascii="Palatino Linotype" w:eastAsia="Times New Roman" w:hAnsi="Palatino Linotype"/>
          <w:i/>
          <w:iCs/>
          <w:sz w:val="21"/>
          <w:szCs w:val="21"/>
          <w:lang w:eastAsia="es-CR"/>
        </w:rPr>
        <w:t xml:space="preserve">. En los últimos tres lustros esta Sala se ha referido -en pocos casos y de manera breve- al traslado de prueba. Así, en el fallo Nº 108-F-90 de las 14 horas 50 minutos del 23 de diciembre de 1990 señaló: “En cuanto a esta clase de traslado de prueba la Casación ya se ha pronunciado en los siguientes términos: "... la forma legal de trasladar la prueba de un proceso a otro es por medio de certificación de las piezas correspondientes, más no pidiendo "ad effectum videndi" el juicio o causa en que esa prueba fue practicada" (Casación Nº 71 de 15:30 horas del 9 de setiembre de 1983). También se ha resuelto que: " </w:t>
      </w:r>
      <w:r w:rsidRPr="00E10347">
        <w:rPr>
          <w:rFonts w:ascii="Palatino Linotype" w:eastAsia="Times New Roman" w:hAnsi="Palatino Linotype"/>
          <w:b/>
          <w:bCs/>
          <w:i/>
          <w:iCs/>
          <w:sz w:val="21"/>
          <w:szCs w:val="21"/>
          <w:u w:val="single"/>
          <w:lang w:eastAsia="es-CR"/>
        </w:rPr>
        <w:t>debe observarse, por lo demás, que el primer juicio fue entre</w:t>
      </w:r>
      <w:r w:rsidRPr="00E10347">
        <w:rPr>
          <w:rFonts w:ascii="Palatino Linotype" w:eastAsia="Times New Roman" w:hAnsi="Palatino Linotype"/>
          <w:i/>
          <w:iCs/>
          <w:sz w:val="21"/>
          <w:szCs w:val="21"/>
          <w:lang w:eastAsia="es-CR"/>
        </w:rPr>
        <w:t xml:space="preserve"> </w:t>
      </w:r>
      <w:r w:rsidRPr="00E10347">
        <w:rPr>
          <w:rFonts w:ascii="Palatino Linotype" w:eastAsia="Times New Roman" w:hAnsi="Palatino Linotype"/>
          <w:b/>
          <w:bCs/>
          <w:i/>
          <w:iCs/>
          <w:sz w:val="21"/>
          <w:szCs w:val="21"/>
          <w:u w:val="single"/>
          <w:lang w:eastAsia="es-CR"/>
        </w:rPr>
        <w:t xml:space="preserve">las mismas partes de éste, por lo cual las declaraciones de testigos allá rendida (sic) con </w:t>
      </w:r>
      <w:r w:rsidRPr="00E10347">
        <w:rPr>
          <w:rFonts w:ascii="Palatino Linotype" w:eastAsia="Times New Roman" w:hAnsi="Palatino Linotype"/>
          <w:b/>
          <w:bCs/>
          <w:i/>
          <w:iCs/>
          <w:sz w:val="21"/>
          <w:szCs w:val="21"/>
          <w:u w:val="single"/>
          <w:lang w:eastAsia="es-CR"/>
        </w:rPr>
        <w:lastRenderedPageBreak/>
        <w:t>intervención de éllas, (sic) no necesitaban ratificarse en el presente</w:t>
      </w:r>
      <w:r w:rsidRPr="00E10347">
        <w:rPr>
          <w:rFonts w:ascii="Palatino Linotype" w:eastAsia="Times New Roman" w:hAnsi="Palatino Linotype"/>
          <w:i/>
          <w:iCs/>
          <w:sz w:val="21"/>
          <w:szCs w:val="21"/>
          <w:lang w:eastAsia="es-CR"/>
        </w:rPr>
        <w:t xml:space="preserve">" (Sent. Casación Nº 38 de 15 horas del 16 de mayo de 1973, cons. III)”. ... Esto se repite en el fallo 606-F-02 de las 16 horas 10 minutos del 7 de agosto del 2002, el cual, además, destaca: “... </w:t>
      </w:r>
      <w:r w:rsidRPr="00E10347">
        <w:rPr>
          <w:rFonts w:ascii="Palatino Linotype" w:eastAsia="Times New Roman" w:hAnsi="Palatino Linotype"/>
          <w:b/>
          <w:bCs/>
          <w:i/>
          <w:iCs/>
          <w:sz w:val="21"/>
          <w:szCs w:val="21"/>
          <w:u w:val="single"/>
          <w:lang w:eastAsia="es-CR"/>
        </w:rPr>
        <w:t>Prueba que, al haber sido controvertida en el proceso en el que practicó (sic) por las partes contra quienes se opone en el sub-lite, no requiere de ratificación y adquiere plena validez</w:t>
      </w:r>
      <w:r w:rsidRPr="00E10347">
        <w:rPr>
          <w:rFonts w:ascii="Palatino Linotype" w:eastAsia="Times New Roman" w:hAnsi="Palatino Linotype"/>
          <w:i/>
          <w:iCs/>
          <w:sz w:val="21"/>
          <w:szCs w:val="21"/>
          <w:lang w:eastAsia="es-CR"/>
        </w:rPr>
        <w:t xml:space="preserve">. ... Debe recordarse que la ratificación que estiman innecesaria estos precedentes, supone que aquél de quien proviene la probanza (testigo, perito, etcétera), no debe concurrir nuevamente a sostener lo que previamente afirmó en distinta controversia. </w:t>
      </w:r>
      <w:r w:rsidRPr="00E10347">
        <w:rPr>
          <w:rFonts w:ascii="Palatino Linotype" w:eastAsia="Times New Roman" w:hAnsi="Palatino Linotype"/>
          <w:b/>
          <w:bCs/>
          <w:i/>
          <w:iCs/>
          <w:sz w:val="21"/>
          <w:szCs w:val="21"/>
          <w:u w:val="single"/>
          <w:lang w:eastAsia="es-CR"/>
        </w:rPr>
        <w:t>Sin embargo, ello no exime de poner en conocimiento de la contraparte el medio probatorio que pretende incorporarse a un nuevo litigio, aún cuando se hubiere originado en un proceso diverso, entre los mismos litigantes, para que, si lo juzga necesario, pueda controvertirlo</w:t>
      </w:r>
      <w:r w:rsidRPr="00E10347">
        <w:rPr>
          <w:rFonts w:ascii="Palatino Linotype" w:eastAsia="Times New Roman" w:hAnsi="Palatino Linotype"/>
          <w:i/>
          <w:iCs/>
          <w:sz w:val="21"/>
          <w:szCs w:val="21"/>
          <w:lang w:eastAsia="es-CR"/>
        </w:rPr>
        <w:t>. ..."</w:t>
      </w:r>
      <w:r w:rsidRPr="00E10347">
        <w:rPr>
          <w:rFonts w:ascii="Palatino Linotype" w:eastAsia="Times New Roman" w:hAnsi="Palatino Linotype"/>
          <w:sz w:val="21"/>
          <w:szCs w:val="21"/>
          <w:lang w:eastAsia="es-CR"/>
        </w:rPr>
        <w:t xml:space="preserve"> (Ver voto número 421 de las 10:10 horas del 28/03/2012).” (Tribunal Segundo Civil, Sección I, N°524 del 06 de noviembre de 2015).</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El artículo 480 del Código de Trabajo reformado, regula por primera vez esta práctica que ya se venía realizando, por autorización -una vez más- de la jurisprudencia. Sin duda alguna, el principio de economía procesal salió triunfante con esta útil norma, pues es válido hacer tal actuación judicial, sin necesidad de ratificación, cuando esto último sea imposible o innecesario, en criterio del despacho.</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Ahora bien, la obligatoriedad de ratificación de la declaración de la prueba testimonial no se abandona del todo, pues procede cuando en el proceso anterior, no han intervenido las mismas partes, caso en el cual éstas podrán hacer las preguntas que estimen pertinentes en el propio acto de ratificación. </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La incorporación de prueba alcanza también los procedimientos administrativos, los cuales deben haber sido interpuestos por la misma causa y se tendrán como prueba, conjuntamente con los elementos de convicción en ellos incorporados, salvo que se impugne su validez y ésta resulte procedente.</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Una norma muy similar encontramos en el numeral 41.4.9 del NCPC, en tanto autoriza la incorporación dicha; sin embargo, el legislador patrio no requirió expresamente en esta  normativa procesal, que hubiese identidad subjetiva -a diferencia del criterio contenido en el voto transcrito- entre los expedientes involucrados, más sí exige, la lógica garantía de participación a las partes, en caso que se considere necesario repetir las pruebas incorporadas. Consideramos que tal </w:t>
      </w:r>
      <w:r w:rsidRPr="00E10347">
        <w:rPr>
          <w:rFonts w:ascii="Palatino Linotype" w:hAnsi="Palatino Linotype"/>
          <w:sz w:val="21"/>
          <w:szCs w:val="21"/>
        </w:rPr>
        <w:lastRenderedPageBreak/>
        <w:t>omisión no da lugar para interpretar que se elimina el requisito, más bien, se observa su presencia tácita.</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Ahora bien, el hecho que el artículo 480 de la Reforma Procesal Laboral, contemple expresamente la posibilidad de traslado de prueba, en el supuesto que </w:t>
      </w:r>
      <w:r w:rsidRPr="00E10347">
        <w:rPr>
          <w:rFonts w:ascii="Palatino Linotype" w:hAnsi="Palatino Linotype"/>
          <w:b/>
          <w:sz w:val="21"/>
          <w:szCs w:val="21"/>
        </w:rPr>
        <w:t>no</w:t>
      </w:r>
      <w:r w:rsidRPr="00E10347">
        <w:rPr>
          <w:rFonts w:ascii="Palatino Linotype" w:hAnsi="Palatino Linotype"/>
          <w:sz w:val="21"/>
          <w:szCs w:val="21"/>
        </w:rPr>
        <w:t xml:space="preserve"> hayan intervenido las mismas partes en su evacuación original, es precisamente porque en esta materia es muy usual que se presenten múltiples juicios idénticos en sus pretensiones y contra un mismo patrono, generalmente el Estado y sus instituciones. Así, es muy frecuente que un conglomerado cuantioso de personas trabajadoras del Sector Público, decidan plantear sus procesos individualmente (estrategia litigiosa), por una causa que les resulta común a todas y a pesar de la evidente conexión causal, no son acumulados por el despacho. En ese escenario, eventualmente, la evacuación de prueba testimonial en el primer proceso, puede servir a los mismos efectos probatorios del resto, sin necesidad de identidad subjetiva.</w:t>
      </w:r>
    </w:p>
    <w:p w:rsidR="009A5379" w:rsidRDefault="009A5379" w:rsidP="00E10347">
      <w:pPr>
        <w:jc w:val="both"/>
        <w:rPr>
          <w:rFonts w:ascii="Palatino Linotype" w:hAnsi="Palatino Linotype"/>
          <w:b/>
          <w:sz w:val="21"/>
          <w:szCs w:val="21"/>
        </w:rPr>
      </w:pPr>
    </w:p>
    <w:p w:rsidR="00C4690B" w:rsidRPr="00E10347" w:rsidRDefault="003F3E60" w:rsidP="00E10347">
      <w:pPr>
        <w:jc w:val="both"/>
        <w:rPr>
          <w:rFonts w:ascii="Palatino Linotype" w:hAnsi="Palatino Linotype"/>
          <w:b/>
          <w:sz w:val="21"/>
          <w:szCs w:val="21"/>
        </w:rPr>
      </w:pPr>
      <w:r w:rsidRPr="00E10347">
        <w:rPr>
          <w:rFonts w:ascii="Palatino Linotype" w:hAnsi="Palatino Linotype"/>
          <w:b/>
          <w:sz w:val="21"/>
          <w:szCs w:val="21"/>
        </w:rPr>
        <w:t xml:space="preserve">7.- </w:t>
      </w:r>
      <w:r w:rsidR="00C4690B" w:rsidRPr="00E10347">
        <w:rPr>
          <w:rFonts w:ascii="Palatino Linotype" w:hAnsi="Palatino Linotype"/>
          <w:b/>
          <w:sz w:val="21"/>
          <w:szCs w:val="21"/>
        </w:rPr>
        <w:t>La prueba para mejor resolver, de oficio o complementaria</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Especial mención requiere el trato diferenciado que recibe, por parte del NCPC la otrora prueba para mejor resolver, ahora denominada: prueba de oficio. En primer término, se trata de una prueba excepcionalísima (tal y como lo reza el párrafo último del artículo 41.3 citado), que </w:t>
      </w:r>
      <w:r w:rsidR="002A76CC">
        <w:rPr>
          <w:rFonts w:ascii="Palatino Linotype" w:hAnsi="Palatino Linotype"/>
          <w:sz w:val="21"/>
          <w:szCs w:val="21"/>
        </w:rPr>
        <w:t xml:space="preserve">solo </w:t>
      </w:r>
      <w:r w:rsidRPr="00E10347">
        <w:rPr>
          <w:rFonts w:ascii="Palatino Linotype" w:hAnsi="Palatino Linotype"/>
          <w:sz w:val="21"/>
          <w:szCs w:val="21"/>
        </w:rPr>
        <w:t xml:space="preserve">se ordena en caso de resultar indispensable, y dando las razones fundadas de su ordenamiento, debiendo circunscribirse a comprobar o aclarar hechos relevantes y en respeto de los principios de contradicción y concentración; además, debe ser adoptada únicamente en las siguientes alturas procesales: a) en la audiencia en que se admiten pruebas (párrafo segundo del 41.3) y b) en la audiencia de prueba, excepcionalmente y </w:t>
      </w:r>
      <w:r w:rsidR="002A76CC">
        <w:rPr>
          <w:rFonts w:ascii="Palatino Linotype" w:hAnsi="Palatino Linotype"/>
          <w:sz w:val="21"/>
          <w:szCs w:val="21"/>
        </w:rPr>
        <w:t xml:space="preserve">solo </w:t>
      </w:r>
      <w:r w:rsidRPr="00E10347">
        <w:rPr>
          <w:rFonts w:ascii="Palatino Linotype" w:hAnsi="Palatino Linotype"/>
          <w:sz w:val="21"/>
          <w:szCs w:val="21"/>
        </w:rPr>
        <w:t>si es indispensable (párrafo tercero del 41.3)</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La versión laboral de esa norma, la encontramos en el artículo 486 del Código de Trabajo reformado, al decir: </w:t>
      </w:r>
      <w:r w:rsidRPr="00E10347">
        <w:rPr>
          <w:rFonts w:ascii="Palatino Linotype" w:hAnsi="Palatino Linotype"/>
          <w:i/>
          <w:sz w:val="21"/>
          <w:szCs w:val="21"/>
        </w:rPr>
        <w:t>“Los tribunales de trabajo podrán ordenar las pruebas complementarias que juzguen necesarias para resolver con acierto los casos sometidos a su conocimiento… hasta antes de dictarse la sentencia.”</w:t>
      </w:r>
      <w:r w:rsidRPr="00E10347">
        <w:rPr>
          <w:rFonts w:ascii="Palatino Linotype" w:hAnsi="Palatino Linotype"/>
          <w:sz w:val="21"/>
          <w:szCs w:val="21"/>
        </w:rPr>
        <w:t xml:space="preserve"> Siendo a todas luces, mucho más amplio el margen de utilización de tal probanza en el </w:t>
      </w:r>
      <w:r w:rsidRPr="00E10347">
        <w:rPr>
          <w:rFonts w:ascii="Palatino Linotype" w:hAnsi="Palatino Linotype"/>
          <w:i/>
          <w:sz w:val="21"/>
          <w:szCs w:val="21"/>
        </w:rPr>
        <w:t xml:space="preserve">íter </w:t>
      </w:r>
      <w:r w:rsidRPr="00E10347">
        <w:rPr>
          <w:rFonts w:ascii="Palatino Linotype" w:hAnsi="Palatino Linotype"/>
          <w:sz w:val="21"/>
          <w:szCs w:val="21"/>
        </w:rPr>
        <w:t xml:space="preserve">procesal. Y la norma va más allá, pues ordena a los tribunales laborales a solicitar -de oficio- el informe respectivo a la Caja Costarricense de Seguro Social, en aquéllos casos que se refieran al pago de cuotas obrero-patronales o al cumplimiento de otras </w:t>
      </w:r>
      <w:r w:rsidRPr="00E10347">
        <w:rPr>
          <w:rFonts w:ascii="Palatino Linotype" w:hAnsi="Palatino Linotype"/>
          <w:sz w:val="21"/>
          <w:szCs w:val="21"/>
        </w:rPr>
        <w:lastRenderedPageBreak/>
        <w:t xml:space="preserve">obligaciones con la seguridad social. </w:t>
      </w:r>
      <w:r w:rsidRPr="00E10347">
        <w:rPr>
          <w:rStyle w:val="Refdenotaalpie"/>
          <w:rFonts w:ascii="Palatino Linotype" w:hAnsi="Palatino Linotype"/>
          <w:sz w:val="21"/>
          <w:szCs w:val="21"/>
        </w:rPr>
        <w:footnoteReference w:id="6"/>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Ahora bien, se debe reflexionar: tanta restricción no es gratuita. Es clara la mala fama que en la práctica forense ha desarrollado esta prueba, la que -hay que decirlo- se ha prestado para ser mal usada por algún juez o jueza que, buscando evadir la emisión de una sentencia (generalmente de un asunto complejo), posterga ese acto procesal, ordenando prueba innecesaria y muchas veces hasta repitiendo prueba que consta en el proceso (¡qué pena!); pero eso es muy diferente a afirmar, que la satanización del instituto provenga del ánimo favorecedor hacia una de las partes, por parte del juez(a) de la causa; a esta apreciación me opongo rotundamente, como jueza de la República que cree firmemente en la imparcialidad de la figura juzgadora.</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Por último</w:t>
      </w:r>
      <w:r w:rsidR="003F3E60" w:rsidRPr="00E10347">
        <w:rPr>
          <w:rFonts w:ascii="Palatino Linotype" w:hAnsi="Palatino Linotype"/>
          <w:sz w:val="21"/>
          <w:szCs w:val="21"/>
        </w:rPr>
        <w:t>,</w:t>
      </w:r>
      <w:r w:rsidRPr="00E10347">
        <w:rPr>
          <w:rFonts w:ascii="Palatino Linotype" w:hAnsi="Palatino Linotype"/>
          <w:sz w:val="21"/>
          <w:szCs w:val="21"/>
        </w:rPr>
        <w:t xml:space="preserve"> debe apuntarse sobre este tema, que el numeral 486 del Código de Trabajo reformado, amplía el espectro de posibilidades de su aplicación, si se compara con con su homóloga 489 del actual Código de Trabajo, en tanto la primera norma incluye expresamente </w:t>
      </w:r>
      <w:r w:rsidRPr="00E10347">
        <w:rPr>
          <w:rFonts w:ascii="Palatino Linotype" w:hAnsi="Palatino Linotype"/>
          <w:i/>
          <w:sz w:val="21"/>
          <w:szCs w:val="21"/>
        </w:rPr>
        <w:t>“… elementos probatorios nuevos o no propuestos por las partes…”</w:t>
      </w:r>
      <w:r w:rsidRPr="00E10347">
        <w:rPr>
          <w:rFonts w:ascii="Palatino Linotype" w:hAnsi="Palatino Linotype"/>
          <w:sz w:val="21"/>
          <w:szCs w:val="21"/>
        </w:rPr>
        <w:t>; no obstante, se le denomina diferente, pues lleva el nombre de prueba complementaria y no “para mejor resolver”.</w:t>
      </w:r>
    </w:p>
    <w:p w:rsidR="009A5379" w:rsidRDefault="009A5379" w:rsidP="00E10347">
      <w:pPr>
        <w:jc w:val="both"/>
        <w:rPr>
          <w:rFonts w:ascii="Palatino Linotype" w:hAnsi="Palatino Linotype"/>
          <w:b/>
          <w:sz w:val="21"/>
          <w:szCs w:val="21"/>
        </w:rPr>
      </w:pPr>
    </w:p>
    <w:p w:rsidR="00C4690B" w:rsidRPr="00E10347" w:rsidRDefault="003F3E60" w:rsidP="00E10347">
      <w:pPr>
        <w:jc w:val="both"/>
        <w:rPr>
          <w:rFonts w:ascii="Palatino Linotype" w:hAnsi="Palatino Linotype"/>
          <w:b/>
          <w:sz w:val="21"/>
          <w:szCs w:val="21"/>
        </w:rPr>
      </w:pPr>
      <w:r w:rsidRPr="00E10347">
        <w:rPr>
          <w:rFonts w:ascii="Palatino Linotype" w:hAnsi="Palatino Linotype"/>
          <w:b/>
          <w:sz w:val="21"/>
          <w:szCs w:val="21"/>
        </w:rPr>
        <w:t xml:space="preserve">8.- </w:t>
      </w:r>
      <w:r w:rsidR="00C4690B" w:rsidRPr="00E10347">
        <w:rPr>
          <w:rFonts w:ascii="Palatino Linotype" w:hAnsi="Palatino Linotype"/>
          <w:b/>
          <w:sz w:val="21"/>
          <w:szCs w:val="21"/>
        </w:rPr>
        <w:t>Conclusiones</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Luego de este recorrido comparativo es preciso concluir, que tanto la Reforma Procesal Laboral, como el Nuevo Código Procesal Civil, en el tema referente a las cargas probatorias de las partes en litigio, introducen cambios en la tramitación de los procesos de las respectivas áreas del derecho a que corresponden; sin embargo, son más los aspectos en los que coinciden, que aquéllos de los cuales disienten. </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Es claro que en el primer caso, hay una reproducción significativa del contenido desarrollado por la jurisprudencia especializada de la materia, y ello se justifica plenamente, porque la Reforma surge a la vida jurídica, setenta y tres años después de emitido el original Código de Trabajo, por lo tanto es mucho el camino recorrido por la jurisprudencia, tratando de paliar las carencias y vacíos normativos, ajustando el derecho a la dinámica realidad de las relaciones laborales, trabajo muy bien logrado, de la mano de los principios sustantivos inspiradores del Derecho </w:t>
      </w:r>
      <w:r w:rsidRPr="00E10347">
        <w:rPr>
          <w:rFonts w:ascii="Palatino Linotype" w:hAnsi="Palatino Linotype"/>
          <w:sz w:val="21"/>
          <w:szCs w:val="21"/>
        </w:rPr>
        <w:lastRenderedPageBreak/>
        <w:t xml:space="preserve">Laboral. </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Ambas legislaciones comparten el sistema adoptado de carga dinámica de la prueba, alcanzando así niveles de ordenamientos procesales modernos, en tanto se alejan de una estructura rígida y enunciativa cerrada, para ajustarse a la realidad, que toma en cuenta las posibilidades de cada parte contendiente para conseguir la prueba, de la mano -en el caso laboral- del principio protector, que equilibra las desventajas de la población laboral frente a la patronal, inclinando las obligaciones procesales hacia esta última, la parte más poderosa de toda relación. Claro, no se puede obviar, en un justo análisis de este punto, que es bastante el recargo que sobre esa parte recae.</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La celeridad procesal es otro principio procesal que comparten e impulsan ambas normativas y hacia ella encaminan distintas disposiciones, como la referente a la prueba trasladada, no </w:t>
      </w:r>
      <w:r w:rsidR="002A76CC">
        <w:rPr>
          <w:rFonts w:ascii="Palatino Linotype" w:hAnsi="Palatino Linotype"/>
          <w:sz w:val="21"/>
          <w:szCs w:val="21"/>
        </w:rPr>
        <w:t xml:space="preserve">solo </w:t>
      </w:r>
      <w:r w:rsidRPr="00E10347">
        <w:rPr>
          <w:rFonts w:ascii="Palatino Linotype" w:hAnsi="Palatino Linotype"/>
          <w:sz w:val="21"/>
          <w:szCs w:val="21"/>
        </w:rPr>
        <w:t>de otros procesos judiciales, sino también de los procedimientos administrativos.</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Una diferencia significativa es el tipo de verdad que ambas legislaciones procesales buscan, pues la laboral impulsa la verdad real y la verdad material es patrocinada por la civil; posiciones que responden al raigambre de los principios sustantivos que les inspiran, como disciplinas jurídicas distintas.</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 xml:space="preserve">Sin duda alguna, ambas normativas son conquistas muy valiosas que nuestro ordenamiento jurídico adquirió muy recientemente y muy seguida una de la otra en el tiempo, como una muestra más de las necesidades latentes por satisfacer en ambas jurisdicciones. </w:t>
      </w:r>
    </w:p>
    <w:p w:rsidR="00C4690B" w:rsidRPr="00E10347" w:rsidRDefault="00C4690B" w:rsidP="00E10347">
      <w:pPr>
        <w:ind w:firstLine="709"/>
        <w:jc w:val="both"/>
        <w:rPr>
          <w:rFonts w:ascii="Palatino Linotype" w:hAnsi="Palatino Linotype"/>
          <w:sz w:val="21"/>
          <w:szCs w:val="21"/>
        </w:rPr>
      </w:pPr>
      <w:r w:rsidRPr="00E10347">
        <w:rPr>
          <w:rFonts w:ascii="Palatino Linotype" w:hAnsi="Palatino Linotype"/>
          <w:sz w:val="21"/>
          <w:szCs w:val="21"/>
        </w:rPr>
        <w:t>Por último, los principios rectores e inspiradores de estas nuevas legislaciones, se verán fortalecidos por el impuso que ambas imponen al principio de oralidad y a la tramitación del proceso por audiencias, como la opción moderna para impregnar a los procesos judiciales de celeridad; una celeridad que la sociedad exige como urgente y que los tribunales están obligados a cumplir, por mandato del numeral 41 de la Constitución Política de Costa Rica.</w:t>
      </w:r>
    </w:p>
    <w:p w:rsidR="00C4690B" w:rsidRPr="00E10347" w:rsidRDefault="00C4690B" w:rsidP="00E10347">
      <w:pPr>
        <w:pStyle w:val="Ttulo1"/>
        <w:spacing w:before="0"/>
        <w:ind w:firstLine="709"/>
        <w:jc w:val="center"/>
        <w:rPr>
          <w:rFonts w:ascii="Palatino Linotype" w:eastAsia="Times New Roman" w:hAnsi="Palatino Linotype"/>
          <w:color w:val="auto"/>
          <w:sz w:val="21"/>
          <w:szCs w:val="21"/>
        </w:rPr>
      </w:pPr>
    </w:p>
    <w:p w:rsidR="002014CA" w:rsidRPr="00E10347" w:rsidRDefault="002014CA" w:rsidP="00E10347">
      <w:pPr>
        <w:rPr>
          <w:rFonts w:ascii="Palatino Linotype" w:hAnsi="Palatino Linotype"/>
          <w:sz w:val="21"/>
          <w:szCs w:val="21"/>
        </w:rPr>
        <w:sectPr w:rsidR="002014CA" w:rsidRPr="00E10347" w:rsidSect="00FC1DF6">
          <w:headerReference w:type="even" r:id="rId14"/>
          <w:headerReference w:type="default" r:id="rId15"/>
          <w:type w:val="oddPage"/>
          <w:pgSz w:w="12240" w:h="15840" w:code="1"/>
          <w:pgMar w:top="1667" w:right="851" w:bottom="4253" w:left="3686" w:header="1021" w:footer="3005" w:gutter="0"/>
          <w:cols w:space="708"/>
          <w:titlePg/>
          <w:docGrid w:linePitch="360"/>
        </w:sectPr>
      </w:pPr>
    </w:p>
    <w:p w:rsidR="002014CA" w:rsidRPr="00E10347" w:rsidRDefault="002014CA" w:rsidP="00E10347">
      <w:pPr>
        <w:ind w:firstLine="708"/>
        <w:jc w:val="center"/>
        <w:rPr>
          <w:rFonts w:ascii="Palatino Linotype" w:hAnsi="Palatino Linotype"/>
          <w:b/>
          <w:bCs/>
          <w:sz w:val="21"/>
          <w:szCs w:val="21"/>
          <w:lang w:val="es-MX"/>
        </w:rPr>
      </w:pPr>
      <w:bookmarkStart w:id="3" w:name="_Hlk479195975"/>
      <w:r w:rsidRPr="00E10347">
        <w:rPr>
          <w:rFonts w:ascii="Palatino Linotype" w:hAnsi="Palatino Linotype"/>
          <w:b/>
          <w:bCs/>
          <w:sz w:val="21"/>
          <w:szCs w:val="21"/>
          <w:lang w:val="es-MX"/>
        </w:rPr>
        <w:lastRenderedPageBreak/>
        <w:t>EL “SER O NO SER” DEL JUEZ: LA PRUEBA DE OFICIO EN LA REFORMA PROCESAL CIVIL Y LABORAL</w:t>
      </w:r>
    </w:p>
    <w:p w:rsidR="002014CA" w:rsidRDefault="002014CA" w:rsidP="00E10347">
      <w:pPr>
        <w:ind w:firstLine="708"/>
        <w:jc w:val="right"/>
        <w:rPr>
          <w:rFonts w:ascii="Palatino Linotype" w:hAnsi="Palatino Linotype"/>
          <w:b/>
          <w:bCs/>
          <w:i/>
          <w:iCs/>
          <w:sz w:val="21"/>
          <w:szCs w:val="21"/>
          <w:lang w:val="es-MX"/>
        </w:rPr>
      </w:pPr>
      <w:r w:rsidRPr="00E10347">
        <w:rPr>
          <w:rFonts w:ascii="Palatino Linotype" w:hAnsi="Palatino Linotype"/>
          <w:b/>
          <w:bCs/>
          <w:i/>
          <w:iCs/>
          <w:sz w:val="21"/>
          <w:szCs w:val="21"/>
          <w:lang w:val="es-MX"/>
        </w:rPr>
        <w:t>Dr. Carlos Adolfo Picado Vargas</w:t>
      </w:r>
      <w:bookmarkEnd w:id="3"/>
      <w:r w:rsidRPr="00E10347">
        <w:rPr>
          <w:rStyle w:val="Refdenotaalpie"/>
          <w:rFonts w:ascii="Palatino Linotype" w:hAnsi="Palatino Linotype"/>
          <w:b/>
          <w:bCs/>
          <w:i/>
          <w:iCs/>
          <w:sz w:val="21"/>
          <w:szCs w:val="21"/>
          <w:lang w:val="es-MX"/>
        </w:rPr>
        <w:footnoteReference w:customMarkFollows="1" w:id="7"/>
        <w:sym w:font="Symbol" w:char="F0B7"/>
      </w:r>
    </w:p>
    <w:p w:rsidR="008A0E38" w:rsidRDefault="008A0E38" w:rsidP="008A0E38">
      <w:pPr>
        <w:rPr>
          <w:rFonts w:ascii="Palatino Linotype" w:hAnsi="Palatino Linotype"/>
          <w:b/>
          <w:bCs/>
          <w:iCs/>
          <w:sz w:val="21"/>
          <w:szCs w:val="21"/>
          <w:lang w:val="es-MX"/>
        </w:rPr>
      </w:pPr>
    </w:p>
    <w:p w:rsidR="008A0E38" w:rsidRPr="008A0E38" w:rsidRDefault="008A0E38" w:rsidP="008A0E38">
      <w:pPr>
        <w:jc w:val="both"/>
        <w:rPr>
          <w:rFonts w:ascii="Palatino Linotype" w:hAnsi="Palatino Linotype"/>
          <w:b/>
          <w:bCs/>
          <w:iCs/>
          <w:sz w:val="21"/>
          <w:szCs w:val="21"/>
          <w:lang w:val="es-MX"/>
        </w:rPr>
      </w:pPr>
      <w:r w:rsidRPr="00D1279A">
        <w:rPr>
          <w:rFonts w:ascii="Palatino Linotype" w:hAnsi="Palatino Linotype"/>
          <w:bCs/>
          <w:iCs/>
          <w:sz w:val="21"/>
          <w:szCs w:val="21"/>
          <w:lang w:val="es-MX"/>
        </w:rPr>
        <w:t xml:space="preserve">SUMARIO:  </w:t>
      </w:r>
      <w:r w:rsidRPr="00D1279A">
        <w:rPr>
          <w:rFonts w:ascii="Palatino Linotype" w:hAnsi="Palatino Linotype"/>
          <w:bCs/>
          <w:sz w:val="21"/>
          <w:szCs w:val="21"/>
          <w:lang w:val="es-MX"/>
        </w:rPr>
        <w:t xml:space="preserve">Introducción.  </w:t>
      </w:r>
      <w:r w:rsidRPr="00D1279A">
        <w:rPr>
          <w:rFonts w:ascii="Palatino Linotype" w:hAnsi="Palatino Linotype"/>
          <w:bCs/>
          <w:sz w:val="21"/>
          <w:szCs w:val="21"/>
        </w:rPr>
        <w:t xml:space="preserve">1.- La iniciativa probatoria y los sistemas inquisitivo y dispositivo.  </w:t>
      </w:r>
      <w:r w:rsidRPr="00D1279A">
        <w:rPr>
          <w:rFonts w:ascii="Palatino Linotype" w:hAnsi="Palatino Linotype"/>
          <w:sz w:val="21"/>
          <w:szCs w:val="21"/>
          <w:lang w:val="es-ES_tradnl"/>
        </w:rPr>
        <w:t xml:space="preserve">2.-  El Sistema Inquisitivo.  a.-  Concepto.  </w:t>
      </w:r>
      <w:r w:rsidRPr="00D1279A">
        <w:rPr>
          <w:rFonts w:ascii="Palatino Linotype" w:hAnsi="Palatino Linotype"/>
          <w:sz w:val="21"/>
          <w:szCs w:val="21"/>
        </w:rPr>
        <w:t xml:space="preserve">b.- Breve reseña histórica.  c.-  Principios de este sistema.  d.- Críticas al sistema inquisitorio.  3.-  El Sistema Acusatorio o Dispositivo.  a.-  Concepto.  </w:t>
      </w:r>
      <w:r w:rsidRPr="00D1279A">
        <w:rPr>
          <w:rFonts w:ascii="Palatino Linotype" w:hAnsi="Palatino Linotype"/>
          <w:bCs/>
          <w:sz w:val="21"/>
          <w:szCs w:val="21"/>
        </w:rPr>
        <w:t xml:space="preserve">b.- Premisas.  </w:t>
      </w:r>
      <w:r w:rsidRPr="00D1279A">
        <w:rPr>
          <w:rFonts w:ascii="Palatino Linotype" w:hAnsi="Palatino Linotype"/>
          <w:sz w:val="21"/>
          <w:szCs w:val="21"/>
        </w:rPr>
        <w:t xml:space="preserve">c.- Breve reseña histórica.  d.- Características.  </w:t>
      </w:r>
      <w:r w:rsidRPr="00D1279A">
        <w:rPr>
          <w:rFonts w:ascii="Palatino Linotype" w:hAnsi="Palatino Linotype"/>
          <w:bCs/>
          <w:sz w:val="21"/>
          <w:szCs w:val="21"/>
          <w:lang w:val="es-MX"/>
        </w:rPr>
        <w:t xml:space="preserve">4.-  La prueba y la verdad real: ¿es ésta posible en el proceso?  </w:t>
      </w:r>
      <w:r w:rsidRPr="00D1279A">
        <w:rPr>
          <w:rFonts w:ascii="Palatino Linotype" w:hAnsi="Palatino Linotype"/>
          <w:bCs/>
          <w:sz w:val="21"/>
          <w:szCs w:val="21"/>
        </w:rPr>
        <w:t>5.- Nuestra Teoría de Aplicación de Prueba Oficiosa.  a</w:t>
      </w:r>
      <w:r w:rsidRPr="00D1279A">
        <w:rPr>
          <w:rFonts w:ascii="Palatino Linotype" w:hAnsi="Palatino Linotype"/>
          <w:bCs/>
          <w:sz w:val="21"/>
          <w:szCs w:val="21"/>
          <w:lang w:val="es-MX"/>
        </w:rPr>
        <w:t xml:space="preserve">.-   La Verdad Jurídica Objetiva es la ratio legis de la prueba de oficio.  b.- El Juez es el director del proceso, no es ni dictador ni espectador.  c.- El juez debe ser objetivo: buscar la verdad y no “su” verdad.  </w:t>
      </w:r>
      <w:r w:rsidRPr="00D1279A">
        <w:rPr>
          <w:rFonts w:ascii="Palatino Linotype" w:hAnsi="Palatino Linotype"/>
          <w:bCs/>
          <w:sz w:val="21"/>
          <w:szCs w:val="21"/>
        </w:rPr>
        <w:t xml:space="preserve">d.-  El Juez puede pedir prueba siempre y cuando no supla la negligencia de una de las partes en detrimento de la defensa de la otra.  e.-  La iniciativa probatoria del Juez no es un asunto exclusivo de determinada materia jurídica.  </w:t>
      </w:r>
      <w:r w:rsidRPr="00D1279A">
        <w:rPr>
          <w:rFonts w:ascii="Palatino Linotype" w:hAnsi="Palatino Linotype"/>
          <w:bCs/>
          <w:sz w:val="21"/>
          <w:szCs w:val="21"/>
          <w:lang w:val="es-MX"/>
        </w:rPr>
        <w:t xml:space="preserve">g.- El juez debe ajustarse al thema decidendum delimitado por las partes (prueba pertinente), salvo cuando hay peligro de violación a intereses públicos, derechos laborales irrenunciables o caso de fraude procesal.  </w:t>
      </w:r>
      <w:r w:rsidRPr="00D1279A">
        <w:rPr>
          <w:rFonts w:ascii="Palatino Linotype" w:hAnsi="Palatino Linotype"/>
          <w:bCs/>
          <w:sz w:val="21"/>
          <w:szCs w:val="21"/>
        </w:rPr>
        <w:t xml:space="preserve">h.- La prueba de oficio debe ser relevante para sacar al Juez del “no liquet”. No cabe sobre hechos superfluos e inconducentes.  </w:t>
      </w:r>
      <w:r w:rsidRPr="00D1279A">
        <w:rPr>
          <w:rFonts w:ascii="Palatino Linotype" w:hAnsi="Palatino Linotype"/>
          <w:bCs/>
          <w:sz w:val="21"/>
          <w:szCs w:val="21"/>
          <w:lang w:val="es-MX"/>
        </w:rPr>
        <w:t xml:space="preserve">i.- El medio de prueba ordenado de oficio debe ser idóneo.  j.-  La prueba oficiosa permite contraprueba de las partes.  </w:t>
      </w:r>
      <w:bookmarkStart w:id="4" w:name="_Hlk479157681"/>
      <w:r w:rsidRPr="00D1279A">
        <w:rPr>
          <w:rFonts w:ascii="Palatino Linotype" w:hAnsi="Palatino Linotype"/>
          <w:sz w:val="21"/>
          <w:szCs w:val="21"/>
          <w:lang w:val="es-MX"/>
        </w:rPr>
        <w:t>6.- Conclusiones</w:t>
      </w:r>
      <w:bookmarkEnd w:id="4"/>
    </w:p>
    <w:p w:rsidR="002014CA" w:rsidRPr="00E10347" w:rsidRDefault="002014CA" w:rsidP="008A0E38">
      <w:pPr>
        <w:ind w:firstLine="708"/>
        <w:jc w:val="both"/>
        <w:rPr>
          <w:rFonts w:ascii="Palatino Linotype" w:hAnsi="Palatino Linotype"/>
          <w:b/>
          <w:bCs/>
          <w:i/>
          <w:iCs/>
          <w:sz w:val="21"/>
          <w:szCs w:val="21"/>
          <w:lang w:val="es-MX"/>
        </w:rPr>
      </w:pPr>
    </w:p>
    <w:p w:rsidR="002014CA" w:rsidRPr="00E10347" w:rsidRDefault="002014CA" w:rsidP="00E10347">
      <w:pPr>
        <w:jc w:val="both"/>
        <w:rPr>
          <w:rFonts w:ascii="Palatino Linotype" w:hAnsi="Palatino Linotype"/>
          <w:b/>
          <w:bCs/>
          <w:sz w:val="21"/>
          <w:szCs w:val="21"/>
          <w:lang w:val="es-MX"/>
        </w:rPr>
      </w:pPr>
      <w:r w:rsidRPr="00E10347">
        <w:rPr>
          <w:rFonts w:ascii="Palatino Linotype" w:hAnsi="Palatino Linotype"/>
          <w:b/>
          <w:bCs/>
          <w:sz w:val="21"/>
          <w:szCs w:val="21"/>
          <w:lang w:val="es-MX"/>
        </w:rPr>
        <w:t>Introducción</w:t>
      </w:r>
    </w:p>
    <w:p w:rsidR="002014CA" w:rsidRPr="00E10347" w:rsidRDefault="002014CA" w:rsidP="00E10347">
      <w:pPr>
        <w:ind w:firstLine="708"/>
        <w:jc w:val="both"/>
        <w:rPr>
          <w:rFonts w:ascii="Palatino Linotype" w:hAnsi="Palatino Linotype"/>
          <w:sz w:val="21"/>
          <w:szCs w:val="21"/>
          <w:lang w:val="es-MX"/>
        </w:rPr>
      </w:pPr>
      <w:r w:rsidRPr="00E10347">
        <w:rPr>
          <w:rFonts w:ascii="Palatino Linotype" w:hAnsi="Palatino Linotype"/>
          <w:sz w:val="21"/>
          <w:szCs w:val="21"/>
          <w:lang w:val="es-MX"/>
        </w:rPr>
        <w:t>La iniciativa probatoria de las partes, como producto de un  derecho fundamental constitucionalmente consagrado, no ofrece mayor problema: es parte del derecho de defensa y se encuentra limitado básicamente, en cuanto a su ofrecimiento -y su correlativa admisión- por requisitos de utilidad, licitud, pertinencia, idoneidad y oportunidad.  Ese derecho de defensa, como sucede con el principio de igualdad procesal, reviste en límites para el poder-deber del Juez en materia probatoria.</w:t>
      </w:r>
    </w:p>
    <w:p w:rsidR="002014CA" w:rsidRPr="00E10347" w:rsidRDefault="002014CA" w:rsidP="00E10347">
      <w:pPr>
        <w:jc w:val="both"/>
        <w:rPr>
          <w:rFonts w:ascii="Palatino Linotype" w:hAnsi="Palatino Linotype"/>
          <w:sz w:val="21"/>
          <w:szCs w:val="21"/>
          <w:lang w:val="es-MX"/>
        </w:rPr>
      </w:pPr>
      <w:r w:rsidRPr="00E10347">
        <w:rPr>
          <w:rFonts w:ascii="Palatino Linotype" w:hAnsi="Palatino Linotype"/>
          <w:sz w:val="21"/>
          <w:szCs w:val="21"/>
          <w:lang w:val="es-MX"/>
        </w:rPr>
        <w:lastRenderedPageBreak/>
        <w:tab/>
        <w:t xml:space="preserve">Pero, en lo que concierne al Juzgador, es aquí donde surge el conflicto en la doctrina, en la jurisprudencia, en la práctica judicial.  Cabe preguntarse, y seguimos preguntándonos: ¿Debe o no el Juez asumir un papel activo en la iniciativa probatoria?...  ¿Hasta dónde puede el Juez intervenir ordenando prueba de oficio?... ¿Cuál es el punto límite en que dicha prueba puede afectar el derecho de defensa de las partes subsanando la negligencia probatoria de una de ellas?...  ¿Pueden coexistir las reglas clásicas de la carga de la prueba y el </w:t>
      </w:r>
      <w:r w:rsidRPr="00E10347">
        <w:rPr>
          <w:rFonts w:ascii="Palatino Linotype" w:hAnsi="Palatino Linotype"/>
          <w:i/>
          <w:iCs/>
          <w:sz w:val="21"/>
          <w:szCs w:val="21"/>
          <w:lang w:val="es-MX"/>
        </w:rPr>
        <w:t xml:space="preserve">no liquet </w:t>
      </w:r>
      <w:r w:rsidRPr="00E10347">
        <w:rPr>
          <w:rFonts w:ascii="Palatino Linotype" w:hAnsi="Palatino Linotype"/>
          <w:sz w:val="21"/>
          <w:szCs w:val="21"/>
          <w:lang w:val="es-MX"/>
        </w:rPr>
        <w:t>que justifica las pruebas de oficio…?</w:t>
      </w:r>
      <w:r w:rsidRPr="00E10347">
        <w:rPr>
          <w:rFonts w:ascii="Palatino Linotype" w:hAnsi="Palatino Linotype"/>
          <w:sz w:val="21"/>
          <w:szCs w:val="21"/>
          <w:vertAlign w:val="superscript"/>
        </w:rPr>
        <w:footnoteReference w:id="8"/>
      </w:r>
      <w:r w:rsidRPr="00E10347">
        <w:rPr>
          <w:rFonts w:ascii="Palatino Linotype" w:hAnsi="Palatino Linotype"/>
          <w:sz w:val="21"/>
          <w:szCs w:val="21"/>
          <w:lang w:val="es-MX"/>
        </w:rPr>
        <w:t xml:space="preserve">  Trataremos de dar respuesta definitiva a estas interrogantes en los siguientes apartados.</w:t>
      </w:r>
    </w:p>
    <w:p w:rsidR="009A5379" w:rsidRDefault="009A5379" w:rsidP="00E10347">
      <w:pPr>
        <w:jc w:val="both"/>
        <w:rPr>
          <w:rFonts w:ascii="Palatino Linotype" w:hAnsi="Palatino Linotype"/>
          <w:b/>
          <w:bCs/>
          <w:sz w:val="21"/>
          <w:szCs w:val="21"/>
        </w:rPr>
      </w:pPr>
    </w:p>
    <w:p w:rsidR="002014CA" w:rsidRPr="00E10347" w:rsidRDefault="002014CA" w:rsidP="00E10347">
      <w:pPr>
        <w:jc w:val="both"/>
        <w:rPr>
          <w:rFonts w:ascii="Palatino Linotype" w:hAnsi="Palatino Linotype"/>
          <w:b/>
          <w:bCs/>
          <w:sz w:val="21"/>
          <w:szCs w:val="21"/>
        </w:rPr>
      </w:pPr>
      <w:r w:rsidRPr="00E10347">
        <w:rPr>
          <w:rFonts w:ascii="Palatino Linotype" w:hAnsi="Palatino Linotype"/>
          <w:b/>
          <w:bCs/>
          <w:sz w:val="21"/>
          <w:szCs w:val="21"/>
        </w:rPr>
        <w:t>1.- La iniciativa probatoria y los sistemas inquisitivo y dispositivo</w:t>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El determinar a quién corresponde jurídicamente la actividad de PROBAR ha generado en la historia del proceso dos grandes sistemas, el sistema dispositivo y el sistema inquisitivo.</w:t>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Para responder  a la pregunta relativa a si la iniciativa probatoria le corresponde a las partes o al juez, es menester adoptar una posición filosófica frente al tema. En el fondo existe un contenido ideológico imposible de desconocer; por lo que debemos preguntarnos si el proceso, como medio de debate, es o no un método de represión social. Actualmente, con el desarrollo de las garantías del proceso como derechos fundamentales, surge la disyuntiva entre un proceso realizado bajo las garantías del debido proceso en un Estado democrático o, en cambio, un procedimiento más parecido a un monólogo, en el cual el juez, monopoliza y neutraliza la actividad de los contendientes, haciendo del proceso un medio ya no de diálogo, de debate dialéctico, sino un instrumento de opresión, propio de un Estado totalitario.</w:t>
      </w:r>
      <w:r w:rsidRPr="00E10347">
        <w:rPr>
          <w:rStyle w:val="Refdenotaalpie"/>
          <w:rFonts w:ascii="Palatino Linotype" w:hAnsi="Palatino Linotype"/>
          <w:sz w:val="21"/>
          <w:szCs w:val="21"/>
        </w:rPr>
        <w:footnoteReference w:id="9"/>
      </w:r>
      <w:r w:rsidRPr="00E10347">
        <w:rPr>
          <w:rFonts w:ascii="Palatino Linotype" w:hAnsi="Palatino Linotype"/>
          <w:sz w:val="21"/>
          <w:szCs w:val="21"/>
        </w:rPr>
        <w:t xml:space="preserve"> Entonces, hablamos de un sistema procesal que reconozca al proceso su función de método.</w:t>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 xml:space="preserve">Para Calvinho, un “sistema procesal es el método de enjuiciamiento que rige una sociedad determinada, constituyendo el punto de arranque de toda su </w:t>
      </w:r>
      <w:r w:rsidRPr="00E10347">
        <w:rPr>
          <w:rFonts w:ascii="Palatino Linotype" w:hAnsi="Palatino Linotype"/>
          <w:sz w:val="21"/>
          <w:szCs w:val="21"/>
        </w:rPr>
        <w:lastRenderedPageBreak/>
        <w:t>estructuración jurisdiccional, con prescindencia de la legislación procedimental contingente.”</w:t>
      </w:r>
      <w:r w:rsidRPr="00E10347">
        <w:rPr>
          <w:rStyle w:val="Refdenotaalpie"/>
          <w:rFonts w:ascii="Palatino Linotype" w:hAnsi="Palatino Linotype"/>
          <w:sz w:val="21"/>
          <w:szCs w:val="21"/>
        </w:rPr>
        <w:footnoteReference w:id="10"/>
      </w:r>
      <w:r w:rsidRPr="00E10347">
        <w:rPr>
          <w:rFonts w:ascii="Palatino Linotype" w:hAnsi="Palatino Linotype"/>
          <w:sz w:val="21"/>
          <w:szCs w:val="21"/>
        </w:rPr>
        <w:t xml:space="preserve"> Alsina</w:t>
      </w:r>
      <w:r w:rsidRPr="00E10347">
        <w:rPr>
          <w:rStyle w:val="Refdenotaalpie"/>
          <w:rFonts w:ascii="Palatino Linotype" w:hAnsi="Palatino Linotype"/>
          <w:sz w:val="21"/>
          <w:szCs w:val="21"/>
        </w:rPr>
        <w:footnoteReference w:id="11"/>
      </w:r>
      <w:r w:rsidRPr="00E10347">
        <w:rPr>
          <w:rFonts w:ascii="Palatino Linotype" w:hAnsi="Palatino Linotype"/>
          <w:sz w:val="21"/>
          <w:szCs w:val="21"/>
        </w:rPr>
        <w:t xml:space="preserve"> indicaba aún en el los albores del siglo anterior que existen dos sistemas procesales fundamentales y excluyentes: el inquisitivo y el dispositivo, los cuales proponen dos concepciones distintas de qué es el proceso y sobre todo, para qué sirve el proceso. Ambas dotan de un papel y un rol absolutamente distintos al juez y a las partes.</w:t>
      </w:r>
    </w:p>
    <w:p w:rsidR="009A5379" w:rsidRDefault="009A5379" w:rsidP="00E10347">
      <w:pPr>
        <w:pStyle w:val="Ttulo2"/>
        <w:spacing w:before="0"/>
        <w:jc w:val="both"/>
        <w:rPr>
          <w:rFonts w:ascii="Palatino Linotype" w:hAnsi="Palatino Linotype" w:cs="Arial"/>
          <w:color w:val="auto"/>
          <w:sz w:val="21"/>
          <w:szCs w:val="21"/>
          <w:lang w:val="es-ES_tradnl"/>
        </w:rPr>
      </w:pPr>
      <w:bookmarkStart w:id="5" w:name="_Toc267603603"/>
    </w:p>
    <w:p w:rsidR="002014CA" w:rsidRPr="00E10347" w:rsidRDefault="002014CA" w:rsidP="00E10347">
      <w:pPr>
        <w:pStyle w:val="Ttulo2"/>
        <w:spacing w:before="0"/>
        <w:jc w:val="both"/>
        <w:rPr>
          <w:rFonts w:ascii="Palatino Linotype" w:hAnsi="Palatino Linotype" w:cs="Arial"/>
          <w:color w:val="auto"/>
          <w:sz w:val="21"/>
          <w:szCs w:val="21"/>
          <w:lang w:val="es-ES_tradnl"/>
        </w:rPr>
      </w:pPr>
      <w:r w:rsidRPr="00E10347">
        <w:rPr>
          <w:rFonts w:ascii="Palatino Linotype" w:hAnsi="Palatino Linotype" w:cs="Arial"/>
          <w:color w:val="auto"/>
          <w:sz w:val="21"/>
          <w:szCs w:val="21"/>
          <w:lang w:val="es-ES_tradnl"/>
        </w:rPr>
        <w:t>2.-  El Sistema Inquisitivo</w:t>
      </w:r>
      <w:bookmarkEnd w:id="5"/>
    </w:p>
    <w:p w:rsidR="002014CA" w:rsidRPr="00E10347" w:rsidRDefault="003F3E60" w:rsidP="00E10347">
      <w:pPr>
        <w:pStyle w:val="Ttulo3"/>
        <w:spacing w:before="0"/>
        <w:rPr>
          <w:rFonts w:ascii="Palatino Linotype" w:hAnsi="Palatino Linotype"/>
          <w:color w:val="auto"/>
          <w:sz w:val="21"/>
          <w:szCs w:val="21"/>
          <w:lang w:val="es-ES_tradnl"/>
        </w:rPr>
      </w:pPr>
      <w:bookmarkStart w:id="6" w:name="_Toc267603604"/>
      <w:r w:rsidRPr="00E10347">
        <w:rPr>
          <w:rFonts w:ascii="Palatino Linotype" w:hAnsi="Palatino Linotype"/>
          <w:color w:val="auto"/>
          <w:sz w:val="21"/>
          <w:szCs w:val="21"/>
          <w:lang w:val="es-ES_tradnl"/>
        </w:rPr>
        <w:t>a</w:t>
      </w:r>
      <w:r w:rsidR="002014CA" w:rsidRPr="00E10347">
        <w:rPr>
          <w:rFonts w:ascii="Palatino Linotype" w:hAnsi="Palatino Linotype"/>
          <w:color w:val="auto"/>
          <w:sz w:val="21"/>
          <w:szCs w:val="21"/>
          <w:lang w:val="es-ES_tradnl"/>
        </w:rPr>
        <w:t>.-  Concepto</w:t>
      </w:r>
      <w:bookmarkEnd w:id="6"/>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Como sistema procesal, es decir, como método de enjuiciamiento, el sistema inquisitorio, inquisitivo u oficioso es aquel que erige un método unilateral en el cual no hay debate, no hay diálogo, sino un monólogo bajo el poder, conducción y acción monopolizadora del juez. En este sistema el juzgador tiene las facultades de acusar, indagar, alegar, confirmar y sentenciar, con o sin la participación de las partes, justificadas tradicionalmente por una pretendida búsqueda –siempre infructuosa- de una magnificada y subjetiva “verdad real”.</w:t>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Este sistema conlleva, como pretendemos demostrar, que “la imparcialidad y la igualdad de armas de los contendientes quedan en jaque, a la vez que el ejercicio del derecho de defensa se hace más dificultoso, por lo que no puede comportarse como pleno resguardo de garantías y derechos fundamentales de las personas”.</w:t>
      </w:r>
      <w:r w:rsidRPr="00E10347">
        <w:rPr>
          <w:rStyle w:val="Refdenotaalpie"/>
          <w:rFonts w:ascii="Palatino Linotype" w:hAnsi="Palatino Linotype"/>
          <w:sz w:val="21"/>
          <w:szCs w:val="21"/>
        </w:rPr>
        <w:footnoteReference w:id="12"/>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Es la antítesis del sistema dispositivo. Por el contrario, se ha sostenido en el sistema inquisitivo el juez tiene que investigar -sin otra limitación que la impuesta por la ley- la verdad real, con o sin la ayuda de las partes. Esta colaboración de las partes en el sistema inquisitivo puede representar un obstáculo para la iniciativa del Juez. En sí, lo que queremos decir es que el Juez puede ir en busca de la verdad real conjuntamente con las partes, sin éstas e inclusive contra ellas, pudiendo separarse por completo de la delimitación que del litigio hayan hechos éstos (</w:t>
      </w:r>
      <w:r w:rsidRPr="00E10347">
        <w:rPr>
          <w:rFonts w:ascii="Palatino Linotype" w:hAnsi="Palatino Linotype"/>
          <w:i/>
          <w:iCs/>
          <w:sz w:val="21"/>
          <w:szCs w:val="21"/>
        </w:rPr>
        <w:t>thema decidendum y thema probandum</w:t>
      </w:r>
      <w:r w:rsidRPr="00E10347">
        <w:rPr>
          <w:rFonts w:ascii="Palatino Linotype" w:hAnsi="Palatino Linotype"/>
          <w:sz w:val="21"/>
          <w:szCs w:val="21"/>
        </w:rPr>
        <w:t xml:space="preserve">). </w:t>
      </w:r>
    </w:p>
    <w:p w:rsidR="002014CA" w:rsidRPr="00E10347" w:rsidRDefault="002014CA" w:rsidP="00E10347">
      <w:pPr>
        <w:jc w:val="both"/>
        <w:rPr>
          <w:rFonts w:ascii="Palatino Linotype" w:hAnsi="Palatino Linotype"/>
          <w:sz w:val="21"/>
          <w:szCs w:val="21"/>
        </w:rPr>
      </w:pPr>
      <w:r w:rsidRPr="00E10347">
        <w:rPr>
          <w:rFonts w:ascii="Palatino Linotype" w:hAnsi="Palatino Linotype"/>
          <w:sz w:val="21"/>
          <w:szCs w:val="21"/>
        </w:rPr>
        <w:lastRenderedPageBreak/>
        <w:tab/>
        <w:t>Esta actividad probatoria del Juez puede realizarla –según este sistema inquisitivo- tratando de descubrir  los hechos a tra</w:t>
      </w:r>
      <w:r w:rsidRPr="00E10347">
        <w:rPr>
          <w:rFonts w:ascii="Palatino Linotype" w:hAnsi="Palatino Linotype"/>
          <w:sz w:val="21"/>
          <w:szCs w:val="21"/>
        </w:rPr>
        <w:softHyphen/>
        <w:t>vés de los que ya conociere y utilizando cualquier medio ten</w:t>
      </w:r>
      <w:r w:rsidRPr="00E10347">
        <w:rPr>
          <w:rFonts w:ascii="Palatino Linotype" w:hAnsi="Palatino Linotype"/>
          <w:sz w:val="21"/>
          <w:szCs w:val="21"/>
        </w:rPr>
        <w:softHyphen/>
        <w:t>diente a la averiguación de la verdad</w:t>
      </w:r>
      <w:r w:rsidRPr="00E10347">
        <w:rPr>
          <w:rFonts w:ascii="Palatino Linotype" w:hAnsi="Palatino Linotype"/>
          <w:sz w:val="21"/>
          <w:szCs w:val="21"/>
          <w:vertAlign w:val="superscript"/>
        </w:rPr>
        <w:footnoteReference w:id="13"/>
      </w:r>
      <w:r w:rsidRPr="00E10347">
        <w:rPr>
          <w:rFonts w:ascii="Palatino Linotype" w:hAnsi="Palatino Linotype"/>
          <w:sz w:val="21"/>
          <w:szCs w:val="21"/>
        </w:rPr>
        <w:t>. Nos parece, personalmente, que este sistema inquisitivo “puro“, sin limitaciones al hacer del Juzgador, responde a un idealismo maquiavélico en que el fin justifica los medios y que atenta contra el derecho de defensa (particularmente en su derecho a la actividad probatoria) de ambas partes y es, en sentido estricto, incompatible con un proceso inspirado en los derechos humanos.</w:t>
      </w:r>
    </w:p>
    <w:p w:rsidR="009A5379" w:rsidRDefault="009A5379" w:rsidP="00E10347">
      <w:pPr>
        <w:pStyle w:val="Ttulo3"/>
        <w:spacing w:before="0"/>
        <w:rPr>
          <w:rFonts w:ascii="Palatino Linotype" w:hAnsi="Palatino Linotype"/>
          <w:color w:val="auto"/>
          <w:sz w:val="21"/>
          <w:szCs w:val="21"/>
        </w:rPr>
      </w:pPr>
      <w:bookmarkStart w:id="7" w:name="_Toc267603605"/>
    </w:p>
    <w:p w:rsidR="002014CA" w:rsidRPr="00E10347" w:rsidRDefault="003F3E60" w:rsidP="00E10347">
      <w:pPr>
        <w:pStyle w:val="Ttulo3"/>
        <w:spacing w:before="0"/>
        <w:rPr>
          <w:rFonts w:ascii="Palatino Linotype" w:hAnsi="Palatino Linotype"/>
          <w:color w:val="auto"/>
          <w:sz w:val="21"/>
          <w:szCs w:val="21"/>
        </w:rPr>
      </w:pPr>
      <w:r w:rsidRPr="00E10347">
        <w:rPr>
          <w:rFonts w:ascii="Palatino Linotype" w:hAnsi="Palatino Linotype"/>
          <w:color w:val="auto"/>
          <w:sz w:val="21"/>
          <w:szCs w:val="21"/>
        </w:rPr>
        <w:t>b</w:t>
      </w:r>
      <w:r w:rsidR="002014CA" w:rsidRPr="00E10347">
        <w:rPr>
          <w:rFonts w:ascii="Palatino Linotype" w:hAnsi="Palatino Linotype"/>
          <w:color w:val="auto"/>
          <w:sz w:val="21"/>
          <w:szCs w:val="21"/>
        </w:rPr>
        <w:t>.- Breve reseña histórica</w:t>
      </w:r>
      <w:bookmarkEnd w:id="7"/>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Este sistema se caracteriza por ser propio de ordenamientos políticos autoritarios</w:t>
      </w:r>
      <w:r w:rsidRPr="00E10347">
        <w:rPr>
          <w:rStyle w:val="Refdenotaalpie"/>
          <w:rFonts w:ascii="Palatino Linotype" w:hAnsi="Palatino Linotype"/>
          <w:sz w:val="21"/>
          <w:szCs w:val="21"/>
          <w:lang w:val="es-MX"/>
        </w:rPr>
        <w:footnoteReference w:id="14"/>
      </w:r>
      <w:r w:rsidRPr="00E10347">
        <w:rPr>
          <w:rFonts w:ascii="Palatino Linotype" w:hAnsi="Palatino Linotype"/>
          <w:sz w:val="21"/>
          <w:szCs w:val="21"/>
        </w:rPr>
        <w:t>; se le relaciona con la Roma Imperial y el Derecho Canónico. Su verdadero desarrollo se dio bajo la sombra de  la Iglesia Católica, que luchaba contra los infieles, de ahí que sea importante y a la vez interesante conocer su evolución histórica y los principios que le informan. Para entender cada uno de los sistemas procesales que conocemos hoy es necesario dar una mirada al pasado, partiendo del Concilio de Letrán.</w:t>
      </w:r>
      <w:r w:rsidRPr="00E10347">
        <w:rPr>
          <w:rStyle w:val="Refdenotaalpie"/>
          <w:rFonts w:ascii="Palatino Linotype" w:hAnsi="Palatino Linotype"/>
          <w:sz w:val="21"/>
          <w:szCs w:val="21"/>
        </w:rPr>
        <w:footnoteReference w:id="15"/>
      </w:r>
      <w:r w:rsidRPr="00E10347">
        <w:rPr>
          <w:rFonts w:ascii="Palatino Linotype" w:hAnsi="Palatino Linotype"/>
          <w:sz w:val="21"/>
          <w:szCs w:val="21"/>
        </w:rPr>
        <w:t xml:space="preserve">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Con la consolidación del catolicismo surge la formulación de dogmas de fe. Estos, al no ser comprendidos por todos los fieles, les eran impuestos coercitivamente so pena de herejía. Las discusiones dogmáticas se ponían de relieve incluso en las incipientes jerarquías clericales y se extendieron en toda la Europa católica. Al punto que la subversión implicó el dictado del Concilio de Verona, en el año 1184, institucionalizándose la Inquisición Episcopal.</w:t>
      </w:r>
    </w:p>
    <w:p w:rsidR="002014CA" w:rsidRPr="00E10347" w:rsidRDefault="002014CA" w:rsidP="00E10347">
      <w:pPr>
        <w:tabs>
          <w:tab w:val="left" w:pos="720"/>
        </w:tabs>
        <w:jc w:val="both"/>
        <w:rPr>
          <w:rFonts w:ascii="Palatino Linotype" w:hAnsi="Palatino Linotype"/>
          <w:sz w:val="21"/>
          <w:szCs w:val="21"/>
        </w:rPr>
      </w:pPr>
      <w:r w:rsidRPr="00E10347">
        <w:rPr>
          <w:rFonts w:ascii="Palatino Linotype" w:hAnsi="Palatino Linotype"/>
          <w:sz w:val="21"/>
          <w:szCs w:val="21"/>
        </w:rPr>
        <w:tab/>
        <w:t xml:space="preserve">A raíz de ella, se dictó el decreto </w:t>
      </w:r>
      <w:r w:rsidRPr="00E10347">
        <w:rPr>
          <w:rFonts w:ascii="Palatino Linotype" w:hAnsi="Palatino Linotype"/>
          <w:i/>
          <w:iCs/>
          <w:sz w:val="21"/>
          <w:szCs w:val="21"/>
        </w:rPr>
        <w:t xml:space="preserve">Ad abolendum,  </w:t>
      </w:r>
      <w:r w:rsidRPr="00E10347">
        <w:rPr>
          <w:rFonts w:ascii="Palatino Linotype" w:hAnsi="Palatino Linotype"/>
          <w:sz w:val="21"/>
          <w:szCs w:val="21"/>
        </w:rPr>
        <w:t xml:space="preserve">el cual “encomendó a los obispos la inspección anual de los pueblos donde se presentaban numerosas herejías a fin de recabar informes secretos acerca de ellas, utilizando al efecto a personas de buena reputación y encargándoles que, llegado el caso, juzgaran por sí mismos a los sospechosos, a quienes se les negaba la posibilidad de oponer cualquier privilegio </w:t>
      </w:r>
      <w:r w:rsidRPr="00E10347">
        <w:rPr>
          <w:rFonts w:ascii="Palatino Linotype" w:hAnsi="Palatino Linotype"/>
          <w:sz w:val="21"/>
          <w:szCs w:val="21"/>
        </w:rPr>
        <w:lastRenderedPageBreak/>
        <w:t xml:space="preserve">de exención de juzgamiento. Parece claro a los autores en general que en esta época y en tales condiciones, lo que verdaderamente importaba a la Iglesia mediante ese </w:t>
      </w:r>
      <w:r w:rsidRPr="00E10347">
        <w:rPr>
          <w:rFonts w:ascii="Palatino Linotype" w:hAnsi="Palatino Linotype"/>
          <w:i/>
          <w:iCs/>
          <w:sz w:val="21"/>
          <w:szCs w:val="21"/>
        </w:rPr>
        <w:t xml:space="preserve">juzgamiento </w:t>
      </w:r>
      <w:r w:rsidRPr="00E10347">
        <w:rPr>
          <w:rFonts w:ascii="Palatino Linotype" w:hAnsi="Palatino Linotype"/>
          <w:sz w:val="21"/>
          <w:szCs w:val="21"/>
        </w:rPr>
        <w:t xml:space="preserve">era la </w:t>
      </w:r>
      <w:r w:rsidRPr="00E10347">
        <w:rPr>
          <w:rFonts w:ascii="Palatino Linotype" w:hAnsi="Palatino Linotype"/>
          <w:i/>
          <w:iCs/>
          <w:sz w:val="21"/>
          <w:szCs w:val="21"/>
        </w:rPr>
        <w:t xml:space="preserve">conversión </w:t>
      </w:r>
      <w:r w:rsidRPr="00E10347">
        <w:rPr>
          <w:rFonts w:ascii="Palatino Linotype" w:hAnsi="Palatino Linotype"/>
          <w:sz w:val="21"/>
          <w:szCs w:val="21"/>
        </w:rPr>
        <w:t xml:space="preserve">y no la </w:t>
      </w:r>
      <w:r w:rsidRPr="00E10347">
        <w:rPr>
          <w:rFonts w:ascii="Palatino Linotype" w:hAnsi="Palatino Linotype"/>
          <w:i/>
          <w:iCs/>
          <w:sz w:val="21"/>
          <w:szCs w:val="21"/>
        </w:rPr>
        <w:t xml:space="preserve">represión </w:t>
      </w:r>
      <w:r w:rsidRPr="00E10347">
        <w:rPr>
          <w:rFonts w:ascii="Palatino Linotype" w:hAnsi="Palatino Linotype"/>
          <w:sz w:val="21"/>
          <w:szCs w:val="21"/>
        </w:rPr>
        <w:t>del hereje, por lo que se afirma que, históricamente, el sistema carece de la trascendencia jurídica que muchos estudiosos le asignan. Pero no fue así si se miran bien sus resultados.”</w:t>
      </w:r>
      <w:r w:rsidRPr="00E10347">
        <w:rPr>
          <w:rStyle w:val="Refdenotaalpie"/>
          <w:rFonts w:ascii="Palatino Linotype" w:hAnsi="Palatino Linotype"/>
          <w:sz w:val="21"/>
          <w:szCs w:val="21"/>
        </w:rPr>
        <w:footnoteReference w:id="16"/>
      </w:r>
    </w:p>
    <w:p w:rsidR="002014CA" w:rsidRPr="00E10347" w:rsidRDefault="002014CA" w:rsidP="00E10347">
      <w:pPr>
        <w:tabs>
          <w:tab w:val="left" w:pos="720"/>
        </w:tabs>
        <w:jc w:val="both"/>
        <w:rPr>
          <w:rFonts w:ascii="Palatino Linotype" w:hAnsi="Palatino Linotype"/>
          <w:sz w:val="21"/>
          <w:szCs w:val="21"/>
        </w:rPr>
      </w:pPr>
      <w:r w:rsidRPr="00E10347">
        <w:rPr>
          <w:rFonts w:ascii="Palatino Linotype" w:hAnsi="Palatino Linotype"/>
          <w:sz w:val="21"/>
          <w:szCs w:val="21"/>
        </w:rPr>
        <w:tab/>
        <w:t xml:space="preserve">Los obispos realizaban búsquedas exhaustivas de pecadores para someterlos a confesión –sacramento católico- de sus pecados. Hasta este momento, dentro de un plano estrictamente religioso, los inquisidores procuraban, primero, la búsqueda de pecadores, la inquisición o investigación de sus pecados y luego, como fin que justificaba cualquier medio, la confesión. Sin embargo, esta persecución se amplió de toda reivindicación espiritual por intereses económicos de una Iglesia que abarcaba cada vez más poder, con ayuda de los gobiernos seculares, convirtiéndose en delitos lo que anteriormente se consideraban como simples pecados, como la herejía, la apostasía, el sortilegio, el cisma, la sodomía, superstición, entre otros) con el Concilio de Letrán en el año 1215, el cual instauró la Inquisición Papal.  </w:t>
      </w:r>
    </w:p>
    <w:p w:rsidR="002014CA" w:rsidRPr="00E10347" w:rsidRDefault="002014CA" w:rsidP="00E10347">
      <w:pPr>
        <w:jc w:val="both"/>
        <w:rPr>
          <w:rFonts w:ascii="Palatino Linotype" w:hAnsi="Palatino Linotype"/>
          <w:sz w:val="21"/>
          <w:szCs w:val="21"/>
        </w:rPr>
      </w:pPr>
      <w:r w:rsidRPr="00E10347">
        <w:rPr>
          <w:rFonts w:ascii="Palatino Linotype" w:hAnsi="Palatino Linotype"/>
          <w:kern w:val="22"/>
          <w:sz w:val="21"/>
          <w:szCs w:val="21"/>
        </w:rPr>
        <w:tab/>
        <w:t>Pero sus métodos fueron cada vez más ortodoxos y lejos de la tolerancia pacífica basada en el amor que enseñaba Jesús: “a</w:t>
      </w:r>
      <w:r w:rsidRPr="00E10347">
        <w:rPr>
          <w:rFonts w:ascii="Palatino Linotype" w:hAnsi="Palatino Linotype"/>
          <w:sz w:val="21"/>
          <w:szCs w:val="21"/>
        </w:rPr>
        <w:t xml:space="preserve"> este efecto se utilizó –es obvio– el método ya conocido por la Organización inquisitorial: nuevamente se procuró obtener la </w:t>
      </w:r>
      <w:r w:rsidRPr="00E10347">
        <w:rPr>
          <w:rFonts w:ascii="Palatino Linotype" w:hAnsi="Palatino Linotype"/>
          <w:i/>
          <w:iCs/>
          <w:sz w:val="21"/>
          <w:szCs w:val="21"/>
        </w:rPr>
        <w:t>confesión</w:t>
      </w:r>
      <w:r w:rsidRPr="00E10347">
        <w:rPr>
          <w:rFonts w:ascii="Palatino Linotype" w:hAnsi="Palatino Linotype"/>
          <w:sz w:val="21"/>
          <w:szCs w:val="21"/>
        </w:rPr>
        <w:t xml:space="preserve"> y el arrepentimiento pues, a la postre, se buscaba la reconciliación del pecador con la Iglesia. </w:t>
      </w:r>
      <w:r w:rsidR="002A76CC">
        <w:rPr>
          <w:rFonts w:ascii="Palatino Linotype" w:hAnsi="Palatino Linotype"/>
          <w:sz w:val="21"/>
          <w:szCs w:val="21"/>
        </w:rPr>
        <w:t xml:space="preserve">Solo </w:t>
      </w:r>
      <w:r w:rsidRPr="00E10347">
        <w:rPr>
          <w:rFonts w:ascii="Palatino Linotype" w:hAnsi="Palatino Linotype"/>
          <w:sz w:val="21"/>
          <w:szCs w:val="21"/>
        </w:rPr>
        <w:t xml:space="preserve">que ahora se lograba por medio de la </w:t>
      </w:r>
      <w:r w:rsidRPr="00E10347">
        <w:rPr>
          <w:rFonts w:ascii="Palatino Linotype" w:hAnsi="Palatino Linotype"/>
          <w:i/>
          <w:iCs/>
          <w:sz w:val="21"/>
          <w:szCs w:val="21"/>
        </w:rPr>
        <w:t>tortura</w:t>
      </w:r>
      <w:r w:rsidRPr="00E10347">
        <w:rPr>
          <w:rFonts w:ascii="Palatino Linotype" w:hAnsi="Palatino Linotype"/>
          <w:sz w:val="21"/>
          <w:szCs w:val="21"/>
        </w:rPr>
        <w:t>, para ayudar al alma a arrancar el pecado de su seno,</w:t>
      </w:r>
      <w:r w:rsidRPr="00E10347">
        <w:rPr>
          <w:rFonts w:ascii="Palatino Linotype" w:hAnsi="Palatino Linotype"/>
          <w:b/>
          <w:bCs/>
          <w:sz w:val="21"/>
          <w:szCs w:val="21"/>
        </w:rPr>
        <w:t xml:space="preserve"> </w:t>
      </w:r>
      <w:r w:rsidRPr="00E10347">
        <w:rPr>
          <w:rFonts w:ascii="Palatino Linotype" w:hAnsi="Palatino Linotype"/>
          <w:sz w:val="21"/>
          <w:szCs w:val="21"/>
        </w:rPr>
        <w:t>y la condena por herejía se acompañaba con la orden de absoluta expropiación de los bienes del condenado. Ahora sí aparece un nuevo método de</w:t>
      </w:r>
      <w:r w:rsidRPr="00E10347">
        <w:rPr>
          <w:rFonts w:ascii="Palatino Linotype" w:hAnsi="Palatino Linotype"/>
          <w:i/>
          <w:iCs/>
          <w:sz w:val="21"/>
          <w:szCs w:val="21"/>
        </w:rPr>
        <w:t xml:space="preserve"> </w:t>
      </w:r>
      <w:r w:rsidRPr="00E10347">
        <w:rPr>
          <w:rFonts w:ascii="Palatino Linotype" w:hAnsi="Palatino Linotype"/>
          <w:sz w:val="21"/>
          <w:szCs w:val="21"/>
        </w:rPr>
        <w:t xml:space="preserve">enjuiciamiento –por supuesto, penal– muy alejado en su estructura de aquél que la pacificación de los pueblos supo conquistar y que ya presenté con una </w:t>
      </w:r>
      <w:r w:rsidRPr="00E10347">
        <w:rPr>
          <w:rFonts w:ascii="Palatino Linotype" w:hAnsi="Palatino Linotype"/>
          <w:i/>
          <w:iCs/>
          <w:sz w:val="21"/>
          <w:szCs w:val="21"/>
        </w:rPr>
        <w:t>figura triangular</w:t>
      </w:r>
      <w:r w:rsidRPr="00E10347">
        <w:rPr>
          <w:rFonts w:ascii="Palatino Linotype" w:hAnsi="Palatino Linotype"/>
          <w:sz w:val="21"/>
          <w:szCs w:val="21"/>
        </w:rPr>
        <w:t xml:space="preserve"> que siguió utilizándose para todo lo que no fuera delito. Porque ese método era practicado por una organización conocida como </w:t>
      </w:r>
      <w:r w:rsidRPr="00E10347">
        <w:rPr>
          <w:rFonts w:ascii="Palatino Linotype" w:hAnsi="Palatino Linotype"/>
          <w:i/>
          <w:iCs/>
          <w:sz w:val="21"/>
          <w:szCs w:val="21"/>
        </w:rPr>
        <w:t>Inquisición</w:t>
      </w:r>
      <w:r w:rsidRPr="00E10347">
        <w:rPr>
          <w:rFonts w:ascii="Palatino Linotype" w:hAnsi="Palatino Linotype"/>
          <w:sz w:val="21"/>
          <w:szCs w:val="21"/>
        </w:rPr>
        <w:t xml:space="preserve">, pasó a la historia con el nombre de </w:t>
      </w:r>
      <w:r w:rsidRPr="00E10347">
        <w:rPr>
          <w:rFonts w:ascii="Palatino Linotype" w:hAnsi="Palatino Linotype"/>
          <w:i/>
          <w:iCs/>
          <w:sz w:val="21"/>
          <w:szCs w:val="21"/>
        </w:rPr>
        <w:t xml:space="preserve">sistema inquisitorio </w:t>
      </w:r>
      <w:r w:rsidRPr="00E10347">
        <w:rPr>
          <w:rFonts w:ascii="Palatino Linotype" w:hAnsi="Palatino Linotype"/>
          <w:sz w:val="21"/>
          <w:szCs w:val="21"/>
        </w:rPr>
        <w:t xml:space="preserve">(opuesto a </w:t>
      </w:r>
      <w:r w:rsidRPr="00E10347">
        <w:rPr>
          <w:rFonts w:ascii="Palatino Linotype" w:hAnsi="Palatino Linotype"/>
          <w:i/>
          <w:iCs/>
          <w:sz w:val="21"/>
          <w:szCs w:val="21"/>
        </w:rPr>
        <w:t>acusatorio</w:t>
      </w:r>
      <w:r w:rsidRPr="00E10347">
        <w:rPr>
          <w:rFonts w:ascii="Palatino Linotype" w:hAnsi="Palatino Linotype"/>
          <w:sz w:val="21"/>
          <w:szCs w:val="21"/>
        </w:rPr>
        <w:t>)</w:t>
      </w:r>
      <w:r w:rsidRPr="00E10347">
        <w:rPr>
          <w:rFonts w:ascii="Palatino Linotype" w:hAnsi="Palatino Linotype"/>
          <w:i/>
          <w:iCs/>
          <w:sz w:val="21"/>
          <w:szCs w:val="21"/>
        </w:rPr>
        <w:t xml:space="preserve"> o inquisitivo </w:t>
      </w:r>
      <w:r w:rsidRPr="00E10347">
        <w:rPr>
          <w:rFonts w:ascii="Palatino Linotype" w:hAnsi="Palatino Linotype"/>
          <w:sz w:val="21"/>
          <w:szCs w:val="21"/>
        </w:rPr>
        <w:t xml:space="preserve">(opuesto a </w:t>
      </w:r>
      <w:r w:rsidRPr="00E10347">
        <w:rPr>
          <w:rFonts w:ascii="Palatino Linotype" w:hAnsi="Palatino Linotype"/>
          <w:i/>
          <w:iCs/>
          <w:sz w:val="21"/>
          <w:szCs w:val="21"/>
        </w:rPr>
        <w:t>dispositivo</w:t>
      </w:r>
      <w:r w:rsidRPr="00E10347">
        <w:rPr>
          <w:rFonts w:ascii="Palatino Linotype" w:hAnsi="Palatino Linotype"/>
          <w:sz w:val="21"/>
          <w:szCs w:val="21"/>
        </w:rPr>
        <w:t>)</w:t>
      </w:r>
      <w:r w:rsidRPr="00E10347">
        <w:rPr>
          <w:rFonts w:ascii="Palatino Linotype" w:hAnsi="Palatino Linotype"/>
          <w:i/>
          <w:iCs/>
          <w:sz w:val="21"/>
          <w:szCs w:val="21"/>
        </w:rPr>
        <w:t xml:space="preserve">. </w:t>
      </w:r>
      <w:r w:rsidRPr="00E10347">
        <w:rPr>
          <w:rFonts w:ascii="Palatino Linotype" w:hAnsi="Palatino Linotype"/>
          <w:sz w:val="21"/>
          <w:szCs w:val="21"/>
        </w:rPr>
        <w:t>Y así se lo conoce hasta hoy. ”</w:t>
      </w:r>
      <w:r w:rsidRPr="00E10347">
        <w:rPr>
          <w:rStyle w:val="Refdenotaalpie"/>
          <w:rFonts w:ascii="Palatino Linotype" w:hAnsi="Palatino Linotype"/>
          <w:sz w:val="21"/>
          <w:szCs w:val="21"/>
        </w:rPr>
        <w:footnoteReference w:id="17"/>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 xml:space="preserve">El sistema inquisitorio se extendió a través de tribunales inquisitoriales </w:t>
      </w:r>
      <w:r w:rsidRPr="00E10347">
        <w:rPr>
          <w:rFonts w:ascii="Palatino Linotype" w:hAnsi="Palatino Linotype"/>
          <w:i/>
          <w:iCs/>
          <w:sz w:val="21"/>
          <w:szCs w:val="21"/>
        </w:rPr>
        <w:t xml:space="preserve">(Santo Oficio) </w:t>
      </w:r>
      <w:r w:rsidRPr="00E10347">
        <w:rPr>
          <w:rFonts w:ascii="Palatino Linotype" w:hAnsi="Palatino Linotype"/>
          <w:sz w:val="21"/>
          <w:szCs w:val="21"/>
        </w:rPr>
        <w:t xml:space="preserve">en Francia, Italia y España y consecuentemente, con la conquista y colonización de las Indias, llegó a regir todo Latinoamérica, con la instauración de la Inquisición Española. Ésta, ya no solo abarcaba cuestiones eclesiásticas sino </w:t>
      </w:r>
      <w:r w:rsidRPr="00E10347">
        <w:rPr>
          <w:rFonts w:ascii="Palatino Linotype" w:hAnsi="Palatino Linotype"/>
          <w:sz w:val="21"/>
          <w:szCs w:val="21"/>
        </w:rPr>
        <w:lastRenderedPageBreak/>
        <w:t>también actuaba como tribunal civil en nombre del Rey. Éste, por intereses exclusivamente económicos, inventó el delito del judaísmo para perseguirlos,</w:t>
      </w:r>
      <w:r w:rsidRPr="00E10347">
        <w:rPr>
          <w:rStyle w:val="Refdenotaalpie"/>
          <w:rFonts w:ascii="Palatino Linotype" w:hAnsi="Palatino Linotype"/>
          <w:sz w:val="21"/>
          <w:szCs w:val="21"/>
        </w:rPr>
        <w:footnoteReference w:id="18"/>
      </w:r>
      <w:r w:rsidRPr="00E10347">
        <w:rPr>
          <w:rFonts w:ascii="Palatino Linotype" w:hAnsi="Palatino Linotype"/>
          <w:sz w:val="21"/>
          <w:szCs w:val="21"/>
        </w:rPr>
        <w:t xml:space="preserve">  como una forma de evadir sus obligaciones con la banca judía y llenar las arcas reales expropiando los bienes de la comunidad judía, buscando la </w:t>
      </w:r>
      <w:r w:rsidRPr="00E10347">
        <w:rPr>
          <w:rFonts w:ascii="Palatino Linotype" w:hAnsi="Palatino Linotype"/>
          <w:i/>
          <w:iCs/>
          <w:sz w:val="21"/>
          <w:szCs w:val="21"/>
        </w:rPr>
        <w:t xml:space="preserve">verdad real </w:t>
      </w:r>
      <w:r w:rsidRPr="00E10347">
        <w:rPr>
          <w:rFonts w:ascii="Palatino Linotype" w:hAnsi="Palatino Linotype"/>
          <w:sz w:val="21"/>
          <w:szCs w:val="21"/>
        </w:rPr>
        <w:t>–es decir, la verdad del rey- con cada vez más sofisticados métodos de tortura.</w:t>
      </w:r>
      <w:r w:rsidRPr="00E10347">
        <w:rPr>
          <w:rStyle w:val="Refdenotaalpie"/>
          <w:rFonts w:ascii="Palatino Linotype" w:hAnsi="Palatino Linotype"/>
          <w:sz w:val="21"/>
          <w:szCs w:val="21"/>
        </w:rPr>
        <w:footnoteReference w:id="19"/>
      </w:r>
      <w:r w:rsidRPr="00E10347">
        <w:rPr>
          <w:rFonts w:ascii="Palatino Linotype" w:hAnsi="Palatino Linotype"/>
          <w:sz w:val="21"/>
          <w:szCs w:val="21"/>
        </w:rPr>
        <w:t xml:space="preserve"> </w:t>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Esto provocó una huída generalizada de los judíos españoles, ocasionando que sus fondos queden para la orden que estaba haciendo la tarea inquisitorial y para los reyes de España. Asimismo, se intenta buscar la confesión del imputado, con el obvio fin de lograr una condena que posibilitara a la expropiación de bienes. Bajo un minucioso régimen de torturas, cuya creación o autoría se atribuye a  las instrucciones del Dominico Fray Tomás de Torquemada, confesor de la reina Isabel, y el primer gran inquisidor de la Inquisición Española. Sus instrucciones regularon la tortura en función de las condiciones de edad y sexo del torturado. Ejemplos de mecanismos de este tipo de tortura son:</w:t>
      </w:r>
    </w:p>
    <w:p w:rsidR="002014CA" w:rsidRPr="00E10347" w:rsidRDefault="002014CA" w:rsidP="00E83320">
      <w:pPr>
        <w:pStyle w:val="Prrafodelista"/>
        <w:widowControl/>
        <w:numPr>
          <w:ilvl w:val="0"/>
          <w:numId w:val="27"/>
        </w:numPr>
        <w:autoSpaceDE/>
        <w:autoSpaceDN/>
        <w:adjustRightInd/>
        <w:contextualSpacing w:val="0"/>
        <w:jc w:val="both"/>
        <w:rPr>
          <w:rFonts w:ascii="Palatino Linotype" w:hAnsi="Palatino Linotype"/>
          <w:sz w:val="21"/>
          <w:szCs w:val="21"/>
        </w:rPr>
      </w:pPr>
      <w:r w:rsidRPr="00E10347">
        <w:rPr>
          <w:rFonts w:ascii="Palatino Linotype" w:hAnsi="Palatino Linotype"/>
          <w:sz w:val="21"/>
          <w:szCs w:val="21"/>
        </w:rPr>
        <w:t xml:space="preserve">La </w:t>
      </w:r>
      <w:r w:rsidRPr="00E10347">
        <w:rPr>
          <w:rFonts w:ascii="Palatino Linotype" w:hAnsi="Palatino Linotype"/>
          <w:i/>
          <w:iCs/>
          <w:sz w:val="21"/>
          <w:szCs w:val="21"/>
        </w:rPr>
        <w:t>pera</w:t>
      </w:r>
      <w:r w:rsidRPr="00E10347">
        <w:rPr>
          <w:rFonts w:ascii="Palatino Linotype" w:hAnsi="Palatino Linotype"/>
          <w:sz w:val="21"/>
          <w:szCs w:val="21"/>
        </w:rPr>
        <w:t>, que es una especie de llave, que se introducía oral, vaginal, o analmente, o en los tres al mismo tiempo y que se abría y cerraba gradualmente hasta obtener la confesión.</w:t>
      </w:r>
    </w:p>
    <w:p w:rsidR="002014CA" w:rsidRPr="00E10347" w:rsidRDefault="002014CA" w:rsidP="00E83320">
      <w:pPr>
        <w:pStyle w:val="Prrafodelista"/>
        <w:widowControl/>
        <w:numPr>
          <w:ilvl w:val="0"/>
          <w:numId w:val="27"/>
        </w:numPr>
        <w:autoSpaceDE/>
        <w:autoSpaceDN/>
        <w:adjustRightInd/>
        <w:contextualSpacing w:val="0"/>
        <w:jc w:val="both"/>
        <w:rPr>
          <w:rFonts w:ascii="Palatino Linotype" w:hAnsi="Palatino Linotype"/>
          <w:sz w:val="21"/>
          <w:szCs w:val="21"/>
        </w:rPr>
      </w:pPr>
      <w:r w:rsidRPr="00E10347">
        <w:rPr>
          <w:rFonts w:ascii="Palatino Linotype" w:hAnsi="Palatino Linotype"/>
          <w:sz w:val="21"/>
          <w:szCs w:val="21"/>
        </w:rPr>
        <w:t xml:space="preserve">La </w:t>
      </w:r>
      <w:r w:rsidRPr="00E10347">
        <w:rPr>
          <w:rFonts w:ascii="Palatino Linotype" w:hAnsi="Palatino Linotype"/>
          <w:i/>
          <w:iCs/>
          <w:sz w:val="21"/>
          <w:szCs w:val="21"/>
        </w:rPr>
        <w:t>silla inquisitoria</w:t>
      </w:r>
      <w:r w:rsidRPr="00E10347">
        <w:rPr>
          <w:rFonts w:ascii="Palatino Linotype" w:hAnsi="Palatino Linotype"/>
          <w:sz w:val="21"/>
          <w:szCs w:val="21"/>
        </w:rPr>
        <w:t>, que era una silla llena de clavos.</w:t>
      </w:r>
    </w:p>
    <w:p w:rsidR="002014CA" w:rsidRPr="00E10347" w:rsidRDefault="002014CA" w:rsidP="00E83320">
      <w:pPr>
        <w:pStyle w:val="Prrafodelista"/>
        <w:widowControl/>
        <w:numPr>
          <w:ilvl w:val="0"/>
          <w:numId w:val="27"/>
        </w:numPr>
        <w:autoSpaceDE/>
        <w:autoSpaceDN/>
        <w:adjustRightInd/>
        <w:contextualSpacing w:val="0"/>
        <w:jc w:val="both"/>
        <w:rPr>
          <w:rFonts w:ascii="Palatino Linotype" w:hAnsi="Palatino Linotype"/>
          <w:sz w:val="21"/>
          <w:szCs w:val="21"/>
        </w:rPr>
      </w:pPr>
      <w:r w:rsidRPr="00E10347">
        <w:rPr>
          <w:rFonts w:ascii="Palatino Linotype" w:hAnsi="Palatino Linotype"/>
          <w:sz w:val="21"/>
          <w:szCs w:val="21"/>
        </w:rPr>
        <w:t xml:space="preserve">La </w:t>
      </w:r>
      <w:r w:rsidRPr="00E10347">
        <w:rPr>
          <w:rFonts w:ascii="Palatino Linotype" w:hAnsi="Palatino Linotype"/>
          <w:i/>
          <w:iCs/>
          <w:sz w:val="21"/>
          <w:szCs w:val="21"/>
        </w:rPr>
        <w:t>cuna de judas</w:t>
      </w:r>
      <w:r w:rsidRPr="00E10347">
        <w:rPr>
          <w:rFonts w:ascii="Palatino Linotype" w:hAnsi="Palatino Linotype"/>
          <w:sz w:val="21"/>
          <w:szCs w:val="21"/>
        </w:rPr>
        <w:t>, que es una especie de pirámide de acero de la que penden cuatro cuerdas de las que sujeta un miembro de la persona que va a ser torturada, y su parte trasera posterior se sujeta y se hace caer sobre la punta de la pirámide</w:t>
      </w:r>
    </w:p>
    <w:p w:rsidR="002014CA" w:rsidRPr="00E10347" w:rsidRDefault="002014CA" w:rsidP="00E83320">
      <w:pPr>
        <w:pStyle w:val="Prrafodelista"/>
        <w:widowControl/>
        <w:numPr>
          <w:ilvl w:val="0"/>
          <w:numId w:val="27"/>
        </w:numPr>
        <w:autoSpaceDE/>
        <w:autoSpaceDN/>
        <w:adjustRightInd/>
        <w:contextualSpacing w:val="0"/>
        <w:jc w:val="both"/>
        <w:rPr>
          <w:rFonts w:ascii="Palatino Linotype" w:hAnsi="Palatino Linotype"/>
          <w:sz w:val="21"/>
          <w:szCs w:val="21"/>
        </w:rPr>
      </w:pPr>
      <w:r w:rsidRPr="00E10347">
        <w:rPr>
          <w:rFonts w:ascii="Palatino Linotype" w:hAnsi="Palatino Linotype"/>
          <w:sz w:val="21"/>
          <w:szCs w:val="21"/>
        </w:rPr>
        <w:t xml:space="preserve">La </w:t>
      </w:r>
      <w:r w:rsidRPr="00E10347">
        <w:rPr>
          <w:rFonts w:ascii="Palatino Linotype" w:hAnsi="Palatino Linotype"/>
          <w:i/>
          <w:iCs/>
          <w:sz w:val="21"/>
          <w:szCs w:val="21"/>
        </w:rPr>
        <w:t>dama de hierro –iron maiden-</w:t>
      </w:r>
      <w:r w:rsidRPr="00E10347">
        <w:rPr>
          <w:rFonts w:ascii="Palatino Linotype" w:hAnsi="Palatino Linotype"/>
          <w:sz w:val="21"/>
          <w:szCs w:val="21"/>
        </w:rPr>
        <w:t>, sarcófago, cubierto por cuchillas filosas que no penetran ninguna parte mortal del cuerpo, lo que hace que cuando encierran al torturado en el sarcófago,  no lo matan al momento por heridas infringidas por la cuchillas, sino que lo dejan desangrarse lentamente.</w:t>
      </w:r>
    </w:p>
    <w:p w:rsidR="002014CA" w:rsidRPr="00E10347" w:rsidRDefault="002014CA" w:rsidP="00E10347">
      <w:pPr>
        <w:pStyle w:val="Prrafodelista"/>
        <w:ind w:left="0" w:firstLine="708"/>
        <w:jc w:val="both"/>
        <w:rPr>
          <w:rFonts w:ascii="Palatino Linotype" w:hAnsi="Palatino Linotype"/>
          <w:sz w:val="21"/>
          <w:szCs w:val="21"/>
        </w:rPr>
      </w:pPr>
      <w:r w:rsidRPr="00E10347">
        <w:rPr>
          <w:rFonts w:ascii="Palatino Linotype" w:hAnsi="Palatino Linotype"/>
          <w:sz w:val="21"/>
          <w:szCs w:val="21"/>
        </w:rPr>
        <w:t xml:space="preserve">No fue sino hasta que el Papa Juan Pablo II emitió la Bula de Convocatoria </w:t>
      </w:r>
      <w:r w:rsidRPr="00E10347">
        <w:rPr>
          <w:rFonts w:ascii="Palatino Linotype" w:hAnsi="Palatino Linotype"/>
          <w:sz w:val="21"/>
          <w:szCs w:val="21"/>
        </w:rPr>
        <w:lastRenderedPageBreak/>
        <w:t>del año Santo del 2000, denominada, ENCARNATIONIS MISTERIUM, el 29 de noviembre de 1998, que la Iglesia Católica puso fin a este pasado oscuro de la historia.</w:t>
      </w:r>
    </w:p>
    <w:p w:rsidR="002014CA" w:rsidRPr="00E10347" w:rsidRDefault="002014CA" w:rsidP="00E10347">
      <w:pPr>
        <w:jc w:val="both"/>
        <w:rPr>
          <w:rFonts w:ascii="Palatino Linotype" w:hAnsi="Palatino Linotype"/>
          <w:i/>
          <w:iCs/>
          <w:sz w:val="21"/>
          <w:szCs w:val="21"/>
        </w:rPr>
      </w:pPr>
      <w:r w:rsidRPr="00E10347">
        <w:rPr>
          <w:rFonts w:ascii="Palatino Linotype" w:hAnsi="Palatino Linotype"/>
          <w:sz w:val="21"/>
          <w:szCs w:val="21"/>
        </w:rPr>
        <w:t xml:space="preserve">    </w:t>
      </w:r>
      <w:r w:rsidRPr="00E10347">
        <w:rPr>
          <w:rFonts w:ascii="Palatino Linotype" w:hAnsi="Palatino Linotype"/>
          <w:sz w:val="21"/>
          <w:szCs w:val="21"/>
        </w:rPr>
        <w:tab/>
        <w:t>Durante todo este tiempo, se formó un sistema de enjuiciamiento, diferente al que se conoció en el pasado; en el cual ya no están más el pretendiente y el resistente, frente al otro en aparente igualdad ante el tercero. Por el contrario, el sistema de enjuiciamiento consistió en un juicio escrito y secreto, en el cual el juez en la misma persona que el acusador. Ya no son tres sujetos, sino son dos, ya que es el juez quien acusa, y entonces se eleva como el fin último del proceso, desde entonces y hasta ahora, a la búsqueda de la</w:t>
      </w:r>
      <w:r w:rsidRPr="00E10347">
        <w:rPr>
          <w:rFonts w:ascii="Palatino Linotype" w:hAnsi="Palatino Linotype"/>
          <w:i/>
          <w:iCs/>
          <w:sz w:val="21"/>
          <w:szCs w:val="21"/>
        </w:rPr>
        <w:t xml:space="preserve"> verdad real. </w:t>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Con este sistema ideado por la inquisición rectus, la figura que se muestra como representativa del sistema procesal ya no es la misma: ahora el pretendiente se muestra muy superior al resistente, siendo ambos antagónicos y desiguales.  Esto significa un retroceso evolutivo en el proceso, antes, las partes, antagónicos desiguales, se igualaban cuando se presentaban ante el juez. Ahora, las partes vuelven a ser desiguales, en razón de que el juez, al acusar y sentenciar, se convierte en pretendiente.</w:t>
      </w:r>
      <w:r w:rsidRPr="00E10347">
        <w:rPr>
          <w:rStyle w:val="Refdenotaalpie"/>
          <w:rFonts w:ascii="Palatino Linotype" w:hAnsi="Palatino Linotype"/>
          <w:sz w:val="21"/>
          <w:szCs w:val="21"/>
        </w:rPr>
        <w:footnoteReference w:id="20"/>
      </w:r>
    </w:p>
    <w:p w:rsidR="002014CA" w:rsidRPr="00E10347" w:rsidRDefault="002014CA" w:rsidP="00E10347">
      <w:pPr>
        <w:pStyle w:val="Prrafodelista"/>
        <w:ind w:left="0" w:firstLine="708"/>
        <w:jc w:val="both"/>
        <w:rPr>
          <w:rFonts w:ascii="Palatino Linotype" w:hAnsi="Palatino Linotype"/>
          <w:sz w:val="21"/>
          <w:szCs w:val="21"/>
        </w:rPr>
      </w:pPr>
      <w:r w:rsidRPr="00E10347">
        <w:rPr>
          <w:rFonts w:ascii="Palatino Linotype" w:hAnsi="Palatino Linotype"/>
          <w:sz w:val="21"/>
          <w:szCs w:val="21"/>
        </w:rPr>
        <w:t xml:space="preserve">Los jueces tienen márgenes de actuación sumamente altos como para considerárseles como simples apacibles espectadores. En realidad, su labor los convierte en un sujeto importantísimo en el proceso, ya que se encarga nada más y nada menos que de resolver la controversia. Pero, si el juez, en estos casos, asume el carácter de parte… ¿no pierde su imparcialidad? Irrefutablemente la respuesta es afirmativa, pues cuando esto ocurre, ya no en homenaje a la justicia, sino de la desigualdad el caso concreto, antepone la meta (verdad real) por sobre el método (debido proceso) y esto es el triunfo final de Maquiavello, que hoy día no puede ser tolerado. Este es el resultado de lo que hoy se conoce como sistema inquisitivo, donde por su puesto el impulso lo tiene la parte principal de este sistema, que es el juez acusador, figura que demostraremos, se presenta en el nuevo proceso civil,  laboral y agrario. </w:t>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Lo descrito no es muy diferente a las potestades oficiosas probatoria en el proceso civil, laboral y agrario costarricense, del cual, alguna doctrina</w:t>
      </w:r>
      <w:r w:rsidRPr="00E10347">
        <w:rPr>
          <w:rStyle w:val="Refdenotaalpie"/>
          <w:rFonts w:ascii="Palatino Linotype" w:hAnsi="Palatino Linotype"/>
          <w:sz w:val="21"/>
          <w:szCs w:val="21"/>
        </w:rPr>
        <w:footnoteReference w:id="21"/>
      </w:r>
      <w:r w:rsidRPr="00E10347">
        <w:rPr>
          <w:rFonts w:ascii="Palatino Linotype" w:hAnsi="Palatino Linotype"/>
          <w:sz w:val="21"/>
          <w:szCs w:val="21"/>
        </w:rPr>
        <w:t xml:space="preserve"> -diferente a </w:t>
      </w:r>
      <w:r w:rsidRPr="00E10347">
        <w:rPr>
          <w:rFonts w:ascii="Palatino Linotype" w:hAnsi="Palatino Linotype"/>
          <w:sz w:val="21"/>
          <w:szCs w:val="21"/>
        </w:rPr>
        <w:lastRenderedPageBreak/>
        <w:t>la extranjera</w:t>
      </w:r>
      <w:r w:rsidRPr="00E10347">
        <w:rPr>
          <w:rStyle w:val="Refdenotaalpie"/>
          <w:rFonts w:ascii="Palatino Linotype" w:hAnsi="Palatino Linotype"/>
          <w:sz w:val="21"/>
          <w:szCs w:val="21"/>
        </w:rPr>
        <w:footnoteReference w:id="22"/>
      </w:r>
      <w:r w:rsidRPr="00E10347">
        <w:rPr>
          <w:rFonts w:ascii="Palatino Linotype" w:hAnsi="Palatino Linotype"/>
          <w:sz w:val="21"/>
          <w:szCs w:val="21"/>
        </w:rPr>
        <w:t>-se aferra a la utopía</w:t>
      </w:r>
      <w:r w:rsidRPr="00E10347">
        <w:rPr>
          <w:rStyle w:val="Refdenotaalpie"/>
          <w:rFonts w:ascii="Palatino Linotype" w:hAnsi="Palatino Linotype"/>
          <w:sz w:val="21"/>
          <w:szCs w:val="21"/>
        </w:rPr>
        <w:footnoteReference w:id="23"/>
      </w:r>
      <w:r w:rsidRPr="00E10347">
        <w:rPr>
          <w:rFonts w:ascii="Palatino Linotype" w:hAnsi="Palatino Linotype"/>
          <w:sz w:val="21"/>
          <w:szCs w:val="21"/>
        </w:rPr>
        <w:t xml:space="preserve"> de la  búsqueda de la verdad real bajo el sistema inquisitorio.</w:t>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Sin embargo, la jurisprudencia de la Sala Primera de Casación de la Corte Suprema de Justicia, máximo órgano judicial en materia civil, comercial, agrario y contencioso-administrativo, ha proscrito el sistema inquisitivo. Ha dicho la Sala:</w:t>
      </w:r>
    </w:p>
    <w:p w:rsidR="002014CA" w:rsidRPr="00E10347" w:rsidRDefault="002014CA" w:rsidP="00E10347">
      <w:pPr>
        <w:tabs>
          <w:tab w:val="num" w:pos="1440"/>
        </w:tabs>
        <w:ind w:left="720" w:right="584" w:firstLine="708"/>
        <w:jc w:val="both"/>
        <w:rPr>
          <w:rFonts w:ascii="Palatino Linotype" w:hAnsi="Palatino Linotype"/>
          <w:i/>
          <w:iCs/>
          <w:sz w:val="21"/>
          <w:szCs w:val="21"/>
        </w:rPr>
      </w:pPr>
      <w:r w:rsidRPr="00E10347">
        <w:rPr>
          <w:rFonts w:ascii="Palatino Linotype" w:hAnsi="Palatino Linotype"/>
          <w:i/>
          <w:iCs/>
          <w:sz w:val="21"/>
          <w:szCs w:val="21"/>
        </w:rPr>
        <w:t>“IX.- En Costa Rica el proceso sigue el principio dispositivo. Las pretensiones, las oposiciones, el ofrecimiento de pruebas, las conclusiones son patrimonio exclusivo de las partes. El principio inquisitivo es el opuesto, propio de los sistemas autoritarios y dictatoriales, donde el juez dispone sobre los alcances de la pretensión, las posibilidades de las posiciones (inc</w:t>
      </w:r>
      <w:r w:rsidR="00E60FEF">
        <w:rPr>
          <w:rFonts w:ascii="Palatino Linotype" w:hAnsi="Palatino Linotype"/>
          <w:i/>
          <w:iCs/>
          <w:sz w:val="21"/>
          <w:szCs w:val="21"/>
        </w:rPr>
        <w:t>l</w:t>
      </w:r>
      <w:r w:rsidRPr="00E10347">
        <w:rPr>
          <w:rFonts w:ascii="Palatino Linotype" w:hAnsi="Palatino Linotype"/>
          <w:i/>
          <w:iCs/>
          <w:sz w:val="21"/>
          <w:szCs w:val="21"/>
        </w:rPr>
        <w:t>uso defendiendo a una de las partes, bajo el argumento de la defensa al más débil) y disponiendo de prueba no ofrecida por las partes para la determinación de cierta “verdad real” impuesta por el interés público. Democráticamente, cada vez se sostiene más la necesidad de fortalecer el principio dispositivo, apoyando al más débil de la relación procesal a través de diferentes mecanismos, pues el sustento fundamental del juez es la imparcialidad, por tal razón no puede variar las pretensiones y, en principio, disponer de prueba distinta a la ofrecida por las partes. Existe hoy la corriente denominada “Garantismo Procesal” (en América Latina encabezada por Adolfo Alvarado Velloso) cuya tesis es repudiar todo sistema procesal autoritario”.</w:t>
      </w:r>
      <w:r w:rsidRPr="00E10347">
        <w:rPr>
          <w:rStyle w:val="Refdenotaalpie"/>
          <w:rFonts w:ascii="Palatino Linotype" w:hAnsi="Palatino Linotype"/>
          <w:i/>
          <w:iCs/>
          <w:sz w:val="21"/>
          <w:szCs w:val="21"/>
        </w:rPr>
        <w:footnoteReference w:id="24"/>
      </w:r>
      <w:r w:rsidRPr="00E10347">
        <w:rPr>
          <w:rFonts w:ascii="Palatino Linotype" w:hAnsi="Palatino Linotype"/>
          <w:i/>
          <w:iCs/>
          <w:sz w:val="21"/>
          <w:szCs w:val="21"/>
        </w:rPr>
        <w:t xml:space="preserve"> </w:t>
      </w:r>
    </w:p>
    <w:p w:rsidR="002014CA" w:rsidRPr="00E10347" w:rsidRDefault="003F3E60" w:rsidP="00E10347">
      <w:pPr>
        <w:pStyle w:val="Ttulo3"/>
        <w:spacing w:before="0"/>
        <w:rPr>
          <w:rFonts w:ascii="Palatino Linotype" w:hAnsi="Palatino Linotype"/>
          <w:b w:val="0"/>
          <w:bCs w:val="0"/>
          <w:color w:val="auto"/>
          <w:sz w:val="21"/>
          <w:szCs w:val="21"/>
        </w:rPr>
      </w:pPr>
      <w:bookmarkStart w:id="8" w:name="_Toc267603607"/>
      <w:r w:rsidRPr="00E10347">
        <w:rPr>
          <w:rFonts w:ascii="Palatino Linotype" w:hAnsi="Palatino Linotype"/>
          <w:color w:val="auto"/>
          <w:sz w:val="21"/>
          <w:szCs w:val="21"/>
        </w:rPr>
        <w:lastRenderedPageBreak/>
        <w:t>c</w:t>
      </w:r>
      <w:r w:rsidR="002014CA" w:rsidRPr="00E10347">
        <w:rPr>
          <w:rFonts w:ascii="Palatino Linotype" w:hAnsi="Palatino Linotype"/>
          <w:color w:val="auto"/>
          <w:sz w:val="21"/>
          <w:szCs w:val="21"/>
        </w:rPr>
        <w:t>.-  Principios de este sistema</w:t>
      </w:r>
      <w:r w:rsidR="002014CA" w:rsidRPr="00E10347">
        <w:rPr>
          <w:rFonts w:ascii="Palatino Linotype" w:hAnsi="Palatino Linotype"/>
          <w:b w:val="0"/>
          <w:bCs w:val="0"/>
          <w:color w:val="auto"/>
          <w:sz w:val="21"/>
          <w:szCs w:val="21"/>
        </w:rPr>
        <w:t>:</w:t>
      </w:r>
      <w:bookmarkEnd w:id="8"/>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Los principios más importantes de este sistema son los siguientes:</w:t>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 xml:space="preserve">1. Investidura, en el juez, de una potestad permanente. Se trata de una </w:t>
      </w:r>
      <w:r w:rsidRPr="00E10347">
        <w:rPr>
          <w:rFonts w:ascii="Palatino Linotype" w:hAnsi="Palatino Linotype"/>
          <w:i/>
          <w:iCs/>
          <w:sz w:val="21"/>
          <w:szCs w:val="21"/>
        </w:rPr>
        <w:t xml:space="preserve">justicia delegada </w:t>
      </w:r>
      <w:r w:rsidRPr="00E10347">
        <w:rPr>
          <w:rFonts w:ascii="Palatino Linotype" w:hAnsi="Palatino Linotype"/>
          <w:sz w:val="21"/>
          <w:szCs w:val="21"/>
        </w:rPr>
        <w:t>en representación del monarca.</w:t>
      </w:r>
      <w:r w:rsidRPr="00E10347">
        <w:rPr>
          <w:rStyle w:val="Refdenotaalpie"/>
          <w:rFonts w:ascii="Palatino Linotype" w:hAnsi="Palatino Linotype"/>
          <w:sz w:val="21"/>
          <w:szCs w:val="21"/>
        </w:rPr>
        <w:footnoteReference w:id="25"/>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 xml:space="preserve">2. El juez concentra en su órbita de atribuciones la posibilidad de </w:t>
      </w:r>
      <w:r w:rsidRPr="00E10347">
        <w:rPr>
          <w:rFonts w:ascii="Palatino Linotype" w:hAnsi="Palatino Linotype"/>
          <w:i/>
          <w:iCs/>
          <w:sz w:val="21"/>
          <w:szCs w:val="21"/>
        </w:rPr>
        <w:t>iniciar el proceso de oficio</w:t>
      </w:r>
      <w:r w:rsidRPr="00E10347">
        <w:rPr>
          <w:rFonts w:ascii="Palatino Linotype" w:hAnsi="Palatino Linotype"/>
          <w:sz w:val="21"/>
          <w:szCs w:val="21"/>
        </w:rPr>
        <w:t>, es decir, sin que otro órgano o persona lo incite a hacerlo.</w:t>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 xml:space="preserve"> 3. Las funciones del juez y de acusador se confunden en una sola persona.</w:t>
      </w:r>
      <w:r w:rsidRPr="00E10347">
        <w:rPr>
          <w:rStyle w:val="Refdenotaalpie"/>
          <w:rFonts w:ascii="Palatino Linotype" w:hAnsi="Palatino Linotype"/>
          <w:sz w:val="21"/>
          <w:szCs w:val="21"/>
        </w:rPr>
        <w:footnoteReference w:id="26"/>
      </w:r>
    </w:p>
    <w:p w:rsidR="002014CA" w:rsidRPr="00E10347" w:rsidRDefault="002014CA" w:rsidP="00E10347">
      <w:pPr>
        <w:jc w:val="both"/>
        <w:rPr>
          <w:rFonts w:ascii="Palatino Linotype" w:hAnsi="Palatino Linotype"/>
          <w:sz w:val="21"/>
          <w:szCs w:val="21"/>
        </w:rPr>
      </w:pPr>
      <w:r w:rsidRPr="00E10347">
        <w:rPr>
          <w:rFonts w:ascii="Palatino Linotype" w:hAnsi="Palatino Linotype"/>
          <w:sz w:val="21"/>
          <w:szCs w:val="21"/>
        </w:rPr>
        <w:t xml:space="preserve"> </w:t>
      </w:r>
      <w:r w:rsidRPr="00E10347">
        <w:rPr>
          <w:rFonts w:ascii="Palatino Linotype" w:hAnsi="Palatino Linotype"/>
          <w:sz w:val="21"/>
          <w:szCs w:val="21"/>
        </w:rPr>
        <w:tab/>
        <w:t xml:space="preserve">4. El juez, es un </w:t>
      </w:r>
      <w:r w:rsidRPr="00E10347">
        <w:rPr>
          <w:rFonts w:ascii="Palatino Linotype" w:hAnsi="Palatino Linotype"/>
          <w:i/>
          <w:iCs/>
          <w:sz w:val="21"/>
          <w:szCs w:val="21"/>
        </w:rPr>
        <w:t>juez activo</w:t>
      </w:r>
      <w:r w:rsidRPr="00E10347">
        <w:rPr>
          <w:rFonts w:ascii="Palatino Linotype" w:hAnsi="Palatino Linotype"/>
          <w:sz w:val="21"/>
          <w:szCs w:val="21"/>
        </w:rPr>
        <w:t>, concentra entre sus atribuciones la instrucción misma del caso, interroga al acusado, recibe la prueba, documenta, interroga, etc.</w:t>
      </w:r>
    </w:p>
    <w:p w:rsidR="009A5379" w:rsidRDefault="009A5379" w:rsidP="00E10347">
      <w:pPr>
        <w:pStyle w:val="Ttulo3"/>
        <w:spacing w:before="0"/>
        <w:jc w:val="both"/>
        <w:rPr>
          <w:rFonts w:ascii="Palatino Linotype" w:hAnsi="Palatino Linotype"/>
          <w:color w:val="auto"/>
          <w:sz w:val="21"/>
          <w:szCs w:val="21"/>
        </w:rPr>
      </w:pPr>
      <w:bookmarkStart w:id="9" w:name="_Toc267603608"/>
    </w:p>
    <w:p w:rsidR="002014CA" w:rsidRPr="00E10347" w:rsidRDefault="003F3E60" w:rsidP="00E10347">
      <w:pPr>
        <w:pStyle w:val="Ttulo3"/>
        <w:spacing w:before="0"/>
        <w:jc w:val="both"/>
        <w:rPr>
          <w:rFonts w:ascii="Palatino Linotype" w:hAnsi="Palatino Linotype"/>
          <w:color w:val="auto"/>
          <w:sz w:val="21"/>
          <w:szCs w:val="21"/>
        </w:rPr>
      </w:pPr>
      <w:r w:rsidRPr="00E10347">
        <w:rPr>
          <w:rFonts w:ascii="Palatino Linotype" w:hAnsi="Palatino Linotype"/>
          <w:color w:val="auto"/>
          <w:sz w:val="21"/>
          <w:szCs w:val="21"/>
        </w:rPr>
        <w:t>d</w:t>
      </w:r>
      <w:r w:rsidR="002014CA" w:rsidRPr="00E10347">
        <w:rPr>
          <w:rFonts w:ascii="Palatino Linotype" w:hAnsi="Palatino Linotype"/>
          <w:color w:val="auto"/>
          <w:sz w:val="21"/>
          <w:szCs w:val="21"/>
        </w:rPr>
        <w:t>.- Críticas al sistema inquisitorio</w:t>
      </w:r>
      <w:bookmarkEnd w:id="9"/>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De hecho, Eisner señalaba “que el proceso no  persigue la averiguación de la verdad sino el dictado de una  sentencia que ponga fin a un conflicto de intereses del modo más justo posible“</w:t>
      </w:r>
      <w:r w:rsidRPr="00E10347">
        <w:rPr>
          <w:rFonts w:ascii="Palatino Linotype" w:hAnsi="Palatino Linotype"/>
          <w:sz w:val="21"/>
          <w:szCs w:val="21"/>
          <w:vertAlign w:val="superscript"/>
        </w:rPr>
        <w:footnoteReference w:id="27"/>
      </w:r>
      <w:r w:rsidRPr="00E10347">
        <w:rPr>
          <w:rFonts w:ascii="Palatino Linotype" w:hAnsi="Palatino Linotype"/>
          <w:sz w:val="21"/>
          <w:szCs w:val="21"/>
        </w:rPr>
        <w:t xml:space="preserve">; y que por ello, muchas veces la ponderada verdad real a veces es inalcanzable para el Juzgador, aún el más inquisidor. </w:t>
      </w:r>
      <w:r w:rsidRPr="00E10347">
        <w:rPr>
          <w:rFonts w:ascii="Palatino Linotype" w:hAnsi="Palatino Linotype"/>
          <w:sz w:val="21"/>
          <w:szCs w:val="21"/>
        </w:rPr>
        <w:tab/>
        <w:t xml:space="preserve">Berizonce también realiza una crítica a este sistema y a la doctrina que la promueve –denominada “activismo procesal”- que compartimos en su totalidad: "Cabe mencionar que el fenómeno del activismo puede presentarse de diversos modos a saber: • </w:t>
      </w:r>
      <w:r w:rsidRPr="00E10347">
        <w:rPr>
          <w:rFonts w:ascii="Palatino Linotype" w:hAnsi="Palatino Linotype"/>
          <w:i/>
          <w:iCs/>
          <w:sz w:val="21"/>
          <w:szCs w:val="21"/>
        </w:rPr>
        <w:t>Juez que pronuncia el derecho</w:t>
      </w:r>
      <w:r w:rsidRPr="00E10347">
        <w:rPr>
          <w:rFonts w:ascii="Palatino Linotype" w:hAnsi="Palatino Linotype"/>
          <w:sz w:val="21"/>
          <w:szCs w:val="21"/>
        </w:rPr>
        <w:t xml:space="preserve">: La jurisdicción asume la tarea de interpretación creativa. Los jueces se convierten en arbitradores y garantes de los valores que sustentan el ordenamiento jurídico. • </w:t>
      </w:r>
      <w:r w:rsidRPr="00E10347">
        <w:rPr>
          <w:rFonts w:ascii="Palatino Linotype" w:hAnsi="Palatino Linotype"/>
          <w:i/>
          <w:iCs/>
          <w:sz w:val="21"/>
          <w:szCs w:val="21"/>
        </w:rPr>
        <w:t>Juez que interpreta, decide y crea el derecho</w:t>
      </w:r>
      <w:r w:rsidRPr="00E10347">
        <w:rPr>
          <w:rFonts w:ascii="Palatino Linotype" w:hAnsi="Palatino Linotype"/>
          <w:sz w:val="21"/>
          <w:szCs w:val="21"/>
        </w:rPr>
        <w:t xml:space="preserve">: Creación del derecho a través de la interpretación de la ley. Participante de la función legislativa </w:t>
      </w:r>
      <w:r w:rsidRPr="00E10347">
        <w:rPr>
          <w:rFonts w:ascii="Palatino Linotype" w:hAnsi="Palatino Linotype"/>
          <w:i/>
          <w:iCs/>
          <w:sz w:val="21"/>
          <w:szCs w:val="21"/>
        </w:rPr>
        <w:t>latu sensu</w:t>
      </w:r>
      <w:r w:rsidRPr="00E10347">
        <w:rPr>
          <w:rFonts w:ascii="Palatino Linotype" w:hAnsi="Palatino Linotype"/>
          <w:sz w:val="21"/>
          <w:szCs w:val="21"/>
        </w:rPr>
        <w:t xml:space="preserve">. Además ejercen la función de suplencia para llenar los vacíos de la legislación vigente o contradicciones entre la jurisprudencia, la ley y/o principios generales. • </w:t>
      </w:r>
      <w:r w:rsidRPr="00E10347">
        <w:rPr>
          <w:rFonts w:ascii="Palatino Linotype" w:hAnsi="Palatino Linotype"/>
          <w:i/>
          <w:iCs/>
          <w:sz w:val="21"/>
          <w:szCs w:val="21"/>
        </w:rPr>
        <w:t>Juez contra legem</w:t>
      </w:r>
      <w:r w:rsidRPr="00E10347">
        <w:rPr>
          <w:rFonts w:ascii="Palatino Linotype" w:hAnsi="Palatino Linotype"/>
          <w:sz w:val="21"/>
          <w:szCs w:val="21"/>
        </w:rPr>
        <w:t xml:space="preserve">: El juez no puede so pretexto de interpretar la ley el establecer </w:t>
      </w:r>
      <w:r w:rsidRPr="00E10347">
        <w:rPr>
          <w:rFonts w:ascii="Palatino Linotype" w:hAnsi="Palatino Linotype"/>
          <w:i/>
          <w:iCs/>
          <w:sz w:val="21"/>
          <w:szCs w:val="21"/>
        </w:rPr>
        <w:t xml:space="preserve">ex novo </w:t>
      </w:r>
      <w:r w:rsidRPr="00E10347">
        <w:rPr>
          <w:rFonts w:ascii="Palatino Linotype" w:hAnsi="Palatino Linotype"/>
          <w:sz w:val="21"/>
          <w:szCs w:val="21"/>
        </w:rPr>
        <w:t xml:space="preserve">reglas </w:t>
      </w:r>
      <w:r w:rsidRPr="00E10347">
        <w:rPr>
          <w:rFonts w:ascii="Palatino Linotype" w:hAnsi="Palatino Linotype"/>
          <w:i/>
          <w:iCs/>
          <w:sz w:val="21"/>
          <w:szCs w:val="21"/>
        </w:rPr>
        <w:t>contra legem</w:t>
      </w:r>
      <w:r w:rsidRPr="00E10347">
        <w:rPr>
          <w:rFonts w:ascii="Palatino Linotype" w:hAnsi="Palatino Linotype"/>
          <w:sz w:val="21"/>
          <w:szCs w:val="21"/>
        </w:rPr>
        <w:t xml:space="preserve">, el marco de su inteligibilidad aparece acotado por la propia ley. • </w:t>
      </w:r>
      <w:r w:rsidRPr="00E10347">
        <w:rPr>
          <w:rFonts w:ascii="Palatino Linotype" w:hAnsi="Palatino Linotype"/>
          <w:i/>
          <w:iCs/>
          <w:sz w:val="21"/>
          <w:szCs w:val="21"/>
        </w:rPr>
        <w:t>Juez como amigable componedor</w:t>
      </w:r>
      <w:r w:rsidRPr="00E10347">
        <w:rPr>
          <w:rFonts w:ascii="Palatino Linotype" w:hAnsi="Palatino Linotype"/>
          <w:sz w:val="21"/>
          <w:szCs w:val="21"/>
        </w:rPr>
        <w:t xml:space="preserve">: Verdaderos medios alternativos o sustitutos de la jurisdicción estatal, revalorados y transformados en medios de satisfacción a cierto tipo de controversias que persiguen una decisión basada en la equidad y la no contradicción. • </w:t>
      </w:r>
      <w:r w:rsidRPr="00E10347">
        <w:rPr>
          <w:rFonts w:ascii="Palatino Linotype" w:hAnsi="Palatino Linotype"/>
          <w:i/>
          <w:iCs/>
          <w:sz w:val="21"/>
          <w:szCs w:val="21"/>
        </w:rPr>
        <w:t>Juez como colaborador de las partes</w:t>
      </w:r>
      <w:r w:rsidRPr="00E10347">
        <w:rPr>
          <w:rFonts w:ascii="Palatino Linotype" w:hAnsi="Palatino Linotype"/>
          <w:sz w:val="21"/>
          <w:szCs w:val="21"/>
        </w:rPr>
        <w:t xml:space="preserve">: </w:t>
      </w:r>
      <w:r w:rsidRPr="00E10347">
        <w:rPr>
          <w:rFonts w:ascii="Palatino Linotype" w:hAnsi="Palatino Linotype"/>
          <w:sz w:val="21"/>
          <w:szCs w:val="21"/>
        </w:rPr>
        <w:lastRenderedPageBreak/>
        <w:t xml:space="preserve">Misión de apoyo y colaboración judicial para con las partes, a través de la información y el auxilio técnico por órganos de la propia oficina judicial, brindadas con el fin de auxiliar la desigualdad de los contrincantes. En Argentina este modelo tiene escasas posibilidades de aplicación, por la influencia predominante del tradicional principio de neutralidad del juez, confundido habitualmente con el de imparcialidad." </w:t>
      </w:r>
      <w:r w:rsidRPr="00E10347">
        <w:rPr>
          <w:rStyle w:val="Refdenotaalpie"/>
          <w:rFonts w:ascii="Palatino Linotype" w:hAnsi="Palatino Linotype"/>
          <w:sz w:val="21"/>
          <w:szCs w:val="21"/>
        </w:rPr>
        <w:footnoteReference w:id="28"/>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 xml:space="preserve">El máximo exponente del Derecho Agrario a nivel mundial, el Doctor Ricardo Zeledón Zeledón, ha hecho fundadas críticas al inquisitivismo con la que se ha aplicado la legislación procesal agraria, sosteniendo categóricamente que </w:t>
      </w:r>
      <w:r w:rsidRPr="00E10347">
        <w:rPr>
          <w:rFonts w:ascii="Palatino Linotype" w:hAnsi="Palatino Linotype"/>
          <w:i/>
          <w:iCs/>
          <w:sz w:val="21"/>
          <w:szCs w:val="21"/>
        </w:rPr>
        <w:t>“el principio inquisitivo no puede existir en el mundo constitucional moderno.  Es uno de los argumentos, vigentes como principio para algunos desconocedores del derecho procesal moderno, e incluso vivencialmente existente como un mal endémico del sistema judicial. El nombre, y su existencia misma, (aparte de denotar un principio nacido con la Inquisición para obtener la verdad de la Iglesia con la tortura, a través de confesiones capaces de reiterar las acusaciones oficiales pues los confesantes preferían la muerte al interminable dolor del suplicio), es un viejo resabio de la literatura procesal antigua.  Si bien se difundió por el uso técnico de Calamandrei  hace unos 80 años, él mismo lo hubiera cambiado en los tiempos actuales, como lo hicimos todos cuando lo percibimos superado por el surgimiento de juristas ideólogos de nuevas dictaduras que lo empuñaban, y como negación jurídica a esas dictaduras y esas corrientes doctrinarias combatidas ideológicamente a través a de los nuevos conceptos acrisolados al calor de los sistemas democráticos modernos.  En efecto, la doctrina procesal  se ha transformado con gran fortaleza con la aparición y desarrollo de interpretaciones constitucionales evolutivas, por el conocido fortalecimiento de los derechos y obligaciones de las partes en el proceso, como forma de hacer real y no meramente teórica la armonía y la defensa de ellas en el sistema judicial, permitiendo la consolidación de principio “</w:t>
      </w:r>
      <w:r w:rsidRPr="00E10347">
        <w:rPr>
          <w:rFonts w:ascii="Palatino Linotype" w:hAnsi="Palatino Linotype"/>
          <w:b/>
          <w:bCs/>
          <w:i/>
          <w:iCs/>
          <w:sz w:val="21"/>
          <w:szCs w:val="21"/>
          <w:u w:val="single"/>
        </w:rPr>
        <w:t>judez secundum allegata et probata partium decidere debet</w:t>
      </w:r>
      <w:r w:rsidRPr="00E10347">
        <w:rPr>
          <w:rFonts w:ascii="Palatino Linotype" w:hAnsi="Palatino Linotype"/>
          <w:b/>
          <w:bCs/>
          <w:i/>
          <w:iCs/>
          <w:sz w:val="21"/>
          <w:szCs w:val="21"/>
        </w:rPr>
        <w:t>”</w:t>
      </w:r>
      <w:r w:rsidRPr="00E10347">
        <w:rPr>
          <w:rFonts w:ascii="Palatino Linotype" w:hAnsi="Palatino Linotype"/>
          <w:i/>
          <w:iCs/>
          <w:sz w:val="21"/>
          <w:szCs w:val="21"/>
        </w:rPr>
        <w:t xml:space="preserve"> y no con la deformación arbitraria de los sistemas totalitarios del “</w:t>
      </w:r>
      <w:r w:rsidRPr="00E10347">
        <w:rPr>
          <w:rFonts w:ascii="Palatino Linotype" w:hAnsi="Palatino Linotype"/>
          <w:b/>
          <w:bCs/>
          <w:i/>
          <w:iCs/>
          <w:sz w:val="21"/>
          <w:szCs w:val="21"/>
          <w:u w:val="single"/>
        </w:rPr>
        <w:t>judex secundum allegata partium decidere debet</w:t>
      </w:r>
      <w:r w:rsidRPr="00E10347">
        <w:rPr>
          <w:rFonts w:ascii="Palatino Linotype" w:hAnsi="Palatino Linotype"/>
          <w:b/>
          <w:bCs/>
          <w:i/>
          <w:iCs/>
          <w:sz w:val="21"/>
          <w:szCs w:val="21"/>
        </w:rPr>
        <w:t>”,</w:t>
      </w:r>
      <w:r w:rsidRPr="00E10347">
        <w:rPr>
          <w:rFonts w:ascii="Palatino Linotype" w:hAnsi="Palatino Linotype"/>
          <w:i/>
          <w:iCs/>
          <w:sz w:val="21"/>
          <w:szCs w:val="21"/>
        </w:rPr>
        <w:t xml:space="preserve"> donde las tiranías ubicaron al Juez en una posición protagónica de búsqueda de una verdad oficial, la cual denominaron verdad real, como heredera de las tesis nazis de la teoría de los intereses. Resulta altamente cuestionable el criterio inquisitivo, a espaldas del ordenamiento y la cultura jurídica, cuando se trata de justificar que literalmente en las normas procesales se sostiene que la sentencia debe comprender todos los puntos debatidos, y por tal entiende todo lo alegado o todos los puntos sobre los cuales el juzgador </w:t>
      </w:r>
      <w:r w:rsidRPr="00E10347">
        <w:rPr>
          <w:rFonts w:ascii="Palatino Linotype" w:hAnsi="Palatino Linotype"/>
          <w:i/>
          <w:iCs/>
          <w:sz w:val="21"/>
          <w:szCs w:val="21"/>
        </w:rPr>
        <w:lastRenderedPageBreak/>
        <w:t xml:space="preserve">permitió a las partes incursionar en el contradictorio probatorio.  Ese es un criterio ideológico y no jurídico.  Porque lo debatido es el </w:t>
      </w:r>
      <w:r w:rsidRPr="00E10347">
        <w:rPr>
          <w:rFonts w:ascii="Palatino Linotype" w:hAnsi="Palatino Linotype"/>
          <w:b/>
          <w:bCs/>
          <w:i/>
          <w:iCs/>
          <w:sz w:val="21"/>
          <w:szCs w:val="21"/>
          <w:u w:val="single"/>
        </w:rPr>
        <w:t>petitium</w:t>
      </w:r>
      <w:r w:rsidRPr="00E10347">
        <w:rPr>
          <w:rFonts w:ascii="Palatino Linotype" w:hAnsi="Palatino Linotype"/>
          <w:i/>
          <w:iCs/>
          <w:sz w:val="21"/>
          <w:szCs w:val="21"/>
        </w:rPr>
        <w:t>, se encuentra entre lo pedido por el actor en la pretensión y lo combatido por el demandado en las excepciones.  Es la misma concepción arbitraria mencionada de los regímenes totalitarios, en versión exegética y procedimentalista.”</w:t>
      </w:r>
      <w:r w:rsidRPr="00E10347">
        <w:rPr>
          <w:rStyle w:val="Refdenotaalpie"/>
          <w:rFonts w:ascii="Palatino Linotype" w:hAnsi="Palatino Linotype"/>
          <w:i/>
          <w:iCs/>
          <w:sz w:val="21"/>
          <w:szCs w:val="21"/>
        </w:rPr>
        <w:footnoteReference w:id="29"/>
      </w:r>
    </w:p>
    <w:p w:rsidR="009A5379" w:rsidRDefault="009A5379" w:rsidP="00E10347">
      <w:pPr>
        <w:pStyle w:val="Ttulo2"/>
        <w:spacing w:before="0"/>
        <w:jc w:val="both"/>
        <w:rPr>
          <w:rFonts w:ascii="Palatino Linotype" w:hAnsi="Palatino Linotype" w:cs="Arial"/>
          <w:color w:val="auto"/>
          <w:sz w:val="21"/>
          <w:szCs w:val="21"/>
        </w:rPr>
      </w:pPr>
      <w:bookmarkStart w:id="10" w:name="_Toc267603609"/>
    </w:p>
    <w:p w:rsidR="002014CA" w:rsidRPr="00E10347" w:rsidRDefault="002014CA" w:rsidP="00E10347">
      <w:pPr>
        <w:pStyle w:val="Ttulo2"/>
        <w:spacing w:before="0"/>
        <w:jc w:val="both"/>
        <w:rPr>
          <w:rFonts w:ascii="Palatino Linotype" w:hAnsi="Palatino Linotype" w:cs="Arial"/>
          <w:color w:val="auto"/>
          <w:sz w:val="21"/>
          <w:szCs w:val="21"/>
        </w:rPr>
      </w:pPr>
      <w:r w:rsidRPr="00E10347">
        <w:rPr>
          <w:rFonts w:ascii="Palatino Linotype" w:hAnsi="Palatino Linotype" w:cs="Arial"/>
          <w:color w:val="auto"/>
          <w:sz w:val="21"/>
          <w:szCs w:val="21"/>
        </w:rPr>
        <w:t>3.-  El Sistema Acusatorio o Dispositivo</w:t>
      </w:r>
      <w:bookmarkEnd w:id="10"/>
    </w:p>
    <w:p w:rsidR="002014CA" w:rsidRPr="00E10347" w:rsidRDefault="003F3E60" w:rsidP="00E10347">
      <w:pPr>
        <w:pStyle w:val="Ttulo3"/>
        <w:spacing w:before="0"/>
        <w:rPr>
          <w:rFonts w:ascii="Palatino Linotype" w:hAnsi="Palatino Linotype"/>
          <w:color w:val="auto"/>
          <w:sz w:val="21"/>
          <w:szCs w:val="21"/>
        </w:rPr>
      </w:pPr>
      <w:bookmarkStart w:id="11" w:name="_Toc267603610"/>
      <w:r w:rsidRPr="00E10347">
        <w:rPr>
          <w:rFonts w:ascii="Palatino Linotype" w:hAnsi="Palatino Linotype"/>
          <w:color w:val="auto"/>
          <w:sz w:val="21"/>
          <w:szCs w:val="21"/>
        </w:rPr>
        <w:t>a</w:t>
      </w:r>
      <w:r w:rsidR="002014CA" w:rsidRPr="00E10347">
        <w:rPr>
          <w:rFonts w:ascii="Palatino Linotype" w:hAnsi="Palatino Linotype"/>
          <w:color w:val="auto"/>
          <w:sz w:val="21"/>
          <w:szCs w:val="21"/>
        </w:rPr>
        <w:t>.-  Concepto</w:t>
      </w:r>
      <w:bookmarkEnd w:id="11"/>
    </w:p>
    <w:p w:rsidR="002014CA" w:rsidRPr="00E10347" w:rsidRDefault="002014CA" w:rsidP="00E10347">
      <w:pPr>
        <w:jc w:val="both"/>
        <w:rPr>
          <w:rFonts w:ascii="Palatino Linotype" w:hAnsi="Palatino Linotype"/>
          <w:sz w:val="21"/>
          <w:szCs w:val="21"/>
        </w:rPr>
      </w:pPr>
      <w:r w:rsidRPr="00E10347">
        <w:rPr>
          <w:rFonts w:ascii="Palatino Linotype" w:hAnsi="Palatino Linotype"/>
          <w:sz w:val="21"/>
          <w:szCs w:val="21"/>
        </w:rPr>
        <w:tab/>
        <w:t>Para Calvinho, siguiendo a Alvarado,</w:t>
      </w:r>
      <w:r w:rsidRPr="00E10347">
        <w:rPr>
          <w:rStyle w:val="Refdenotaalpie"/>
          <w:rFonts w:ascii="Palatino Linotype" w:hAnsi="Palatino Linotype"/>
          <w:sz w:val="21"/>
          <w:szCs w:val="21"/>
        </w:rPr>
        <w:footnoteReference w:id="30"/>
      </w:r>
      <w:r w:rsidRPr="00E10347">
        <w:rPr>
          <w:rFonts w:ascii="Palatino Linotype" w:hAnsi="Palatino Linotype"/>
          <w:sz w:val="21"/>
          <w:szCs w:val="21"/>
        </w:rPr>
        <w:t xml:space="preserve"> el sistema dispositivo en lo no penal y acusatorio en lo penal, “es un método bilateral en el cual dos sujetos naturalmente desiguales discuten pacíficamente en igualdad jurídica asegurada por un tercero imparcial que actúa al efecto en carácter de autoridad, dirigiendo y regulando el debate para, llegado al caso, sentencia la pretensión discutida”.</w:t>
      </w:r>
      <w:r w:rsidRPr="00E10347">
        <w:rPr>
          <w:rStyle w:val="Refdenotaalpie"/>
          <w:rFonts w:ascii="Palatino Linotype" w:hAnsi="Palatino Linotype"/>
          <w:sz w:val="21"/>
          <w:szCs w:val="21"/>
        </w:rPr>
        <w:footnoteReference w:id="31"/>
      </w:r>
      <w:r w:rsidRPr="00E10347">
        <w:rPr>
          <w:rFonts w:ascii="Palatino Linotype" w:hAnsi="Palatino Linotype"/>
          <w:sz w:val="21"/>
          <w:szCs w:val="21"/>
        </w:rPr>
        <w:t xml:space="preserve"> Según Borthwick, es aquel “en cuya virtud se confía a la actividad de las partes tanto el estímulo de la función judicial como la aportación de los materiales sobre los cuales ha de versar la decisión del juez”.</w:t>
      </w:r>
      <w:r w:rsidRPr="00E10347">
        <w:rPr>
          <w:rStyle w:val="Refdenotaalpie"/>
          <w:rFonts w:ascii="Palatino Linotype" w:hAnsi="Palatino Linotype"/>
          <w:sz w:val="21"/>
          <w:szCs w:val="21"/>
        </w:rPr>
        <w:footnoteReference w:id="32"/>
      </w:r>
      <w:r w:rsidRPr="00E10347">
        <w:rPr>
          <w:rFonts w:ascii="Palatino Linotype" w:hAnsi="Palatino Linotype"/>
          <w:sz w:val="21"/>
          <w:szCs w:val="21"/>
        </w:rPr>
        <w:t xml:space="preserve">  Añade, “se funda, por vía de negatividad, en la noción originaria y elemental de que los órganos del poder público no deben ir más allá de lo que anhelan los particulares en aquellas cuestiones donde solo procuran dilucidar –con pretensiones y resistencias- un interés propio y privado”.</w:t>
      </w:r>
      <w:r w:rsidRPr="00E10347">
        <w:rPr>
          <w:rStyle w:val="Refdenotaalpie"/>
          <w:rFonts w:ascii="Palatino Linotype" w:hAnsi="Palatino Linotype"/>
          <w:sz w:val="21"/>
          <w:szCs w:val="21"/>
        </w:rPr>
        <w:footnoteReference w:id="33"/>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El surgimiento y desarrollo del sistema procesal acusatorio se ha asociado a regímenes políticos de orientación democrática, donde la relación ciudadano – Estado acentúa el respeto a cierta esfera de libertades mínimas del individuo y donde la iniciativa y participación del pueblo adquieren un papel relevante en la discusión de los asuntos judiciales.</w:t>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Independientemente del criterio que tengamos de la debida función del Juez y las partes, no podemos desconocer que, histórica y filosóficamente, en el proceso civil predomina</w:t>
      </w:r>
      <w:r w:rsidRPr="00E10347">
        <w:rPr>
          <w:rFonts w:ascii="Palatino Linotype" w:hAnsi="Palatino Linotype"/>
          <w:sz w:val="21"/>
          <w:szCs w:val="21"/>
          <w:vertAlign w:val="superscript"/>
        </w:rPr>
        <w:footnoteReference w:id="34"/>
      </w:r>
      <w:r w:rsidRPr="00E10347">
        <w:rPr>
          <w:rFonts w:ascii="Palatino Linotype" w:hAnsi="Palatino Linotype"/>
          <w:sz w:val="21"/>
          <w:szCs w:val="21"/>
        </w:rPr>
        <w:t xml:space="preserve"> el sistema dispositivo, aunque la doctrina procesalista difiere de </w:t>
      </w:r>
      <w:r w:rsidRPr="00E10347">
        <w:rPr>
          <w:rFonts w:ascii="Palatino Linotype" w:hAnsi="Palatino Linotype"/>
          <w:sz w:val="21"/>
          <w:szCs w:val="21"/>
        </w:rPr>
        <w:lastRenderedPageBreak/>
        <w:t>los distintos matices en que este debe manifestarse en el proceso civil. Sin embargo, este sistema es antagónico y excluyente del inquisitivo.</w:t>
      </w:r>
      <w:r w:rsidRPr="00E10347">
        <w:rPr>
          <w:rFonts w:ascii="Palatino Linotype" w:hAnsi="Palatino Linotype"/>
          <w:sz w:val="21"/>
          <w:szCs w:val="21"/>
          <w:vertAlign w:val="superscript"/>
        </w:rPr>
        <w:footnoteReference w:id="35"/>
      </w:r>
    </w:p>
    <w:p w:rsidR="009A5379" w:rsidRDefault="009A5379" w:rsidP="00E10347">
      <w:pPr>
        <w:jc w:val="both"/>
        <w:rPr>
          <w:rFonts w:ascii="Palatino Linotype" w:hAnsi="Palatino Linotype"/>
          <w:b/>
          <w:bCs/>
          <w:sz w:val="21"/>
          <w:szCs w:val="21"/>
        </w:rPr>
      </w:pPr>
    </w:p>
    <w:p w:rsidR="002014CA" w:rsidRPr="00E10347" w:rsidRDefault="003F3E60" w:rsidP="00E10347">
      <w:pPr>
        <w:jc w:val="both"/>
        <w:rPr>
          <w:rFonts w:ascii="Palatino Linotype" w:hAnsi="Palatino Linotype"/>
          <w:b/>
          <w:bCs/>
          <w:sz w:val="21"/>
          <w:szCs w:val="21"/>
        </w:rPr>
      </w:pPr>
      <w:r w:rsidRPr="00E10347">
        <w:rPr>
          <w:rFonts w:ascii="Palatino Linotype" w:hAnsi="Palatino Linotype"/>
          <w:b/>
          <w:bCs/>
          <w:sz w:val="21"/>
          <w:szCs w:val="21"/>
        </w:rPr>
        <w:t>b</w:t>
      </w:r>
      <w:r w:rsidR="002014CA" w:rsidRPr="00E10347">
        <w:rPr>
          <w:rFonts w:ascii="Palatino Linotype" w:hAnsi="Palatino Linotype"/>
          <w:b/>
          <w:bCs/>
          <w:sz w:val="21"/>
          <w:szCs w:val="21"/>
        </w:rPr>
        <w:t>.- Premisas:</w:t>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Dentro de la dogmática</w:t>
      </w:r>
      <w:r w:rsidRPr="00E10347">
        <w:rPr>
          <w:rStyle w:val="Refdenotaalpie"/>
          <w:rFonts w:ascii="Palatino Linotype" w:hAnsi="Palatino Linotype"/>
          <w:sz w:val="21"/>
          <w:szCs w:val="21"/>
        </w:rPr>
        <w:footnoteReference w:id="36"/>
      </w:r>
      <w:r w:rsidRPr="00E10347">
        <w:rPr>
          <w:rFonts w:ascii="Palatino Linotype" w:hAnsi="Palatino Linotype"/>
          <w:sz w:val="21"/>
          <w:szCs w:val="21"/>
        </w:rPr>
        <w:t xml:space="preserve"> que rige este sistema, podemos establecer que sus premisas principales, en cuanto a la actividad procesal del juez, esquemáticamente son las siguientes: </w:t>
      </w:r>
    </w:p>
    <w:p w:rsidR="002014CA" w:rsidRPr="009A5379" w:rsidRDefault="002014CA" w:rsidP="00E10347">
      <w:pPr>
        <w:jc w:val="both"/>
        <w:rPr>
          <w:rFonts w:ascii="Palatino Linotype" w:hAnsi="Palatino Linotype"/>
          <w:i/>
          <w:sz w:val="21"/>
          <w:szCs w:val="21"/>
        </w:rPr>
      </w:pPr>
      <w:r w:rsidRPr="009A5379">
        <w:rPr>
          <w:rFonts w:ascii="Palatino Linotype" w:hAnsi="Palatino Linotype"/>
          <w:i/>
          <w:iCs/>
          <w:sz w:val="21"/>
          <w:szCs w:val="21"/>
        </w:rPr>
        <w:t xml:space="preserve">a) </w:t>
      </w:r>
      <w:r w:rsidRPr="009A5379">
        <w:rPr>
          <w:rFonts w:ascii="Palatino Linotype" w:hAnsi="Palatino Linotype"/>
          <w:i/>
          <w:sz w:val="21"/>
          <w:szCs w:val="21"/>
        </w:rPr>
        <w:t>el juez no puede iniciar de oficio el juicio; (principio de gestión de parte).</w:t>
      </w:r>
    </w:p>
    <w:p w:rsidR="002014CA" w:rsidRPr="009A5379" w:rsidRDefault="002014CA" w:rsidP="00E10347">
      <w:pPr>
        <w:jc w:val="both"/>
        <w:rPr>
          <w:rFonts w:ascii="Palatino Linotype" w:hAnsi="Palatino Linotype"/>
          <w:i/>
          <w:sz w:val="21"/>
          <w:szCs w:val="21"/>
        </w:rPr>
      </w:pPr>
      <w:r w:rsidRPr="009A5379">
        <w:rPr>
          <w:rFonts w:ascii="Palatino Linotype" w:hAnsi="Palatino Linotype"/>
          <w:i/>
          <w:iCs/>
          <w:sz w:val="21"/>
          <w:szCs w:val="21"/>
        </w:rPr>
        <w:t xml:space="preserve">b) </w:t>
      </w:r>
      <w:r w:rsidRPr="009A5379">
        <w:rPr>
          <w:rFonts w:ascii="Palatino Linotype" w:hAnsi="Palatino Linotype"/>
          <w:i/>
          <w:sz w:val="21"/>
          <w:szCs w:val="21"/>
        </w:rPr>
        <w:t>no corresponde a juez instar y por ende, no impulsa el proceso,</w:t>
      </w:r>
    </w:p>
    <w:p w:rsidR="002014CA" w:rsidRPr="009A5379" w:rsidRDefault="002014CA" w:rsidP="00E10347">
      <w:pPr>
        <w:jc w:val="both"/>
        <w:rPr>
          <w:rFonts w:ascii="Palatino Linotype" w:hAnsi="Palatino Linotype"/>
          <w:i/>
          <w:sz w:val="21"/>
          <w:szCs w:val="21"/>
        </w:rPr>
      </w:pPr>
      <w:r w:rsidRPr="009A5379">
        <w:rPr>
          <w:rFonts w:ascii="Palatino Linotype" w:hAnsi="Palatino Linotype"/>
          <w:i/>
          <w:iCs/>
          <w:sz w:val="21"/>
          <w:szCs w:val="21"/>
        </w:rPr>
        <w:t>c)</w:t>
      </w:r>
      <w:r w:rsidRPr="009A5379">
        <w:rPr>
          <w:rFonts w:ascii="Palatino Linotype" w:hAnsi="Palatino Linotype"/>
          <w:i/>
          <w:sz w:val="21"/>
          <w:szCs w:val="21"/>
        </w:rPr>
        <w:t xml:space="preserve"> no puede tener en cuenta hechos ni medios de prueba que no han sido aportados por las partes; (niega la iniciativa probatoria del Juez bajo el aforismo </w:t>
      </w:r>
      <w:r w:rsidRPr="009A5379">
        <w:rPr>
          <w:rFonts w:ascii="Palatino Linotype" w:hAnsi="Palatino Linotype"/>
          <w:i/>
          <w:iCs/>
          <w:sz w:val="21"/>
          <w:szCs w:val="21"/>
        </w:rPr>
        <w:t>secundum partium allegata et probat iudex decidere debet</w:t>
      </w:r>
      <w:r w:rsidRPr="009A5379">
        <w:rPr>
          <w:rFonts w:ascii="Palatino Linotype" w:hAnsi="Palatino Linotype"/>
          <w:i/>
          <w:sz w:val="21"/>
          <w:szCs w:val="21"/>
        </w:rPr>
        <w:t>).</w:t>
      </w:r>
    </w:p>
    <w:p w:rsidR="002014CA" w:rsidRPr="009A5379" w:rsidRDefault="009A5379" w:rsidP="00E10347">
      <w:pPr>
        <w:jc w:val="both"/>
        <w:rPr>
          <w:rFonts w:ascii="Palatino Linotype" w:hAnsi="Palatino Linotype"/>
          <w:i/>
          <w:sz w:val="21"/>
          <w:szCs w:val="21"/>
        </w:rPr>
      </w:pPr>
      <w:r w:rsidRPr="009A5379">
        <w:rPr>
          <w:rFonts w:ascii="Palatino Linotype" w:hAnsi="Palatino Linotype"/>
          <w:i/>
          <w:sz w:val="21"/>
          <w:szCs w:val="21"/>
        </w:rPr>
        <w:t>d</w:t>
      </w:r>
      <w:r w:rsidR="002014CA" w:rsidRPr="009A5379">
        <w:rPr>
          <w:rFonts w:ascii="Palatino Linotype" w:hAnsi="Palatino Linotype"/>
          <w:i/>
          <w:sz w:val="21"/>
          <w:szCs w:val="21"/>
        </w:rPr>
        <w:t>) debe tener por ciertos los hechos en que aquéllas estuviesen de acuerdo; (hechos no controvertidos)</w:t>
      </w:r>
    </w:p>
    <w:p w:rsidR="002014CA" w:rsidRPr="009A5379" w:rsidRDefault="009A5379" w:rsidP="00E10347">
      <w:pPr>
        <w:jc w:val="both"/>
        <w:rPr>
          <w:rFonts w:ascii="Palatino Linotype" w:hAnsi="Palatino Linotype"/>
          <w:i/>
          <w:sz w:val="21"/>
          <w:szCs w:val="21"/>
        </w:rPr>
      </w:pPr>
      <w:r w:rsidRPr="009A5379">
        <w:rPr>
          <w:rFonts w:ascii="Palatino Linotype" w:hAnsi="Palatino Linotype"/>
          <w:i/>
          <w:iCs/>
          <w:sz w:val="21"/>
          <w:szCs w:val="21"/>
        </w:rPr>
        <w:t>e</w:t>
      </w:r>
      <w:r w:rsidR="002014CA" w:rsidRPr="009A5379">
        <w:rPr>
          <w:rFonts w:ascii="Palatino Linotype" w:hAnsi="Palatino Linotype"/>
          <w:i/>
          <w:iCs/>
          <w:sz w:val="21"/>
          <w:szCs w:val="21"/>
        </w:rPr>
        <w:t xml:space="preserve">) </w:t>
      </w:r>
      <w:r w:rsidR="002014CA" w:rsidRPr="009A5379">
        <w:rPr>
          <w:rFonts w:ascii="Palatino Linotype" w:hAnsi="Palatino Linotype"/>
          <w:i/>
          <w:sz w:val="21"/>
          <w:szCs w:val="21"/>
        </w:rPr>
        <w:t>la sentencia debe ser conforme a lo alegado y probado, y (congruencia)</w:t>
      </w:r>
    </w:p>
    <w:p w:rsidR="002014CA" w:rsidRPr="009A5379" w:rsidRDefault="009A5379" w:rsidP="00E10347">
      <w:pPr>
        <w:jc w:val="both"/>
        <w:rPr>
          <w:rFonts w:ascii="Palatino Linotype" w:hAnsi="Palatino Linotype"/>
          <w:i/>
          <w:sz w:val="21"/>
          <w:szCs w:val="21"/>
        </w:rPr>
      </w:pPr>
      <w:r w:rsidRPr="009A5379">
        <w:rPr>
          <w:rFonts w:ascii="Palatino Linotype" w:hAnsi="Palatino Linotype"/>
          <w:i/>
          <w:sz w:val="21"/>
          <w:szCs w:val="21"/>
        </w:rPr>
        <w:t>f</w:t>
      </w:r>
      <w:r w:rsidR="002014CA" w:rsidRPr="009A5379">
        <w:rPr>
          <w:rFonts w:ascii="Palatino Linotype" w:hAnsi="Palatino Linotype"/>
          <w:i/>
          <w:sz w:val="21"/>
          <w:szCs w:val="21"/>
        </w:rPr>
        <w:t>) el juez no puede con</w:t>
      </w:r>
      <w:r w:rsidR="002014CA" w:rsidRPr="009A5379">
        <w:rPr>
          <w:rFonts w:ascii="Palatino Linotype" w:hAnsi="Palatino Linotype"/>
          <w:i/>
          <w:sz w:val="21"/>
          <w:szCs w:val="21"/>
        </w:rPr>
        <w:softHyphen/>
        <w:t>denar a más, ni a otra cosa que la pedida en la demanda (vicio de fallo extrapetita y ultrapetita).</w:t>
      </w:r>
    </w:p>
    <w:p w:rsidR="002014CA" w:rsidRPr="00E10347" w:rsidRDefault="002014CA" w:rsidP="00E10347">
      <w:pPr>
        <w:ind w:left="37" w:right="55" w:firstLine="302"/>
        <w:jc w:val="both"/>
        <w:rPr>
          <w:rFonts w:ascii="Palatino Linotype" w:hAnsi="Palatino Linotype"/>
          <w:sz w:val="21"/>
          <w:szCs w:val="21"/>
        </w:rPr>
      </w:pPr>
      <w:r w:rsidRPr="00E10347">
        <w:rPr>
          <w:rFonts w:ascii="Palatino Linotype" w:hAnsi="Palatino Linotype"/>
          <w:sz w:val="21"/>
          <w:szCs w:val="21"/>
        </w:rPr>
        <w:lastRenderedPageBreak/>
        <w:tab/>
        <w:t>Además de estas premisas</w:t>
      </w:r>
      <w:r w:rsidRPr="00E10347">
        <w:rPr>
          <w:rFonts w:ascii="Palatino Linotype" w:hAnsi="Palatino Linotype"/>
          <w:sz w:val="21"/>
          <w:szCs w:val="21"/>
          <w:vertAlign w:val="superscript"/>
        </w:rPr>
        <w:footnoteReference w:id="37"/>
      </w:r>
      <w:r w:rsidRPr="00E10347">
        <w:rPr>
          <w:rFonts w:ascii="Palatino Linotype" w:hAnsi="Palatino Linotype"/>
          <w:sz w:val="21"/>
          <w:szCs w:val="21"/>
        </w:rPr>
        <w:t xml:space="preserve">, debemos resaltar que en un proceso dispositivo el Juez aplica las reglas de la carga de la prueba no </w:t>
      </w:r>
      <w:r w:rsidR="002A76CC">
        <w:rPr>
          <w:rFonts w:ascii="Palatino Linotype" w:hAnsi="Palatino Linotype"/>
          <w:sz w:val="21"/>
          <w:szCs w:val="21"/>
        </w:rPr>
        <w:t xml:space="preserve">solo </w:t>
      </w:r>
      <w:r w:rsidRPr="00E10347">
        <w:rPr>
          <w:rFonts w:ascii="Palatino Linotype" w:hAnsi="Palatino Linotype"/>
          <w:sz w:val="21"/>
          <w:szCs w:val="21"/>
        </w:rPr>
        <w:t>en la fase de apreciación de la prueba, sino también en sus etapas antecedentes, es decir, que, basado en la premisa de que el Juez no puede pedir prueba bajo ningún supuesto, la parte que, ya sea por deficiente asistencia legal o por desconocimiento de la existencia de esa prueba, no la presenta en tiempo y forma, la consecuencia negativa a sus intereses empezará a manifestarse desde el inicio del proceso, pues no podrán, ni ella ni el Juez, incorporarla recluida la fase de ofrecimiento de pruebas, y por ende, su pretensión no tendrá éxito. Por ello, “un Juez no puede (más allá que no debe) convertirse en un superhombre jurídico (que investiga, prueba y además falla la causa que le toca resolver).”</w:t>
      </w:r>
      <w:r w:rsidRPr="00E10347">
        <w:rPr>
          <w:rStyle w:val="Refdenotaalpie"/>
          <w:rFonts w:ascii="Palatino Linotype" w:hAnsi="Palatino Linotype"/>
          <w:sz w:val="21"/>
          <w:szCs w:val="21"/>
        </w:rPr>
        <w:footnoteReference w:id="38"/>
      </w:r>
    </w:p>
    <w:p w:rsidR="009A5379" w:rsidRDefault="009A5379" w:rsidP="00E10347">
      <w:pPr>
        <w:pStyle w:val="Ttulo3"/>
        <w:spacing w:before="0"/>
        <w:jc w:val="both"/>
        <w:rPr>
          <w:rFonts w:ascii="Palatino Linotype" w:hAnsi="Palatino Linotype"/>
          <w:color w:val="auto"/>
          <w:sz w:val="21"/>
          <w:szCs w:val="21"/>
        </w:rPr>
      </w:pPr>
      <w:bookmarkStart w:id="12" w:name="_Toc267603611"/>
    </w:p>
    <w:p w:rsidR="002014CA" w:rsidRPr="00E10347" w:rsidRDefault="003F3E60" w:rsidP="00E10347">
      <w:pPr>
        <w:pStyle w:val="Ttulo3"/>
        <w:spacing w:before="0"/>
        <w:jc w:val="both"/>
        <w:rPr>
          <w:rFonts w:ascii="Palatino Linotype" w:hAnsi="Palatino Linotype"/>
          <w:color w:val="auto"/>
          <w:sz w:val="21"/>
          <w:szCs w:val="21"/>
        </w:rPr>
      </w:pPr>
      <w:r w:rsidRPr="00E10347">
        <w:rPr>
          <w:rFonts w:ascii="Palatino Linotype" w:hAnsi="Palatino Linotype"/>
          <w:color w:val="auto"/>
          <w:sz w:val="21"/>
          <w:szCs w:val="21"/>
        </w:rPr>
        <w:t>c</w:t>
      </w:r>
      <w:r w:rsidR="002014CA" w:rsidRPr="00E10347">
        <w:rPr>
          <w:rFonts w:ascii="Palatino Linotype" w:hAnsi="Palatino Linotype"/>
          <w:color w:val="auto"/>
          <w:sz w:val="21"/>
          <w:szCs w:val="21"/>
        </w:rPr>
        <w:t>.- Breve reseña histórica</w:t>
      </w:r>
      <w:bookmarkEnd w:id="12"/>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Partimos del año de 1215, con la emisión de la Carta Magna de Inglaterra, donde aparece por vez primera la idea del DEBIDO PROCESO.</w:t>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 xml:space="preserve">Desde el año de 1184, Inglaterra, y las islas de Gran Bretaña son gobernadas por una casa Francesa, Normanda, los hombres del norte y la Casa reinante, es la Casa Plantajene, que es dirigida por Ricardo Plantajene, quien es conocido como Ricardo Corazón de León, que se dedica a hacer cruzadas, y uno de sus recurrentes viajes a Tierra Santa deja a cargo del reino a su hermano menor, Juan Plantejene, conocido como Juan Sin Tierra. </w:t>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 xml:space="preserve">Debido a  sus claros impulsos impositivos, Juan Sin Tierra  vive la rebelión de sus súbditos, los hombres sajones, que eran los normandos del lugar. Éstos lo </w:t>
      </w:r>
      <w:r w:rsidRPr="00E10347">
        <w:rPr>
          <w:rFonts w:ascii="Palatino Linotype" w:hAnsi="Palatino Linotype"/>
          <w:sz w:val="21"/>
          <w:szCs w:val="21"/>
        </w:rPr>
        <w:lastRenderedPageBreak/>
        <w:t xml:space="preserve">enfrentan y de este levantamiento surge la frase dicha por sus súbditos: </w:t>
      </w:r>
      <w:r w:rsidRPr="00E10347">
        <w:rPr>
          <w:rFonts w:ascii="Palatino Linotype" w:hAnsi="Palatino Linotype"/>
          <w:i/>
          <w:iCs/>
          <w:sz w:val="21"/>
          <w:szCs w:val="21"/>
        </w:rPr>
        <w:t>“Majestad, cada uno de nosotros individualmente valemos igual que usted, pero todos juntos valemos más que usted”.</w:t>
      </w:r>
      <w:r w:rsidRPr="00E10347">
        <w:rPr>
          <w:rFonts w:ascii="Palatino Linotype" w:hAnsi="Palatino Linotype"/>
          <w:sz w:val="21"/>
          <w:szCs w:val="21"/>
        </w:rPr>
        <w:t xml:space="preserve"> </w:t>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Frente a este planteamiento, Juan Sin Tierra emite la Carta Magna de 1215, que no es una primera Constitución, sino un pacto de convivencia entre el Rey y sus varones Debe recordarse que en el Medioevo, los que ejercen el poder son los dueños de la tierra, y en esa Carta de Convivencia, el rey les promete un Debido Proceso Conforme a la Ley de la Tierra. De esta Carta se deducen tres cosas importantes:</w:t>
      </w:r>
    </w:p>
    <w:p w:rsidR="002014CA" w:rsidRPr="00E10347" w:rsidRDefault="002014CA" w:rsidP="00E83320">
      <w:pPr>
        <w:pStyle w:val="Prrafodelista"/>
        <w:widowControl/>
        <w:numPr>
          <w:ilvl w:val="0"/>
          <w:numId w:val="20"/>
        </w:numPr>
        <w:autoSpaceDE/>
        <w:autoSpaceDN/>
        <w:adjustRightInd/>
        <w:ind w:hanging="360"/>
        <w:contextualSpacing w:val="0"/>
        <w:jc w:val="both"/>
        <w:rPr>
          <w:rFonts w:ascii="Palatino Linotype" w:hAnsi="Palatino Linotype"/>
          <w:sz w:val="21"/>
          <w:szCs w:val="21"/>
        </w:rPr>
      </w:pPr>
      <w:r w:rsidRPr="00E10347">
        <w:rPr>
          <w:rFonts w:ascii="Palatino Linotype" w:hAnsi="Palatino Linotype"/>
          <w:sz w:val="21"/>
          <w:szCs w:val="21"/>
        </w:rPr>
        <w:t>Se inicia por acusación y no por denuncia anónima, como en el sistema inquisitorial.</w:t>
      </w:r>
    </w:p>
    <w:p w:rsidR="002014CA" w:rsidRPr="00E10347" w:rsidRDefault="002014CA" w:rsidP="00E83320">
      <w:pPr>
        <w:pStyle w:val="Prrafodelista"/>
        <w:widowControl/>
        <w:numPr>
          <w:ilvl w:val="0"/>
          <w:numId w:val="20"/>
        </w:numPr>
        <w:autoSpaceDE/>
        <w:autoSpaceDN/>
        <w:adjustRightInd/>
        <w:ind w:hanging="360"/>
        <w:contextualSpacing w:val="0"/>
        <w:jc w:val="both"/>
        <w:rPr>
          <w:rFonts w:ascii="Palatino Linotype" w:hAnsi="Palatino Linotype"/>
          <w:sz w:val="21"/>
          <w:szCs w:val="21"/>
        </w:rPr>
      </w:pPr>
      <w:r w:rsidRPr="00E10347">
        <w:rPr>
          <w:rFonts w:ascii="Palatino Linotype" w:hAnsi="Palatino Linotype"/>
          <w:sz w:val="21"/>
          <w:szCs w:val="21"/>
        </w:rPr>
        <w:t>Se va a fallar, no con caracteres no legales, sino aplicando una ley para el caso concreto.</w:t>
      </w:r>
    </w:p>
    <w:p w:rsidR="002014CA" w:rsidRPr="00E10347" w:rsidRDefault="002014CA" w:rsidP="00E83320">
      <w:pPr>
        <w:pStyle w:val="Prrafodelista"/>
        <w:widowControl/>
        <w:numPr>
          <w:ilvl w:val="0"/>
          <w:numId w:val="20"/>
        </w:numPr>
        <w:autoSpaceDE/>
        <w:autoSpaceDN/>
        <w:adjustRightInd/>
        <w:ind w:hanging="360"/>
        <w:contextualSpacing w:val="0"/>
        <w:jc w:val="both"/>
        <w:rPr>
          <w:rFonts w:ascii="Palatino Linotype" w:hAnsi="Palatino Linotype"/>
          <w:sz w:val="21"/>
          <w:szCs w:val="21"/>
        </w:rPr>
      </w:pPr>
      <w:r w:rsidRPr="00E10347">
        <w:rPr>
          <w:rFonts w:ascii="Palatino Linotype" w:hAnsi="Palatino Linotype"/>
          <w:sz w:val="21"/>
          <w:szCs w:val="21"/>
        </w:rPr>
        <w:t>El juzgamiento lo van a hacer pares.</w:t>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 xml:space="preserve">Inglaterra nunca conoció el sistema de enjuiciamiento inquisitorial, siempre se manejó con el sistema acusatorio que provenía de la Carta Magna de 1215. </w:t>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 xml:space="preserve">La idea del debido proceso, es tomada por la Revolución Francesa, la cual pone de manifiesto las ideas de igualdad y fraternidad, que están simbolizadas en los colores de libertad de azul, blanco y rojo,  colores que adopta la gran  mayoría de países en el mundo que han adoptado la libertad en sus Estados, y esto pasa a la Constitución de los Estados Unidos de 1787, no por medio del poder constituyente originario, sino a través de una reforma, conocida como La Quinta Enmienda, que regula sobre el debido proceso judicial. </w:t>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En ella se consagra que una persona no podrá ser sometida dos veces por el mismo delito, ni tampoco podrá obligársele a testificar contra sí mismo en una causa penal, ni se le privará de la vida, la libertad o la propiedad, sin el debido proceso judicial. Esta quinta enmienda forma un sintagma que entra a ser contenido con distintas denominaciones en el resto de las Constituciones de América Latina.</w:t>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 xml:space="preserve">Esta quinta enmienda es repetida en  su contexto en la decimocuarta enmienda, (ahora como restricción, del poder de los Estados Confederados) donde se consagra que ningún Estado podrá tampoco privar a persona alguna de la vida, la libertad, y la propiedad sin el debido procedimiento jurídico. </w:t>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 xml:space="preserve">Lo que realmente se  pretendía lograr, como una de las causas de la Revolución Francesa, era eliminar el excesivo accionar de los jueces del antiguo régimen real.  Todo este método, que se origina en Inglaterra a raíz de la Carta </w:t>
      </w:r>
      <w:r w:rsidRPr="00E10347">
        <w:rPr>
          <w:rFonts w:ascii="Palatino Linotype" w:hAnsi="Palatino Linotype"/>
          <w:sz w:val="21"/>
          <w:szCs w:val="21"/>
        </w:rPr>
        <w:lastRenderedPageBreak/>
        <w:t xml:space="preserve">Magna, genera un método de enjuiciamiento que se hace públicamente, con jurados y bajo las ideas de oralidad, inmediación, y  concentración  y donde obviamente el juez es una persona distinta al a la persona del acusador. </w:t>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Este sistema llamado también acusatorio, no procura la confesión, al punto que prohíbe la absolución de posiciones provocadas.</w:t>
      </w:r>
      <w:r w:rsidRPr="00E10347">
        <w:rPr>
          <w:rStyle w:val="Refdenotaalpie"/>
          <w:rFonts w:ascii="Palatino Linotype" w:hAnsi="Palatino Linotype"/>
          <w:sz w:val="21"/>
          <w:szCs w:val="21"/>
        </w:rPr>
        <w:footnoteReference w:id="39"/>
      </w:r>
      <w:r w:rsidRPr="00E10347">
        <w:rPr>
          <w:rFonts w:ascii="Palatino Linotype" w:hAnsi="Palatino Linotype"/>
          <w:sz w:val="21"/>
          <w:szCs w:val="21"/>
        </w:rPr>
        <w:t xml:space="preserve"> Nace de todo este proceso, la oralidad, la inmediación, concentración, la  Doble Instancia, y la idea de una Defensa inviolable, la necesidad de un juicio previo a la sentencia, y que esa sentencia sea fundada en una ley anterior al hecho del proceso, y se prohíbe la tortura. </w:t>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Todos los gobiernos autoritarios que han existido en América Latina, han derogado la Constitución Nacional o la han sujetado a Estatutos revolucionarios, pero adviértase bien que todos dejaron vigentes los códigos de procedimientos civiles y penales. Este desfase entre la ley y la constitución fue advertido por el procesalismo, que ha hecho un giro del método inquisitivo hacia el método acusatorio puro.</w:t>
      </w:r>
    </w:p>
    <w:p w:rsidR="00A05EF6" w:rsidRDefault="00A05EF6" w:rsidP="00E10347">
      <w:pPr>
        <w:pStyle w:val="Ttulo3"/>
        <w:spacing w:before="0"/>
        <w:rPr>
          <w:rFonts w:ascii="Palatino Linotype" w:hAnsi="Palatino Linotype"/>
          <w:color w:val="auto"/>
          <w:sz w:val="21"/>
          <w:szCs w:val="21"/>
        </w:rPr>
      </w:pPr>
      <w:bookmarkStart w:id="13" w:name="_Toc267603612"/>
    </w:p>
    <w:p w:rsidR="002014CA" w:rsidRPr="00E10347" w:rsidRDefault="003F3E60" w:rsidP="00E10347">
      <w:pPr>
        <w:pStyle w:val="Ttulo3"/>
        <w:spacing w:before="0"/>
        <w:rPr>
          <w:rFonts w:ascii="Palatino Linotype" w:hAnsi="Palatino Linotype"/>
          <w:color w:val="auto"/>
          <w:sz w:val="21"/>
          <w:szCs w:val="21"/>
        </w:rPr>
      </w:pPr>
      <w:r w:rsidRPr="00E10347">
        <w:rPr>
          <w:rFonts w:ascii="Palatino Linotype" w:hAnsi="Palatino Linotype"/>
          <w:color w:val="auto"/>
          <w:sz w:val="21"/>
          <w:szCs w:val="21"/>
        </w:rPr>
        <w:t>d</w:t>
      </w:r>
      <w:r w:rsidR="002014CA" w:rsidRPr="00E10347">
        <w:rPr>
          <w:rFonts w:ascii="Palatino Linotype" w:hAnsi="Palatino Linotype"/>
          <w:color w:val="auto"/>
          <w:sz w:val="21"/>
          <w:szCs w:val="21"/>
        </w:rPr>
        <w:t>.- Características</w:t>
      </w:r>
      <w:bookmarkEnd w:id="13"/>
    </w:p>
    <w:p w:rsidR="002014CA" w:rsidRPr="00E10347" w:rsidRDefault="002014CA" w:rsidP="00E10347">
      <w:pPr>
        <w:jc w:val="both"/>
        <w:rPr>
          <w:rFonts w:ascii="Palatino Linotype" w:hAnsi="Palatino Linotype"/>
          <w:sz w:val="21"/>
          <w:szCs w:val="21"/>
        </w:rPr>
      </w:pPr>
      <w:r w:rsidRPr="00E10347">
        <w:rPr>
          <w:rFonts w:ascii="Palatino Linotype" w:hAnsi="Palatino Linotype"/>
          <w:sz w:val="21"/>
          <w:szCs w:val="21"/>
        </w:rPr>
        <w:tab/>
        <w:t xml:space="preserve">El sistema dispositivo, al contrario que su antagónico inquisitorio, otorga roles y actividades a los sujetos procesales a lo largo de todo el método de procesar, así como al juez en el rol de sentenciar. </w:t>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Privilegiando al método por encima del fin, promueve un verdadero debate dialéctico entre las partes, las cuales están en un plano de absoluta igualdad en el proceso, “y acepta la posibilidad de la autocomposición de manera previa a la resolución heterocompositiva (…)  La igualdad jurídica, fomentada en la democracia, constituye nada menos que un principio angular en el proceso dispositivo, que posibilita un debate sin preferencias ni privilegios que beneficien a una de las partes en detrimento de su oponente. Porque en su seno es donde el rico y el pobre, el grande y el pequeño, la mayoría y la minoría, el bueno y el malo, el fuerte y el débil, cuentan con idénticas oportunidades de actuar, defenderse y ser oídos. Igualdad que se conjuga con la imparcialidad del juzgador”.</w:t>
      </w:r>
      <w:r w:rsidRPr="00E10347">
        <w:rPr>
          <w:rStyle w:val="Refdenotaalpie"/>
          <w:rFonts w:ascii="Palatino Linotype" w:hAnsi="Palatino Linotype"/>
          <w:sz w:val="21"/>
          <w:szCs w:val="21"/>
        </w:rPr>
        <w:footnoteReference w:id="40"/>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Sus características</w:t>
      </w:r>
      <w:r w:rsidRPr="00E10347">
        <w:rPr>
          <w:rStyle w:val="Refdenotaalpie"/>
          <w:rFonts w:ascii="Palatino Linotype" w:hAnsi="Palatino Linotype"/>
          <w:sz w:val="21"/>
          <w:szCs w:val="21"/>
        </w:rPr>
        <w:footnoteReference w:id="41"/>
      </w:r>
      <w:r w:rsidRPr="00E10347">
        <w:rPr>
          <w:rFonts w:ascii="Palatino Linotype" w:hAnsi="Palatino Linotype"/>
          <w:sz w:val="21"/>
          <w:szCs w:val="21"/>
        </w:rPr>
        <w:t xml:space="preserve"> predominantes son: </w:t>
      </w:r>
    </w:p>
    <w:p w:rsidR="002014CA" w:rsidRPr="00E10347" w:rsidRDefault="002014CA" w:rsidP="00E10347">
      <w:pPr>
        <w:rPr>
          <w:rFonts w:ascii="Palatino Linotype" w:hAnsi="Palatino Linotype"/>
          <w:sz w:val="21"/>
          <w:szCs w:val="21"/>
        </w:rPr>
      </w:pPr>
      <w:r w:rsidRPr="00E10347">
        <w:rPr>
          <w:rFonts w:ascii="Palatino Linotype" w:hAnsi="Palatino Linotype"/>
          <w:sz w:val="21"/>
          <w:szCs w:val="21"/>
        </w:rPr>
        <w:lastRenderedPageBreak/>
        <w:t>a) En relación con la acusación:</w:t>
      </w:r>
    </w:p>
    <w:p w:rsidR="002014CA" w:rsidRPr="00E10347" w:rsidRDefault="002014CA" w:rsidP="00E10347">
      <w:pPr>
        <w:jc w:val="both"/>
        <w:rPr>
          <w:rFonts w:ascii="Palatino Linotype" w:hAnsi="Palatino Linotype"/>
          <w:sz w:val="21"/>
          <w:szCs w:val="21"/>
        </w:rPr>
      </w:pPr>
      <w:r w:rsidRPr="00E10347">
        <w:rPr>
          <w:rFonts w:ascii="Palatino Linotype" w:hAnsi="Palatino Linotype"/>
          <w:sz w:val="21"/>
          <w:szCs w:val="21"/>
        </w:rPr>
        <w:t>1. El acusador es distinto del juez y del defensor. Es decir quien realiza la unción acusatoria es una entidad diferente de las que realizan la función defensiva y decisoria.</w:t>
      </w:r>
    </w:p>
    <w:p w:rsidR="002014CA" w:rsidRPr="00E10347" w:rsidRDefault="002014CA" w:rsidP="00E10347">
      <w:pPr>
        <w:rPr>
          <w:rFonts w:ascii="Palatino Linotype" w:hAnsi="Palatino Linotype"/>
          <w:sz w:val="21"/>
          <w:szCs w:val="21"/>
        </w:rPr>
      </w:pPr>
      <w:r w:rsidRPr="00E10347">
        <w:rPr>
          <w:rFonts w:ascii="Palatino Linotype" w:hAnsi="Palatino Linotype"/>
          <w:sz w:val="21"/>
          <w:szCs w:val="21"/>
        </w:rPr>
        <w:t>2.  El acusador no está representado por un órgano especial.</w:t>
      </w:r>
    </w:p>
    <w:p w:rsidR="002014CA" w:rsidRPr="00E10347" w:rsidRDefault="002014CA" w:rsidP="00E10347">
      <w:pPr>
        <w:jc w:val="both"/>
        <w:rPr>
          <w:rFonts w:ascii="Palatino Linotype" w:hAnsi="Palatino Linotype"/>
          <w:sz w:val="21"/>
          <w:szCs w:val="21"/>
        </w:rPr>
      </w:pPr>
      <w:r w:rsidRPr="00E10347">
        <w:rPr>
          <w:rFonts w:ascii="Palatino Linotype" w:hAnsi="Palatino Linotype"/>
          <w:sz w:val="21"/>
          <w:szCs w:val="21"/>
        </w:rPr>
        <w:t>3.  La acusación no es oficiosa (allí donde no hay acusador o demandante, no hay juez).</w:t>
      </w:r>
    </w:p>
    <w:p w:rsidR="002014CA" w:rsidRPr="00E10347" w:rsidRDefault="002014CA" w:rsidP="00E10347">
      <w:pPr>
        <w:rPr>
          <w:rFonts w:ascii="Palatino Linotype" w:hAnsi="Palatino Linotype"/>
          <w:sz w:val="21"/>
          <w:szCs w:val="21"/>
        </w:rPr>
      </w:pPr>
      <w:r w:rsidRPr="00E10347">
        <w:rPr>
          <w:rFonts w:ascii="Palatino Linotype" w:hAnsi="Palatino Linotype"/>
          <w:sz w:val="21"/>
          <w:szCs w:val="21"/>
        </w:rPr>
        <w:t>4.   El acusador puede ser representado por cualquiera persona: existe libertad de prueba en la acusación.</w:t>
      </w:r>
      <w:r w:rsidRPr="00E10347">
        <w:rPr>
          <w:rFonts w:ascii="Palatino Linotype" w:hAnsi="Palatino Linotype"/>
          <w:sz w:val="21"/>
          <w:szCs w:val="21"/>
        </w:rPr>
        <w:br/>
        <w:t>B) En relación a la defensa:</w:t>
      </w:r>
      <w:r w:rsidRPr="00E10347">
        <w:rPr>
          <w:rFonts w:ascii="Palatino Linotype" w:hAnsi="Palatino Linotype"/>
          <w:sz w:val="21"/>
          <w:szCs w:val="21"/>
        </w:rPr>
        <w:br/>
        <w:t>1. La defensa no está entregada al juez</w:t>
      </w:r>
    </w:p>
    <w:p w:rsidR="002014CA" w:rsidRPr="00E10347" w:rsidRDefault="002014CA" w:rsidP="00E10347">
      <w:pPr>
        <w:rPr>
          <w:rFonts w:ascii="Palatino Linotype" w:hAnsi="Palatino Linotype"/>
          <w:sz w:val="21"/>
          <w:szCs w:val="21"/>
        </w:rPr>
      </w:pPr>
      <w:r w:rsidRPr="00E10347">
        <w:rPr>
          <w:rFonts w:ascii="Palatino Linotype" w:hAnsi="Palatino Linotype"/>
          <w:sz w:val="21"/>
          <w:szCs w:val="21"/>
        </w:rPr>
        <w:t>2.  El acusado puede ser patrocinado por cualquier persona, y</w:t>
      </w:r>
      <w:r w:rsidRPr="00E10347">
        <w:rPr>
          <w:rFonts w:ascii="Palatino Linotype" w:hAnsi="Palatino Linotype"/>
          <w:sz w:val="21"/>
          <w:szCs w:val="21"/>
        </w:rPr>
        <w:br/>
        <w:t>3.  Existe libertad de defensa.</w:t>
      </w:r>
      <w:r w:rsidRPr="00E10347">
        <w:rPr>
          <w:rFonts w:ascii="Palatino Linotype" w:hAnsi="Palatino Linotype"/>
          <w:sz w:val="21"/>
          <w:szCs w:val="21"/>
        </w:rPr>
        <w:br/>
        <w:t>C) En relación a la decisión:</w:t>
      </w:r>
      <w:r w:rsidRPr="00E10347">
        <w:rPr>
          <w:rFonts w:ascii="Palatino Linotype" w:hAnsi="Palatino Linotype"/>
          <w:sz w:val="21"/>
          <w:szCs w:val="21"/>
        </w:rPr>
        <w:br/>
        <w:t>1. El juez tiene funciones exclusivamente decisorias.</w:t>
      </w:r>
    </w:p>
    <w:p w:rsidR="002014CA" w:rsidRPr="00E10347" w:rsidRDefault="002014CA" w:rsidP="00E10347">
      <w:pPr>
        <w:tabs>
          <w:tab w:val="right" w:pos="8640"/>
        </w:tabs>
        <w:ind w:firstLine="557"/>
        <w:jc w:val="both"/>
        <w:rPr>
          <w:rFonts w:ascii="Palatino Linotype" w:hAnsi="Palatino Linotype"/>
          <w:sz w:val="21"/>
          <w:szCs w:val="21"/>
        </w:rPr>
      </w:pPr>
      <w:r w:rsidRPr="00E10347">
        <w:rPr>
          <w:rFonts w:ascii="Palatino Linotype" w:hAnsi="Palatino Linotype"/>
          <w:sz w:val="21"/>
          <w:szCs w:val="21"/>
        </w:rPr>
        <w:t xml:space="preserve">Aún la doctrina que tradicionalmente se le ha relacionado con el activismo judicial, ha reconocido el ámbito inviolable de las partes en cuanto a sus pretensiones, resistencias y cargas probáticas según el sistema dispositivo. Al respecto, afirmaba Devis Echandía: “Dichos requisitos se expresan en los aforismos latinos </w:t>
      </w:r>
      <w:r w:rsidRPr="00E10347">
        <w:rPr>
          <w:rFonts w:ascii="Palatino Linotype" w:hAnsi="Palatino Linotype"/>
          <w:b/>
          <w:bCs/>
          <w:sz w:val="21"/>
          <w:szCs w:val="21"/>
        </w:rPr>
        <w:t>ne procedat iudex ex officio</w:t>
      </w:r>
      <w:r w:rsidRPr="00E10347">
        <w:rPr>
          <w:rFonts w:ascii="Palatino Linotype" w:hAnsi="Palatino Linotype"/>
          <w:sz w:val="21"/>
          <w:szCs w:val="21"/>
        </w:rPr>
        <w:t xml:space="preserve"> y </w:t>
      </w:r>
      <w:r w:rsidRPr="00E10347">
        <w:rPr>
          <w:rFonts w:ascii="Palatino Linotype" w:hAnsi="Palatino Linotype"/>
          <w:b/>
          <w:bCs/>
          <w:sz w:val="21"/>
          <w:szCs w:val="21"/>
        </w:rPr>
        <w:t>ne eat iudex ultra petita partium</w:t>
      </w:r>
      <w:r w:rsidRPr="00E10347">
        <w:rPr>
          <w:rFonts w:ascii="Palatino Linotype" w:hAnsi="Palatino Linotype"/>
          <w:sz w:val="21"/>
          <w:szCs w:val="21"/>
        </w:rPr>
        <w:t>. Y mira también al derecho de las partes para disponer del proceso, poniéndole fin por desistimiento o transacción. Este aspecto debe conservarse. El segundo aspecto se refiere a los poderes exclusivos de las partes sobre el ele</w:t>
      </w:r>
      <w:r w:rsidRPr="00E10347">
        <w:rPr>
          <w:rFonts w:ascii="Palatino Linotype" w:hAnsi="Palatino Linotype"/>
          <w:sz w:val="21"/>
          <w:szCs w:val="21"/>
        </w:rPr>
        <w:softHyphen/>
        <w:t>mento probatorio del proceso, y deja al juez inerme ante el combate judicial, que reviste así un interés netamente privado; no hay razón para que este aspecto subsista hoy en el proceso civil y menos en los demás”.</w:t>
      </w:r>
      <w:r w:rsidRPr="00E10347">
        <w:rPr>
          <w:rFonts w:ascii="Palatino Linotype" w:hAnsi="Palatino Linotype"/>
          <w:sz w:val="21"/>
          <w:szCs w:val="21"/>
          <w:vertAlign w:val="superscript"/>
        </w:rPr>
        <w:footnoteReference w:id="42"/>
      </w:r>
    </w:p>
    <w:p w:rsidR="002014CA"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 xml:space="preserve">En el sistema acusatorio, prevalece el interés particular sobre el interés social. Por ello, comparando las características de ambos sistemas, siguiendo a </w:t>
      </w:r>
      <w:r w:rsidRPr="00E10347">
        <w:rPr>
          <w:rFonts w:ascii="Palatino Linotype" w:hAnsi="Palatino Linotype"/>
          <w:sz w:val="21"/>
          <w:szCs w:val="21"/>
        </w:rPr>
        <w:lastRenderedPageBreak/>
        <w:t>Alvarado Velloso,</w:t>
      </w:r>
      <w:r w:rsidRPr="00E10347">
        <w:rPr>
          <w:rStyle w:val="Refdenotaalpie"/>
          <w:rFonts w:ascii="Palatino Linotype" w:hAnsi="Palatino Linotype"/>
          <w:sz w:val="21"/>
          <w:szCs w:val="21"/>
        </w:rPr>
        <w:footnoteReference w:id="43"/>
      </w:r>
      <w:r w:rsidRPr="00E10347">
        <w:rPr>
          <w:rFonts w:ascii="Palatino Linotype" w:hAnsi="Palatino Linotype"/>
          <w:sz w:val="21"/>
          <w:szCs w:val="21"/>
        </w:rPr>
        <w:t xml:space="preserve"> vemos cómo el principio de igualdad de partes e imparcialidad del juez solo son posibles en este sistema:</w:t>
      </w:r>
    </w:p>
    <w:p w:rsidR="00076AF8" w:rsidRPr="00E10347" w:rsidRDefault="00076AF8" w:rsidP="00E10347">
      <w:pPr>
        <w:ind w:firstLine="708"/>
        <w:jc w:val="both"/>
        <w:rPr>
          <w:rFonts w:ascii="Palatino Linotype" w:hAnsi="Palatino Linotype"/>
          <w:sz w:val="21"/>
          <w:szCs w:val="21"/>
        </w:rPr>
      </w:pPr>
    </w:p>
    <w:tbl>
      <w:tblPr>
        <w:tblW w:w="7789" w:type="dxa"/>
        <w:jc w:val="center"/>
        <w:tblLayout w:type="fixed"/>
        <w:tblCellMar>
          <w:left w:w="70" w:type="dxa"/>
          <w:right w:w="70" w:type="dxa"/>
        </w:tblCellMar>
        <w:tblLook w:val="0000" w:firstRow="0" w:lastRow="0" w:firstColumn="0" w:lastColumn="0" w:noHBand="0" w:noVBand="0"/>
      </w:tblPr>
      <w:tblGrid>
        <w:gridCol w:w="3535"/>
        <w:gridCol w:w="4254"/>
      </w:tblGrid>
      <w:tr w:rsidR="003F3E60" w:rsidRPr="00E10347" w:rsidTr="00F129D0">
        <w:trPr>
          <w:trHeight w:val="530"/>
          <w:jc w:val="center"/>
        </w:trPr>
        <w:tc>
          <w:tcPr>
            <w:tcW w:w="3535" w:type="dxa"/>
            <w:tcBorders>
              <w:top w:val="single" w:sz="6" w:space="0" w:color="auto"/>
              <w:left w:val="single" w:sz="6" w:space="0" w:color="auto"/>
              <w:bottom w:val="nil"/>
              <w:right w:val="single" w:sz="6" w:space="0" w:color="auto"/>
            </w:tcBorders>
            <w:vAlign w:val="center"/>
          </w:tcPr>
          <w:p w:rsidR="002014CA" w:rsidRPr="00E10347" w:rsidRDefault="002014CA" w:rsidP="00E10347">
            <w:pPr>
              <w:tabs>
                <w:tab w:val="left" w:pos="320"/>
              </w:tabs>
              <w:jc w:val="center"/>
              <w:rPr>
                <w:rFonts w:ascii="Palatino Linotype" w:hAnsi="Palatino Linotype"/>
                <w:sz w:val="21"/>
                <w:szCs w:val="21"/>
              </w:rPr>
            </w:pPr>
            <w:r w:rsidRPr="00E10347">
              <w:rPr>
                <w:rFonts w:ascii="Palatino Linotype" w:hAnsi="Palatino Linotype"/>
                <w:b/>
                <w:bCs/>
                <w:sz w:val="21"/>
                <w:szCs w:val="21"/>
              </w:rPr>
              <w:t>Sistema acusatorio</w:t>
            </w:r>
            <w:r w:rsidRPr="00E10347">
              <w:rPr>
                <w:rFonts w:ascii="Palatino Linotype" w:hAnsi="Palatino Linotype"/>
                <w:b/>
                <w:bCs/>
                <w:sz w:val="21"/>
                <w:szCs w:val="21"/>
              </w:rPr>
              <w:br/>
              <w:t>(o dispositivo)</w:t>
            </w:r>
          </w:p>
        </w:tc>
        <w:tc>
          <w:tcPr>
            <w:tcW w:w="4254" w:type="dxa"/>
            <w:tcBorders>
              <w:top w:val="single" w:sz="6" w:space="0" w:color="auto"/>
              <w:left w:val="nil"/>
              <w:bottom w:val="nil"/>
              <w:right w:val="single" w:sz="6" w:space="0" w:color="auto"/>
            </w:tcBorders>
            <w:vAlign w:val="center"/>
          </w:tcPr>
          <w:p w:rsidR="002014CA" w:rsidRPr="00E10347" w:rsidRDefault="002014CA" w:rsidP="00E10347">
            <w:pPr>
              <w:tabs>
                <w:tab w:val="left" w:pos="320"/>
              </w:tabs>
              <w:jc w:val="center"/>
              <w:rPr>
                <w:rFonts w:ascii="Palatino Linotype" w:hAnsi="Palatino Linotype"/>
                <w:b/>
                <w:bCs/>
                <w:sz w:val="21"/>
                <w:szCs w:val="21"/>
              </w:rPr>
            </w:pPr>
            <w:r w:rsidRPr="00E10347">
              <w:rPr>
                <w:rFonts w:ascii="Palatino Linotype" w:hAnsi="Palatino Linotype"/>
                <w:b/>
                <w:bCs/>
                <w:sz w:val="21"/>
                <w:szCs w:val="21"/>
              </w:rPr>
              <w:t xml:space="preserve">Sistema </w:t>
            </w:r>
            <w:r w:rsidRPr="00E10347">
              <w:rPr>
                <w:rFonts w:ascii="Palatino Linotype" w:hAnsi="Palatino Linotype"/>
                <w:b/>
                <w:bCs/>
                <w:i/>
                <w:iCs/>
                <w:sz w:val="21"/>
                <w:szCs w:val="21"/>
              </w:rPr>
              <w:t>inquisitivo</w:t>
            </w:r>
          </w:p>
        </w:tc>
      </w:tr>
      <w:tr w:rsidR="003F3E60" w:rsidRPr="00E10347" w:rsidTr="00F129D0">
        <w:trPr>
          <w:trHeight w:val="512"/>
          <w:jc w:val="center"/>
        </w:trPr>
        <w:tc>
          <w:tcPr>
            <w:tcW w:w="3535" w:type="dxa"/>
            <w:tcBorders>
              <w:top w:val="single" w:sz="6" w:space="0" w:color="auto"/>
              <w:left w:val="single" w:sz="6" w:space="0" w:color="auto"/>
              <w:bottom w:val="nil"/>
              <w:right w:val="nil"/>
            </w:tcBorders>
            <w:vAlign w:val="center"/>
          </w:tcPr>
          <w:p w:rsidR="002014CA" w:rsidRPr="00E10347" w:rsidRDefault="002014CA" w:rsidP="00E83320">
            <w:pPr>
              <w:numPr>
                <w:ilvl w:val="0"/>
                <w:numId w:val="21"/>
              </w:numPr>
              <w:tabs>
                <w:tab w:val="left" w:pos="320"/>
              </w:tabs>
              <w:autoSpaceDE/>
              <w:autoSpaceDN/>
              <w:adjustRightInd/>
              <w:ind w:left="0" w:firstLine="0"/>
              <w:rPr>
                <w:rFonts w:ascii="Palatino Linotype" w:hAnsi="Palatino Linotype"/>
                <w:sz w:val="21"/>
                <w:szCs w:val="21"/>
              </w:rPr>
            </w:pPr>
            <w:r w:rsidRPr="00E10347">
              <w:rPr>
                <w:rFonts w:ascii="Palatino Linotype" w:hAnsi="Palatino Linotype"/>
                <w:sz w:val="21"/>
                <w:szCs w:val="21"/>
              </w:rPr>
              <w:t xml:space="preserve">el proceso se inicia </w:t>
            </w:r>
            <w:r w:rsidR="002A76CC">
              <w:rPr>
                <w:rFonts w:ascii="Palatino Linotype" w:hAnsi="Palatino Linotype"/>
                <w:sz w:val="21"/>
                <w:szCs w:val="21"/>
              </w:rPr>
              <w:t xml:space="preserve">solo </w:t>
            </w:r>
            <w:r w:rsidRPr="00E10347">
              <w:rPr>
                <w:rFonts w:ascii="Palatino Linotype" w:hAnsi="Palatino Linotype"/>
                <w:sz w:val="21"/>
                <w:szCs w:val="21"/>
              </w:rPr>
              <w:t xml:space="preserve">por </w:t>
            </w:r>
            <w:r w:rsidRPr="00E10347">
              <w:rPr>
                <w:rFonts w:ascii="Palatino Linotype" w:hAnsi="Palatino Linotype"/>
                <w:i/>
                <w:iCs/>
                <w:sz w:val="21"/>
                <w:szCs w:val="21"/>
              </w:rPr>
              <w:t>acción</w:t>
            </w:r>
            <w:r w:rsidRPr="00E10347">
              <w:rPr>
                <w:rFonts w:ascii="Palatino Linotype" w:hAnsi="Palatino Linotype"/>
                <w:sz w:val="21"/>
                <w:szCs w:val="21"/>
              </w:rPr>
              <w:t xml:space="preserve"> del interesado</w:t>
            </w:r>
          </w:p>
        </w:tc>
        <w:tc>
          <w:tcPr>
            <w:tcW w:w="4254" w:type="dxa"/>
            <w:tcBorders>
              <w:top w:val="single" w:sz="6" w:space="0" w:color="auto"/>
              <w:left w:val="single" w:sz="6" w:space="0" w:color="auto"/>
              <w:bottom w:val="nil"/>
              <w:right w:val="single" w:sz="6" w:space="0" w:color="auto"/>
            </w:tcBorders>
            <w:vAlign w:val="center"/>
          </w:tcPr>
          <w:p w:rsidR="002014CA" w:rsidRPr="00E10347" w:rsidRDefault="002014CA" w:rsidP="00E83320">
            <w:pPr>
              <w:numPr>
                <w:ilvl w:val="0"/>
                <w:numId w:val="22"/>
              </w:numPr>
              <w:tabs>
                <w:tab w:val="left" w:pos="320"/>
              </w:tabs>
              <w:autoSpaceDE/>
              <w:autoSpaceDN/>
              <w:adjustRightInd/>
              <w:ind w:left="0" w:firstLine="0"/>
              <w:rPr>
                <w:rFonts w:ascii="Palatino Linotype" w:hAnsi="Palatino Linotype"/>
                <w:sz w:val="21"/>
                <w:szCs w:val="21"/>
              </w:rPr>
            </w:pPr>
            <w:r w:rsidRPr="00E10347">
              <w:rPr>
                <w:rFonts w:ascii="Palatino Linotype" w:hAnsi="Palatino Linotype"/>
                <w:sz w:val="21"/>
                <w:szCs w:val="21"/>
              </w:rPr>
              <w:t xml:space="preserve">el proceso se inicia por </w:t>
            </w:r>
            <w:r w:rsidRPr="00E10347">
              <w:rPr>
                <w:rFonts w:ascii="Palatino Linotype" w:hAnsi="Palatino Linotype"/>
                <w:i/>
                <w:iCs/>
                <w:sz w:val="21"/>
                <w:szCs w:val="21"/>
              </w:rPr>
              <w:t>acción</w:t>
            </w:r>
            <w:r w:rsidRPr="00E10347">
              <w:rPr>
                <w:rFonts w:ascii="Palatino Linotype" w:hAnsi="Palatino Linotype"/>
                <w:sz w:val="21"/>
                <w:szCs w:val="21"/>
              </w:rPr>
              <w:t xml:space="preserve"> (acusación), por</w:t>
            </w:r>
            <w:r w:rsidRPr="00E10347">
              <w:rPr>
                <w:rFonts w:ascii="Palatino Linotype" w:hAnsi="Palatino Linotype"/>
                <w:i/>
                <w:iCs/>
                <w:sz w:val="21"/>
                <w:szCs w:val="21"/>
              </w:rPr>
              <w:t xml:space="preserve"> denuncia</w:t>
            </w:r>
            <w:r w:rsidRPr="00E10347">
              <w:rPr>
                <w:rFonts w:ascii="Palatino Linotype" w:hAnsi="Palatino Linotype"/>
                <w:sz w:val="21"/>
                <w:szCs w:val="21"/>
              </w:rPr>
              <w:t xml:space="preserve"> o de </w:t>
            </w:r>
            <w:r w:rsidRPr="00E10347">
              <w:rPr>
                <w:rFonts w:ascii="Palatino Linotype" w:hAnsi="Palatino Linotype"/>
                <w:i/>
                <w:iCs/>
                <w:sz w:val="21"/>
                <w:szCs w:val="21"/>
              </w:rPr>
              <w:t>oficio</w:t>
            </w:r>
          </w:p>
        </w:tc>
      </w:tr>
      <w:tr w:rsidR="003F3E60" w:rsidRPr="00E10347" w:rsidTr="00F129D0">
        <w:trPr>
          <w:trHeight w:val="240"/>
          <w:jc w:val="center"/>
        </w:trPr>
        <w:tc>
          <w:tcPr>
            <w:tcW w:w="3535" w:type="dxa"/>
            <w:tcBorders>
              <w:top w:val="single" w:sz="6" w:space="0" w:color="auto"/>
              <w:left w:val="single" w:sz="6" w:space="0" w:color="auto"/>
              <w:bottom w:val="nil"/>
              <w:right w:val="single" w:sz="6" w:space="0" w:color="auto"/>
            </w:tcBorders>
            <w:vAlign w:val="center"/>
          </w:tcPr>
          <w:p w:rsidR="002014CA" w:rsidRPr="00E10347" w:rsidRDefault="002014CA" w:rsidP="00E83320">
            <w:pPr>
              <w:numPr>
                <w:ilvl w:val="0"/>
                <w:numId w:val="22"/>
              </w:numPr>
              <w:tabs>
                <w:tab w:val="left" w:pos="320"/>
              </w:tabs>
              <w:autoSpaceDE/>
              <w:autoSpaceDN/>
              <w:adjustRightInd/>
              <w:ind w:left="0" w:firstLine="0"/>
              <w:rPr>
                <w:rFonts w:ascii="Palatino Linotype" w:hAnsi="Palatino Linotype"/>
                <w:sz w:val="21"/>
                <w:szCs w:val="21"/>
              </w:rPr>
            </w:pPr>
            <w:r w:rsidRPr="00E10347">
              <w:rPr>
                <w:rFonts w:ascii="Palatino Linotype" w:hAnsi="Palatino Linotype"/>
                <w:sz w:val="21"/>
                <w:szCs w:val="21"/>
              </w:rPr>
              <w:t xml:space="preserve">el impulso procesal lo efectúan </w:t>
            </w:r>
            <w:r w:rsidRPr="00E10347">
              <w:rPr>
                <w:rFonts w:ascii="Palatino Linotype" w:hAnsi="Palatino Linotype"/>
                <w:i/>
                <w:iCs/>
                <w:sz w:val="21"/>
                <w:szCs w:val="21"/>
              </w:rPr>
              <w:t>los interesados</w:t>
            </w:r>
            <w:r w:rsidRPr="00E10347">
              <w:rPr>
                <w:rFonts w:ascii="Palatino Linotype" w:hAnsi="Palatino Linotype"/>
                <w:sz w:val="21"/>
                <w:szCs w:val="21"/>
              </w:rPr>
              <w:t>, no el juez</w:t>
            </w:r>
          </w:p>
        </w:tc>
        <w:tc>
          <w:tcPr>
            <w:tcW w:w="4254" w:type="dxa"/>
            <w:tcBorders>
              <w:top w:val="single" w:sz="6" w:space="0" w:color="auto"/>
              <w:left w:val="nil"/>
              <w:bottom w:val="nil"/>
              <w:right w:val="single" w:sz="6" w:space="0" w:color="auto"/>
            </w:tcBorders>
            <w:vAlign w:val="center"/>
          </w:tcPr>
          <w:p w:rsidR="002014CA" w:rsidRPr="00E10347" w:rsidRDefault="002014CA" w:rsidP="00E83320">
            <w:pPr>
              <w:numPr>
                <w:ilvl w:val="0"/>
                <w:numId w:val="23"/>
              </w:numPr>
              <w:tabs>
                <w:tab w:val="left" w:pos="320"/>
              </w:tabs>
              <w:autoSpaceDE/>
              <w:autoSpaceDN/>
              <w:adjustRightInd/>
              <w:ind w:left="0" w:firstLine="0"/>
              <w:rPr>
                <w:rFonts w:ascii="Palatino Linotype" w:hAnsi="Palatino Linotype"/>
                <w:sz w:val="21"/>
                <w:szCs w:val="21"/>
              </w:rPr>
            </w:pPr>
            <w:r w:rsidRPr="00E10347">
              <w:rPr>
                <w:rFonts w:ascii="Palatino Linotype" w:hAnsi="Palatino Linotype"/>
                <w:sz w:val="21"/>
                <w:szCs w:val="21"/>
              </w:rPr>
              <w:t xml:space="preserve">el impulso procesal es efectuado </w:t>
            </w:r>
            <w:r w:rsidRPr="00E10347">
              <w:rPr>
                <w:rFonts w:ascii="Palatino Linotype" w:hAnsi="Palatino Linotype"/>
                <w:i/>
                <w:iCs/>
                <w:sz w:val="21"/>
                <w:szCs w:val="21"/>
              </w:rPr>
              <w:t>por el juez</w:t>
            </w:r>
          </w:p>
        </w:tc>
      </w:tr>
      <w:tr w:rsidR="003F3E60" w:rsidRPr="00E10347" w:rsidTr="00F129D0">
        <w:trPr>
          <w:trHeight w:val="206"/>
          <w:jc w:val="center"/>
        </w:trPr>
        <w:tc>
          <w:tcPr>
            <w:tcW w:w="3535" w:type="dxa"/>
            <w:tcBorders>
              <w:top w:val="single" w:sz="6" w:space="0" w:color="auto"/>
              <w:left w:val="single" w:sz="6" w:space="0" w:color="auto"/>
              <w:bottom w:val="nil"/>
              <w:right w:val="single" w:sz="6" w:space="0" w:color="auto"/>
            </w:tcBorders>
            <w:vAlign w:val="center"/>
          </w:tcPr>
          <w:p w:rsidR="002014CA" w:rsidRPr="00E10347" w:rsidRDefault="002014CA" w:rsidP="00E83320">
            <w:pPr>
              <w:numPr>
                <w:ilvl w:val="0"/>
                <w:numId w:val="24"/>
              </w:numPr>
              <w:tabs>
                <w:tab w:val="left" w:pos="320"/>
              </w:tabs>
              <w:autoSpaceDE/>
              <w:autoSpaceDN/>
              <w:adjustRightInd/>
              <w:ind w:left="0" w:firstLine="0"/>
              <w:rPr>
                <w:rFonts w:ascii="Palatino Linotype" w:hAnsi="Palatino Linotype"/>
                <w:sz w:val="21"/>
                <w:szCs w:val="21"/>
              </w:rPr>
            </w:pPr>
            <w:r w:rsidRPr="00E10347">
              <w:rPr>
                <w:rFonts w:ascii="Palatino Linotype" w:hAnsi="Palatino Linotype"/>
                <w:sz w:val="21"/>
                <w:szCs w:val="21"/>
              </w:rPr>
              <w:t xml:space="preserve">el acusado (o demandado) </w:t>
            </w:r>
            <w:r w:rsidRPr="00E10347">
              <w:rPr>
                <w:rFonts w:ascii="Palatino Linotype" w:hAnsi="Palatino Linotype"/>
                <w:i/>
                <w:iCs/>
                <w:sz w:val="21"/>
                <w:szCs w:val="21"/>
              </w:rPr>
              <w:t>sabe</w:t>
            </w:r>
            <w:r w:rsidRPr="00E10347">
              <w:rPr>
                <w:rFonts w:ascii="Palatino Linotype" w:hAnsi="Palatino Linotype"/>
                <w:sz w:val="21"/>
                <w:szCs w:val="21"/>
              </w:rPr>
              <w:t xml:space="preserve"> desde el comienzo quién y por qué se lo acusa (o demanda)</w:t>
            </w:r>
          </w:p>
        </w:tc>
        <w:tc>
          <w:tcPr>
            <w:tcW w:w="4254" w:type="dxa"/>
            <w:tcBorders>
              <w:top w:val="single" w:sz="6" w:space="0" w:color="auto"/>
              <w:left w:val="nil"/>
              <w:bottom w:val="nil"/>
              <w:right w:val="single" w:sz="6" w:space="0" w:color="auto"/>
            </w:tcBorders>
            <w:vAlign w:val="center"/>
          </w:tcPr>
          <w:p w:rsidR="002014CA" w:rsidRPr="00E10347" w:rsidRDefault="002014CA" w:rsidP="00E83320">
            <w:pPr>
              <w:numPr>
                <w:ilvl w:val="0"/>
                <w:numId w:val="25"/>
              </w:numPr>
              <w:tabs>
                <w:tab w:val="left" w:pos="320"/>
              </w:tabs>
              <w:autoSpaceDE/>
              <w:autoSpaceDN/>
              <w:adjustRightInd/>
              <w:ind w:left="0" w:firstLine="0"/>
              <w:rPr>
                <w:rFonts w:ascii="Palatino Linotype" w:hAnsi="Palatino Linotype"/>
                <w:sz w:val="21"/>
                <w:szCs w:val="21"/>
              </w:rPr>
            </w:pPr>
            <w:r w:rsidRPr="00E10347">
              <w:rPr>
                <w:rFonts w:ascii="Palatino Linotype" w:hAnsi="Palatino Linotype"/>
                <w:sz w:val="21"/>
                <w:szCs w:val="21"/>
              </w:rPr>
              <w:t xml:space="preserve">el acusado (o demandado) </w:t>
            </w:r>
            <w:r w:rsidRPr="00E10347">
              <w:rPr>
                <w:rFonts w:ascii="Palatino Linotype" w:hAnsi="Palatino Linotype"/>
                <w:i/>
                <w:iCs/>
                <w:sz w:val="21"/>
                <w:szCs w:val="21"/>
              </w:rPr>
              <w:t>no sabe</w:t>
            </w:r>
            <w:r w:rsidRPr="00E10347">
              <w:rPr>
                <w:rFonts w:ascii="Palatino Linotype" w:hAnsi="Palatino Linotype"/>
                <w:sz w:val="21"/>
                <w:szCs w:val="21"/>
              </w:rPr>
              <w:t xml:space="preserve"> desde el comienzo quién ni por qué se lo acusa (o demanda)</w:t>
            </w:r>
          </w:p>
        </w:tc>
      </w:tr>
      <w:tr w:rsidR="003F3E60" w:rsidRPr="00E10347" w:rsidTr="00F129D0">
        <w:trPr>
          <w:trHeight w:val="232"/>
          <w:jc w:val="center"/>
        </w:trPr>
        <w:tc>
          <w:tcPr>
            <w:tcW w:w="3535" w:type="dxa"/>
            <w:tcBorders>
              <w:top w:val="single" w:sz="6" w:space="0" w:color="auto"/>
              <w:left w:val="single" w:sz="6" w:space="0" w:color="auto"/>
              <w:bottom w:val="nil"/>
              <w:right w:val="single" w:sz="6" w:space="0" w:color="auto"/>
            </w:tcBorders>
            <w:vAlign w:val="center"/>
          </w:tcPr>
          <w:p w:rsidR="002014CA" w:rsidRPr="00E10347" w:rsidRDefault="002014CA" w:rsidP="00E83320">
            <w:pPr>
              <w:numPr>
                <w:ilvl w:val="0"/>
                <w:numId w:val="25"/>
              </w:numPr>
              <w:tabs>
                <w:tab w:val="left" w:pos="320"/>
              </w:tabs>
              <w:autoSpaceDE/>
              <w:autoSpaceDN/>
              <w:adjustRightInd/>
              <w:ind w:left="0" w:firstLine="0"/>
              <w:rPr>
                <w:rFonts w:ascii="Palatino Linotype" w:hAnsi="Palatino Linotype"/>
                <w:sz w:val="21"/>
                <w:szCs w:val="21"/>
              </w:rPr>
            </w:pPr>
            <w:r w:rsidRPr="00E10347">
              <w:rPr>
                <w:rFonts w:ascii="Palatino Linotype" w:hAnsi="Palatino Linotype"/>
                <w:sz w:val="21"/>
                <w:szCs w:val="21"/>
              </w:rPr>
              <w:t xml:space="preserve">el acusado </w:t>
            </w:r>
            <w:r w:rsidRPr="00E10347">
              <w:rPr>
                <w:rFonts w:ascii="Palatino Linotype" w:hAnsi="Palatino Linotype"/>
                <w:i/>
                <w:iCs/>
                <w:sz w:val="21"/>
                <w:szCs w:val="21"/>
              </w:rPr>
              <w:t xml:space="preserve">sabe </w:t>
            </w:r>
            <w:r w:rsidRPr="00E10347">
              <w:rPr>
                <w:rFonts w:ascii="Palatino Linotype" w:hAnsi="Palatino Linotype"/>
                <w:sz w:val="21"/>
                <w:szCs w:val="21"/>
              </w:rPr>
              <w:t>quién es el juez</w:t>
            </w:r>
          </w:p>
        </w:tc>
        <w:tc>
          <w:tcPr>
            <w:tcW w:w="4254" w:type="dxa"/>
            <w:tcBorders>
              <w:top w:val="single" w:sz="6" w:space="0" w:color="auto"/>
              <w:left w:val="nil"/>
              <w:bottom w:val="single" w:sz="6" w:space="0" w:color="auto"/>
              <w:right w:val="single" w:sz="6" w:space="0" w:color="auto"/>
            </w:tcBorders>
            <w:vAlign w:val="center"/>
          </w:tcPr>
          <w:p w:rsidR="002014CA" w:rsidRPr="00E10347" w:rsidRDefault="002014CA" w:rsidP="00E83320">
            <w:pPr>
              <w:numPr>
                <w:ilvl w:val="0"/>
                <w:numId w:val="24"/>
              </w:numPr>
              <w:tabs>
                <w:tab w:val="left" w:pos="320"/>
              </w:tabs>
              <w:autoSpaceDE/>
              <w:autoSpaceDN/>
              <w:adjustRightInd/>
              <w:ind w:left="0" w:firstLine="0"/>
              <w:rPr>
                <w:rFonts w:ascii="Palatino Linotype" w:hAnsi="Palatino Linotype"/>
                <w:sz w:val="21"/>
                <w:szCs w:val="21"/>
              </w:rPr>
            </w:pPr>
            <w:r w:rsidRPr="00E10347">
              <w:rPr>
                <w:rFonts w:ascii="Palatino Linotype" w:hAnsi="Palatino Linotype"/>
                <w:sz w:val="21"/>
                <w:szCs w:val="21"/>
              </w:rPr>
              <w:t xml:space="preserve">el acusado puede </w:t>
            </w:r>
            <w:r w:rsidRPr="00E10347">
              <w:rPr>
                <w:rFonts w:ascii="Palatino Linotype" w:hAnsi="Palatino Linotype"/>
                <w:i/>
                <w:iCs/>
                <w:sz w:val="21"/>
                <w:szCs w:val="21"/>
              </w:rPr>
              <w:t>no saber</w:t>
            </w:r>
            <w:r w:rsidRPr="00E10347">
              <w:rPr>
                <w:rFonts w:ascii="Palatino Linotype" w:hAnsi="Palatino Linotype"/>
                <w:sz w:val="21"/>
                <w:szCs w:val="21"/>
              </w:rPr>
              <w:t xml:space="preserve"> quién es el juez</w:t>
            </w:r>
          </w:p>
        </w:tc>
      </w:tr>
      <w:tr w:rsidR="002014CA" w:rsidRPr="00E10347" w:rsidTr="00F129D0">
        <w:trPr>
          <w:trHeight w:val="340"/>
          <w:jc w:val="center"/>
        </w:trPr>
        <w:tc>
          <w:tcPr>
            <w:tcW w:w="3535" w:type="dxa"/>
            <w:tcBorders>
              <w:top w:val="single" w:sz="6" w:space="0" w:color="auto"/>
              <w:left w:val="single" w:sz="6" w:space="0" w:color="auto"/>
              <w:bottom w:val="single" w:sz="6" w:space="0" w:color="auto"/>
              <w:right w:val="single" w:sz="6" w:space="0" w:color="auto"/>
            </w:tcBorders>
            <w:vAlign w:val="center"/>
          </w:tcPr>
          <w:p w:rsidR="002014CA" w:rsidRPr="00E10347" w:rsidRDefault="002014CA" w:rsidP="00E83320">
            <w:pPr>
              <w:numPr>
                <w:ilvl w:val="0"/>
                <w:numId w:val="24"/>
              </w:numPr>
              <w:tabs>
                <w:tab w:val="left" w:pos="320"/>
              </w:tabs>
              <w:autoSpaceDE/>
              <w:autoSpaceDN/>
              <w:adjustRightInd/>
              <w:ind w:left="0" w:firstLine="0"/>
              <w:rPr>
                <w:rFonts w:ascii="Palatino Linotype" w:hAnsi="Palatino Linotype"/>
                <w:sz w:val="21"/>
                <w:szCs w:val="21"/>
              </w:rPr>
            </w:pPr>
            <w:r w:rsidRPr="00E10347">
              <w:rPr>
                <w:rFonts w:ascii="Palatino Linotype" w:hAnsi="Palatino Linotype"/>
                <w:sz w:val="21"/>
                <w:szCs w:val="21"/>
              </w:rPr>
              <w:t xml:space="preserve">el proceso es </w:t>
            </w:r>
            <w:r w:rsidRPr="00E10347">
              <w:rPr>
                <w:rFonts w:ascii="Palatino Linotype" w:hAnsi="Palatino Linotype"/>
                <w:i/>
                <w:iCs/>
                <w:sz w:val="21"/>
                <w:szCs w:val="21"/>
              </w:rPr>
              <w:t>público</w:t>
            </w:r>
            <w:r w:rsidRPr="00E10347">
              <w:rPr>
                <w:rFonts w:ascii="Palatino Linotype" w:hAnsi="Palatino Linotype"/>
                <w:sz w:val="21"/>
                <w:szCs w:val="21"/>
              </w:rPr>
              <w:t>, lo que elimina automáticamente la posibilidad de tormento</w:t>
            </w:r>
          </w:p>
        </w:tc>
        <w:tc>
          <w:tcPr>
            <w:tcW w:w="4254" w:type="dxa"/>
            <w:tcBorders>
              <w:top w:val="nil"/>
              <w:left w:val="nil"/>
              <w:bottom w:val="single" w:sz="6" w:space="0" w:color="auto"/>
              <w:right w:val="single" w:sz="6" w:space="0" w:color="auto"/>
            </w:tcBorders>
            <w:vAlign w:val="center"/>
          </w:tcPr>
          <w:p w:rsidR="002014CA" w:rsidRPr="00E10347" w:rsidRDefault="002014CA" w:rsidP="00E83320">
            <w:pPr>
              <w:pStyle w:val="t19"/>
              <w:widowControl w:val="0"/>
              <w:numPr>
                <w:ilvl w:val="0"/>
                <w:numId w:val="26"/>
              </w:numPr>
              <w:tabs>
                <w:tab w:val="decimal" w:pos="260"/>
                <w:tab w:val="left" w:pos="320"/>
                <w:tab w:val="decimal" w:pos="3240"/>
              </w:tabs>
              <w:spacing w:line="240" w:lineRule="auto"/>
              <w:ind w:left="0" w:firstLine="0"/>
              <w:rPr>
                <w:rFonts w:ascii="Palatino Linotype" w:hAnsi="Palatino Linotype"/>
                <w:sz w:val="21"/>
                <w:szCs w:val="21"/>
              </w:rPr>
            </w:pPr>
            <w:r w:rsidRPr="00E10347">
              <w:rPr>
                <w:rFonts w:ascii="Palatino Linotype" w:hAnsi="Palatino Linotype"/>
                <w:sz w:val="21"/>
                <w:szCs w:val="21"/>
              </w:rPr>
              <w:t xml:space="preserve">el proceso es </w:t>
            </w:r>
            <w:r w:rsidRPr="00E10347">
              <w:rPr>
                <w:rFonts w:ascii="Palatino Linotype" w:hAnsi="Palatino Linotype"/>
                <w:i/>
                <w:iCs/>
                <w:sz w:val="21"/>
                <w:szCs w:val="21"/>
              </w:rPr>
              <w:t>secreto,</w:t>
            </w:r>
            <w:r w:rsidRPr="00E10347">
              <w:rPr>
                <w:rFonts w:ascii="Palatino Linotype" w:hAnsi="Palatino Linotype"/>
                <w:sz w:val="21"/>
                <w:szCs w:val="21"/>
              </w:rPr>
              <w:t xml:space="preserve"> lo que posibilita el tormento</w:t>
            </w:r>
          </w:p>
        </w:tc>
      </w:tr>
    </w:tbl>
    <w:p w:rsidR="002014CA" w:rsidRPr="00E10347" w:rsidRDefault="002014CA" w:rsidP="00E10347">
      <w:pPr>
        <w:rPr>
          <w:rFonts w:ascii="Palatino Linotype" w:hAnsi="Palatino Linotype"/>
          <w:b/>
          <w:bCs/>
          <w:sz w:val="21"/>
          <w:szCs w:val="21"/>
        </w:rPr>
      </w:pP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Esta diversidad de regímenes procesales refleja la diversa ideología política imperante en las distintas etapas históricas, una distinta concepción del Estado y del individuo, en el fenómeno de administrar justicia; es decir, reflejan un aspecto de la lucha entre el Estado y el individuo, entre el interés colectivo y el interés individual, entre el principio de autoridad y la libertad individual.</w:t>
      </w:r>
      <w:r w:rsidRPr="00E10347">
        <w:rPr>
          <w:rStyle w:val="Refdenotaalpie"/>
          <w:rFonts w:ascii="Palatino Linotype" w:hAnsi="Palatino Linotype"/>
          <w:sz w:val="21"/>
          <w:szCs w:val="21"/>
        </w:rPr>
        <w:footnoteReference w:id="44"/>
      </w:r>
      <w:r w:rsidRPr="00E10347">
        <w:rPr>
          <w:rFonts w:ascii="Palatino Linotype" w:hAnsi="Palatino Linotype"/>
          <w:sz w:val="21"/>
          <w:szCs w:val="21"/>
        </w:rPr>
        <w:t xml:space="preserve"> </w:t>
      </w:r>
    </w:p>
    <w:p w:rsidR="009A5379" w:rsidRDefault="009A5379" w:rsidP="00E10347">
      <w:pPr>
        <w:jc w:val="both"/>
        <w:rPr>
          <w:rFonts w:ascii="Palatino Linotype" w:hAnsi="Palatino Linotype"/>
          <w:b/>
          <w:bCs/>
          <w:sz w:val="21"/>
          <w:szCs w:val="21"/>
          <w:lang w:val="es-MX"/>
        </w:rPr>
      </w:pPr>
    </w:p>
    <w:p w:rsidR="002014CA" w:rsidRPr="00E10347" w:rsidRDefault="002014CA" w:rsidP="00E10347">
      <w:pPr>
        <w:jc w:val="both"/>
        <w:rPr>
          <w:rFonts w:ascii="Palatino Linotype" w:hAnsi="Palatino Linotype"/>
          <w:b/>
          <w:bCs/>
          <w:sz w:val="21"/>
          <w:szCs w:val="21"/>
          <w:lang w:val="es-MX"/>
        </w:rPr>
      </w:pPr>
      <w:r w:rsidRPr="00E10347">
        <w:rPr>
          <w:rFonts w:ascii="Palatino Linotype" w:hAnsi="Palatino Linotype"/>
          <w:b/>
          <w:bCs/>
          <w:sz w:val="21"/>
          <w:szCs w:val="21"/>
          <w:lang w:val="es-MX"/>
        </w:rPr>
        <w:t>4.-  La prueba y la verdad real: ¿es ésta posible en el proceso?</w:t>
      </w:r>
    </w:p>
    <w:p w:rsidR="002014CA" w:rsidRPr="00E10347" w:rsidRDefault="002014CA" w:rsidP="00E10347">
      <w:pPr>
        <w:jc w:val="both"/>
        <w:rPr>
          <w:rFonts w:ascii="Palatino Linotype" w:hAnsi="Palatino Linotype"/>
          <w:sz w:val="21"/>
          <w:szCs w:val="21"/>
          <w:lang w:val="es-MX"/>
        </w:rPr>
      </w:pPr>
      <w:r w:rsidRPr="00E10347">
        <w:rPr>
          <w:rFonts w:ascii="Palatino Linotype" w:hAnsi="Palatino Linotype"/>
          <w:sz w:val="21"/>
          <w:szCs w:val="21"/>
          <w:lang w:val="es-MX"/>
        </w:rPr>
        <w:tab/>
        <w:t xml:space="preserve">Hemos sostenido en términos muy generales, que la actividad probatoria, realizada en actos jurídicos-procesales dentro del procedimiento del proceso que está establecido para ello, se inicia con el ofrecimiento de prueba por las partes, quienes tienen no </w:t>
      </w:r>
      <w:r w:rsidR="002A76CC">
        <w:rPr>
          <w:rFonts w:ascii="Palatino Linotype" w:hAnsi="Palatino Linotype"/>
          <w:sz w:val="21"/>
          <w:szCs w:val="21"/>
          <w:lang w:val="es-MX"/>
        </w:rPr>
        <w:t xml:space="preserve">solo </w:t>
      </w:r>
      <w:r w:rsidRPr="00E10347">
        <w:rPr>
          <w:rFonts w:ascii="Palatino Linotype" w:hAnsi="Palatino Linotype"/>
          <w:sz w:val="21"/>
          <w:szCs w:val="21"/>
          <w:lang w:val="es-MX"/>
        </w:rPr>
        <w:t xml:space="preserve">el derecho subjetivo de  aportar al litigio los medios indispensables para lograr llegar a convencer al juez de que sus afirmaciones son ciertas, sino también tienen el derecho de que las pruebas válidamente admitidas y </w:t>
      </w:r>
      <w:r w:rsidRPr="00E10347">
        <w:rPr>
          <w:rFonts w:ascii="Palatino Linotype" w:hAnsi="Palatino Linotype"/>
          <w:sz w:val="21"/>
          <w:szCs w:val="21"/>
          <w:lang w:val="es-MX"/>
        </w:rPr>
        <w:lastRenderedPageBreak/>
        <w:t>practicadas en el proceso sean objeto de análisis en la resolución final.</w:t>
      </w:r>
      <w:r w:rsidRPr="00E10347">
        <w:rPr>
          <w:rStyle w:val="Refdenotaalpie"/>
          <w:rFonts w:ascii="Palatino Linotype" w:hAnsi="Palatino Linotype"/>
          <w:sz w:val="21"/>
          <w:szCs w:val="21"/>
          <w:lang w:val="es-MX"/>
        </w:rPr>
        <w:footnoteReference w:id="45"/>
      </w:r>
      <w:r w:rsidRPr="00E10347">
        <w:rPr>
          <w:rFonts w:ascii="Palatino Linotype" w:hAnsi="Palatino Linotype"/>
          <w:sz w:val="21"/>
          <w:szCs w:val="21"/>
          <w:lang w:val="es-MX"/>
        </w:rPr>
        <w:t xml:space="preserve"> Conviene analizar sobre las diferentes acepciones y teorías  sobre la llamada y muy discutida </w:t>
      </w:r>
      <w:r w:rsidRPr="00E10347">
        <w:rPr>
          <w:rFonts w:ascii="Palatino Linotype" w:hAnsi="Palatino Linotype"/>
          <w:sz w:val="21"/>
          <w:szCs w:val="21"/>
        </w:rPr>
        <w:t>“</w:t>
      </w:r>
      <w:r w:rsidRPr="00E10347">
        <w:rPr>
          <w:rFonts w:ascii="Palatino Linotype" w:hAnsi="Palatino Linotype"/>
          <w:sz w:val="21"/>
          <w:szCs w:val="21"/>
          <w:lang w:val="es-MX"/>
        </w:rPr>
        <w:t>verdad</w:t>
      </w:r>
      <w:r w:rsidRPr="00E10347">
        <w:rPr>
          <w:rFonts w:ascii="Palatino Linotype" w:hAnsi="Palatino Linotype"/>
          <w:sz w:val="21"/>
          <w:szCs w:val="21"/>
        </w:rPr>
        <w:t>”</w:t>
      </w:r>
      <w:r w:rsidRPr="00E10347">
        <w:rPr>
          <w:rFonts w:ascii="Palatino Linotype" w:hAnsi="Palatino Linotype"/>
          <w:sz w:val="21"/>
          <w:szCs w:val="21"/>
          <w:lang w:val="es-MX"/>
        </w:rPr>
        <w:t xml:space="preserve">, denominada por algunos como verdad real o material, verdad formal, verdad judicial e inclusive verdad jurídica objetiva; aspecto doctrinal polémico, en que cada teoría explica y coloca a esta </w:t>
      </w:r>
      <w:r w:rsidRPr="00E10347">
        <w:rPr>
          <w:rFonts w:ascii="Palatino Linotype" w:hAnsi="Palatino Linotype"/>
          <w:sz w:val="21"/>
          <w:szCs w:val="21"/>
        </w:rPr>
        <w:t>“</w:t>
      </w:r>
      <w:r w:rsidRPr="00E10347">
        <w:rPr>
          <w:rFonts w:ascii="Palatino Linotype" w:hAnsi="Palatino Linotype"/>
          <w:sz w:val="21"/>
          <w:szCs w:val="21"/>
          <w:lang w:val="es-MX"/>
        </w:rPr>
        <w:t>verdad</w:t>
      </w:r>
      <w:r w:rsidRPr="00E10347">
        <w:rPr>
          <w:rFonts w:ascii="Palatino Linotype" w:hAnsi="Palatino Linotype"/>
          <w:sz w:val="21"/>
          <w:szCs w:val="21"/>
        </w:rPr>
        <w:t>”</w:t>
      </w:r>
      <w:r w:rsidRPr="00E10347">
        <w:rPr>
          <w:rFonts w:ascii="Palatino Linotype" w:hAnsi="Palatino Linotype"/>
          <w:sz w:val="21"/>
          <w:szCs w:val="21"/>
          <w:lang w:val="es-MX"/>
        </w:rPr>
        <w:t xml:space="preserve"> o su propia versión de lo que denominan como </w:t>
      </w:r>
      <w:r w:rsidRPr="00E10347">
        <w:rPr>
          <w:rFonts w:ascii="Palatino Linotype" w:hAnsi="Palatino Linotype"/>
          <w:sz w:val="21"/>
          <w:szCs w:val="21"/>
        </w:rPr>
        <w:t>“</w:t>
      </w:r>
      <w:r w:rsidRPr="00E10347">
        <w:rPr>
          <w:rFonts w:ascii="Palatino Linotype" w:hAnsi="Palatino Linotype"/>
          <w:sz w:val="21"/>
          <w:szCs w:val="21"/>
          <w:lang w:val="es-MX"/>
        </w:rPr>
        <w:t>la verdad</w:t>
      </w:r>
      <w:r w:rsidRPr="00E10347">
        <w:rPr>
          <w:rFonts w:ascii="Palatino Linotype" w:hAnsi="Palatino Linotype"/>
          <w:sz w:val="21"/>
          <w:szCs w:val="21"/>
        </w:rPr>
        <w:t>”</w:t>
      </w:r>
      <w:r w:rsidRPr="00E10347">
        <w:rPr>
          <w:rFonts w:ascii="Palatino Linotype" w:hAnsi="Palatino Linotype"/>
          <w:sz w:val="21"/>
          <w:szCs w:val="21"/>
          <w:lang w:val="es-MX"/>
        </w:rPr>
        <w:t xml:space="preserve"> como el fin de la actividad procesal probatoria.</w:t>
      </w:r>
    </w:p>
    <w:p w:rsidR="002014CA" w:rsidRPr="00E10347" w:rsidRDefault="002014CA" w:rsidP="00E10347">
      <w:pPr>
        <w:jc w:val="both"/>
        <w:rPr>
          <w:rFonts w:ascii="Palatino Linotype" w:hAnsi="Palatino Linotype"/>
          <w:sz w:val="21"/>
          <w:szCs w:val="21"/>
          <w:lang w:val="es-MX"/>
        </w:rPr>
      </w:pPr>
      <w:r w:rsidRPr="00E10347">
        <w:rPr>
          <w:rFonts w:ascii="Palatino Linotype" w:hAnsi="Palatino Linotype"/>
          <w:b/>
          <w:bCs/>
          <w:sz w:val="21"/>
          <w:szCs w:val="21"/>
          <w:lang w:val="es-MX"/>
        </w:rPr>
        <w:tab/>
      </w:r>
      <w:r w:rsidRPr="00E10347">
        <w:rPr>
          <w:rFonts w:ascii="Palatino Linotype" w:hAnsi="Palatino Linotype"/>
          <w:sz w:val="21"/>
          <w:szCs w:val="21"/>
          <w:lang w:val="es-MX"/>
        </w:rPr>
        <w:t>Distinto a lo que se formulaba hace unos ochenta años, se afirma modernamente que el proceso civil es un mecanismo dirigido, principal y fundamentalmente, a la comprobación  de la verdad, cuya metamorfosis ha recaído propiamente en una nueva concepción de la figura del Juez; el cual, ha dejado, bajo la descripción de Cappelletti,</w:t>
      </w:r>
      <w:r w:rsidRPr="00E10347">
        <w:rPr>
          <w:rFonts w:ascii="Palatino Linotype" w:hAnsi="Palatino Linotype"/>
          <w:sz w:val="21"/>
          <w:szCs w:val="21"/>
          <w:vertAlign w:val="superscript"/>
        </w:rPr>
        <w:footnoteReference w:id="46"/>
      </w:r>
      <w:r w:rsidRPr="00E10347">
        <w:rPr>
          <w:rFonts w:ascii="Palatino Linotype" w:hAnsi="Palatino Linotype"/>
          <w:sz w:val="21"/>
          <w:szCs w:val="21"/>
          <w:lang w:val="es-MX"/>
        </w:rPr>
        <w:t xml:space="preserve"> de ser aquel </w:t>
      </w:r>
      <w:r w:rsidRPr="00E10347">
        <w:rPr>
          <w:rFonts w:ascii="Palatino Linotype" w:hAnsi="Palatino Linotype"/>
          <w:sz w:val="21"/>
          <w:szCs w:val="21"/>
        </w:rPr>
        <w:t>“</w:t>
      </w:r>
      <w:r w:rsidRPr="00E10347">
        <w:rPr>
          <w:rFonts w:ascii="Palatino Linotype" w:hAnsi="Palatino Linotype"/>
          <w:sz w:val="21"/>
          <w:szCs w:val="21"/>
          <w:lang w:val="es-MX"/>
        </w:rPr>
        <w:t>convidado de piedra</w:t>
      </w:r>
      <w:r w:rsidRPr="00E10347">
        <w:rPr>
          <w:rFonts w:ascii="Palatino Linotype" w:hAnsi="Palatino Linotype"/>
          <w:sz w:val="21"/>
          <w:szCs w:val="21"/>
        </w:rPr>
        <w:t>”</w:t>
      </w:r>
      <w:r w:rsidRPr="00E10347">
        <w:rPr>
          <w:rFonts w:ascii="Palatino Linotype" w:hAnsi="Palatino Linotype"/>
          <w:sz w:val="21"/>
          <w:szCs w:val="21"/>
          <w:lang w:val="es-MX"/>
        </w:rPr>
        <w:t>, a la figura de un verdadero director -no dictador, indicamos- del proceso.</w:t>
      </w:r>
    </w:p>
    <w:p w:rsidR="002014CA" w:rsidRPr="00E10347" w:rsidRDefault="002014CA" w:rsidP="00E10347">
      <w:pPr>
        <w:jc w:val="both"/>
        <w:rPr>
          <w:rFonts w:ascii="Palatino Linotype" w:hAnsi="Palatino Linotype"/>
          <w:sz w:val="21"/>
          <w:szCs w:val="21"/>
          <w:lang w:val="es-MX"/>
        </w:rPr>
      </w:pPr>
      <w:r w:rsidRPr="00E10347">
        <w:rPr>
          <w:rFonts w:ascii="Palatino Linotype" w:hAnsi="Palatino Linotype"/>
          <w:b/>
          <w:bCs/>
          <w:sz w:val="21"/>
          <w:szCs w:val="21"/>
          <w:lang w:val="es-MX"/>
        </w:rPr>
        <w:tab/>
      </w:r>
      <w:r w:rsidRPr="00E10347">
        <w:rPr>
          <w:rFonts w:ascii="Palatino Linotype" w:hAnsi="Palatino Linotype"/>
          <w:sz w:val="21"/>
          <w:szCs w:val="21"/>
          <w:lang w:val="es-MX"/>
        </w:rPr>
        <w:t xml:space="preserve">Tradicionalmente, la doctrina procesal civil, laboral y agraria se ha enfrascado en la distinción entre los conceptos de verdad real y verdad formal como si fuesen dos distintivos de ambos tipos de proceso. Consideramos, contrario a dichas teorías, que TODO proceso jurisdiccional -a través de la actividad probatoria del Juez y de las partes- tiene como fin último resolver un conflicto jurídico con base en la verdad histórica de los hechos debatidos, más allá de la versión de los hechos que cada parte defiende en sus respectivos alegatos. </w:t>
      </w:r>
    </w:p>
    <w:p w:rsidR="002014CA" w:rsidRPr="00E10347" w:rsidRDefault="002014CA" w:rsidP="00E10347">
      <w:pPr>
        <w:jc w:val="both"/>
        <w:rPr>
          <w:rFonts w:ascii="Palatino Linotype" w:hAnsi="Palatino Linotype"/>
          <w:sz w:val="21"/>
          <w:szCs w:val="21"/>
          <w:lang w:val="es-MX"/>
        </w:rPr>
      </w:pPr>
      <w:r w:rsidRPr="00E10347">
        <w:rPr>
          <w:rFonts w:ascii="Palatino Linotype" w:hAnsi="Palatino Linotype"/>
          <w:b/>
          <w:bCs/>
          <w:sz w:val="21"/>
          <w:szCs w:val="21"/>
          <w:lang w:val="es-MX"/>
        </w:rPr>
        <w:tab/>
      </w:r>
      <w:r w:rsidRPr="00E10347">
        <w:rPr>
          <w:rFonts w:ascii="Palatino Linotype" w:hAnsi="Palatino Linotype"/>
          <w:sz w:val="21"/>
          <w:szCs w:val="21"/>
          <w:lang w:val="es-MX"/>
        </w:rPr>
        <w:t xml:space="preserve">Quizás dicha distinción era concebible, históricamente en nuestro país, por un breve período de ocho años, entre 1982 y 1990, cuando estuvieron vigentes simultáneamente el Código de Trabajo, la Ley de Jurisdicción Agraria y el anterior Código de Procedimientos Civiles. Con la promulgación del actual Código Procesal Civil, se aumentaron los poderes-deberes del Juez Civil, como por ejemplo, en el numeral 98 inciso cuarto ibídem, que incluye dentro de los deberes del Juez el buscar precisamente la verdad real y en virtud de ello, no conformarse con la apariencia de verdad que le presentan las partes. El actual código procesal civil, supone, una despedida a un sistema dispositivo </w:t>
      </w:r>
      <w:r w:rsidRPr="00E10347">
        <w:rPr>
          <w:rFonts w:ascii="Palatino Linotype" w:hAnsi="Palatino Linotype"/>
          <w:sz w:val="21"/>
          <w:szCs w:val="21"/>
        </w:rPr>
        <w:t>“</w:t>
      </w:r>
      <w:r w:rsidRPr="00E10347">
        <w:rPr>
          <w:rFonts w:ascii="Palatino Linotype" w:hAnsi="Palatino Linotype"/>
          <w:sz w:val="21"/>
          <w:szCs w:val="21"/>
          <w:lang w:val="es-MX"/>
        </w:rPr>
        <w:t>puro</w:t>
      </w:r>
      <w:r w:rsidRPr="00E10347">
        <w:rPr>
          <w:rFonts w:ascii="Palatino Linotype" w:hAnsi="Palatino Linotype"/>
          <w:sz w:val="21"/>
          <w:szCs w:val="21"/>
        </w:rPr>
        <w:t>”</w:t>
      </w:r>
      <w:r w:rsidRPr="00E10347">
        <w:rPr>
          <w:rFonts w:ascii="Palatino Linotype" w:hAnsi="Palatino Linotype"/>
          <w:sz w:val="21"/>
          <w:szCs w:val="21"/>
          <w:lang w:val="es-MX"/>
        </w:rPr>
        <w:t xml:space="preserve"> propio de un juez espectador sin iniciativa probatoria. En nuevo CPC del 2016 a pesar de “publicitarse” como inserto en un sistema acusatorio, tímidamente introdujo la prueba de oficio en el artículo 41.3 y la reforma laboral en los artículos 483 y  486 del </w:t>
      </w:r>
      <w:r w:rsidRPr="00E10347">
        <w:rPr>
          <w:rFonts w:ascii="Palatino Linotype" w:hAnsi="Palatino Linotype"/>
          <w:sz w:val="21"/>
          <w:szCs w:val="21"/>
          <w:lang w:val="es-MX"/>
        </w:rPr>
        <w:lastRenderedPageBreak/>
        <w:t>Código de Trabajo reformado en el 2016.</w:t>
      </w:r>
    </w:p>
    <w:p w:rsidR="002014CA" w:rsidRPr="00E10347" w:rsidRDefault="002014CA" w:rsidP="00E10347">
      <w:pPr>
        <w:jc w:val="both"/>
        <w:rPr>
          <w:rFonts w:ascii="Palatino Linotype" w:hAnsi="Palatino Linotype"/>
          <w:sz w:val="21"/>
          <w:szCs w:val="21"/>
          <w:lang w:val="es-MX"/>
        </w:rPr>
      </w:pPr>
      <w:r w:rsidRPr="00E10347">
        <w:rPr>
          <w:rFonts w:ascii="Palatino Linotype" w:hAnsi="Palatino Linotype"/>
          <w:sz w:val="21"/>
          <w:szCs w:val="21"/>
          <w:lang w:val="es-MX"/>
        </w:rPr>
        <w:tab/>
        <w:t>El fenómeno de publicización del proceso civil ha transformado esta visión de la figura del Juez civil, dejando de ser un títere de las partes y hacia un juzgador con mayores poderes para dirigir, conducir el proceso y medios para solicitar prueba a las partes de oficio.  Todo ello, empero, sin violentar el derecho de defensa y el principio de igualdad de las partes, como bien lo establece el artículo 5.6 y el 2.1. del NCPC.</w:t>
      </w:r>
    </w:p>
    <w:p w:rsidR="002014CA" w:rsidRPr="00E10347" w:rsidRDefault="002014CA" w:rsidP="00E10347">
      <w:pPr>
        <w:jc w:val="both"/>
        <w:rPr>
          <w:rFonts w:ascii="Palatino Linotype" w:hAnsi="Palatino Linotype"/>
          <w:sz w:val="21"/>
          <w:szCs w:val="21"/>
          <w:lang w:val="es-MX"/>
        </w:rPr>
      </w:pPr>
      <w:r w:rsidRPr="00E10347">
        <w:rPr>
          <w:rFonts w:ascii="Palatino Linotype" w:hAnsi="Palatino Linotype"/>
          <w:sz w:val="21"/>
          <w:szCs w:val="21"/>
          <w:lang w:val="es-MX"/>
        </w:rPr>
        <w:tab/>
        <w:t>La llamada verdad “formal” ya no existe en los procesos civiles y laborales modernos.</w:t>
      </w:r>
      <w:r w:rsidRPr="00E10347">
        <w:rPr>
          <w:rStyle w:val="Refdenotaalpie"/>
          <w:rFonts w:ascii="Palatino Linotype" w:hAnsi="Palatino Linotype"/>
          <w:sz w:val="21"/>
          <w:szCs w:val="21"/>
          <w:lang w:val="es-MX"/>
        </w:rPr>
        <w:footnoteReference w:id="47"/>
      </w:r>
      <w:r w:rsidRPr="00E10347">
        <w:rPr>
          <w:rFonts w:ascii="Palatino Linotype" w:hAnsi="Palatino Linotype"/>
          <w:sz w:val="21"/>
          <w:szCs w:val="21"/>
          <w:lang w:val="es-MX"/>
        </w:rPr>
        <w:t xml:space="preserve">  Antes, el ámbito de la prueba se le presentaba inalienable para el Juez, y debía abstenerse de intervenir tanto en el thema decidendum como en el thema probandum. Si bien se le han reconocido al juez civil mayores poderes en los códigos modernos, no se puede tener por abandonado el sistema dispositivo.  </w:t>
      </w:r>
    </w:p>
    <w:p w:rsidR="002014CA" w:rsidRPr="00E10347" w:rsidRDefault="002014CA" w:rsidP="00E10347">
      <w:pPr>
        <w:ind w:firstLine="720"/>
        <w:jc w:val="both"/>
        <w:rPr>
          <w:rFonts w:ascii="Palatino Linotype" w:hAnsi="Palatino Linotype"/>
          <w:sz w:val="21"/>
          <w:szCs w:val="21"/>
          <w:lang w:val="es-MX"/>
        </w:rPr>
      </w:pPr>
      <w:r w:rsidRPr="00E10347">
        <w:rPr>
          <w:rFonts w:ascii="Palatino Linotype" w:hAnsi="Palatino Linotype"/>
          <w:b/>
          <w:bCs/>
          <w:i/>
          <w:iCs/>
          <w:sz w:val="21"/>
          <w:szCs w:val="21"/>
          <w:lang w:val="es-MX"/>
        </w:rPr>
        <w:t>Couture</w:t>
      </w:r>
      <w:r w:rsidRPr="00E10347">
        <w:rPr>
          <w:rFonts w:ascii="Palatino Linotype" w:hAnsi="Palatino Linotype"/>
          <w:sz w:val="21"/>
          <w:szCs w:val="21"/>
          <w:lang w:val="es-MX"/>
        </w:rPr>
        <w:t xml:space="preserve"> describe brillantemente la situación del Juez en el sistema dispositivo puro en que se prevalecía la verdad formal sobre la real: </w:t>
      </w:r>
      <w:r w:rsidRPr="00E10347">
        <w:rPr>
          <w:rFonts w:ascii="Palatino Linotype" w:hAnsi="Palatino Linotype"/>
          <w:i/>
          <w:iCs/>
          <w:sz w:val="21"/>
          <w:szCs w:val="21"/>
        </w:rPr>
        <w:t>“</w:t>
      </w:r>
      <w:r w:rsidRPr="00E10347">
        <w:rPr>
          <w:rFonts w:ascii="Palatino Linotype" w:hAnsi="Palatino Linotype"/>
          <w:i/>
          <w:iCs/>
          <w:sz w:val="21"/>
          <w:szCs w:val="21"/>
          <w:lang w:val="es-MX"/>
        </w:rPr>
        <w:t xml:space="preserve">De esta circunstancia de que el actor y el demandado tengan el señorío (la disponibilidad y de aquí el nombre) de las afirmaciones y de las pruebas, surge el proceso civil de este tipo, el cual, se tramita con arreglo a una especie de verdad formal. Si el actor demandó por cien pesos y el demandado dice </w:t>
      </w:r>
      <w:r w:rsidRPr="00E10347">
        <w:rPr>
          <w:rFonts w:ascii="Palatino Linotype" w:hAnsi="Palatino Linotype"/>
          <w:i/>
          <w:iCs/>
          <w:sz w:val="21"/>
          <w:szCs w:val="21"/>
        </w:rPr>
        <w:t>“</w:t>
      </w:r>
      <w:r w:rsidRPr="00E10347">
        <w:rPr>
          <w:rFonts w:ascii="Palatino Linotype" w:hAnsi="Palatino Linotype"/>
          <w:i/>
          <w:iCs/>
          <w:sz w:val="21"/>
          <w:szCs w:val="21"/>
          <w:lang w:val="es-MX"/>
        </w:rPr>
        <w:t>los debo</w:t>
      </w:r>
      <w:r w:rsidRPr="00E10347">
        <w:rPr>
          <w:rFonts w:ascii="Palatino Linotype" w:hAnsi="Palatino Linotype"/>
          <w:i/>
          <w:iCs/>
          <w:sz w:val="21"/>
          <w:szCs w:val="21"/>
        </w:rPr>
        <w:t>”</w:t>
      </w:r>
      <w:r w:rsidRPr="00E10347">
        <w:rPr>
          <w:rFonts w:ascii="Palatino Linotype" w:hAnsi="Palatino Linotype"/>
          <w:i/>
          <w:iCs/>
          <w:sz w:val="21"/>
          <w:szCs w:val="21"/>
          <w:lang w:val="es-MX"/>
        </w:rPr>
        <w:t xml:space="preserve"> para el juez no hay más verdad que aquella de que se deben cien pesos.  Esto acontece fuere cual fuere la verdad real; aún cuando esta verdad real, contraria a la verdad formal, le conste al magistrado.  Para el principio dispositivo no vale el saber privado del juez porque según el aforismo, </w:t>
      </w:r>
      <w:r w:rsidRPr="00E10347">
        <w:rPr>
          <w:rFonts w:ascii="Palatino Linotype" w:hAnsi="Palatino Linotype"/>
          <w:i/>
          <w:iCs/>
          <w:sz w:val="21"/>
          <w:szCs w:val="21"/>
        </w:rPr>
        <w:t>“</w:t>
      </w:r>
      <w:r w:rsidRPr="00E10347">
        <w:rPr>
          <w:rFonts w:ascii="Palatino Linotype" w:hAnsi="Palatino Linotype"/>
          <w:i/>
          <w:iCs/>
          <w:sz w:val="21"/>
          <w:szCs w:val="21"/>
          <w:lang w:val="es-MX"/>
        </w:rPr>
        <w:t>lo que no está en el expediente no es de este mundo</w:t>
      </w:r>
      <w:r w:rsidRPr="00E10347">
        <w:rPr>
          <w:rFonts w:ascii="Palatino Linotype" w:hAnsi="Palatino Linotype"/>
          <w:i/>
          <w:iCs/>
          <w:sz w:val="21"/>
          <w:szCs w:val="21"/>
        </w:rPr>
        <w:t>”</w:t>
      </w:r>
      <w:r w:rsidRPr="00E10347">
        <w:rPr>
          <w:rFonts w:ascii="Palatino Linotype" w:hAnsi="Palatino Linotype"/>
          <w:i/>
          <w:iCs/>
          <w:sz w:val="21"/>
          <w:szCs w:val="21"/>
          <w:lang w:val="es-MX"/>
        </w:rPr>
        <w:t>.</w:t>
      </w:r>
      <w:r w:rsidRPr="00E10347">
        <w:rPr>
          <w:rFonts w:ascii="Palatino Linotype" w:hAnsi="Palatino Linotype"/>
          <w:sz w:val="21"/>
          <w:szCs w:val="21"/>
          <w:vertAlign w:val="superscript"/>
        </w:rPr>
        <w:footnoteReference w:id="48"/>
      </w:r>
      <w:r w:rsidRPr="00E10347">
        <w:rPr>
          <w:rFonts w:ascii="Palatino Linotype" w:hAnsi="Palatino Linotype"/>
          <w:i/>
          <w:iCs/>
          <w:sz w:val="21"/>
          <w:szCs w:val="21"/>
          <w:lang w:val="es-MX"/>
        </w:rPr>
        <w:t xml:space="preserve">  </w:t>
      </w:r>
      <w:r w:rsidRPr="00E10347">
        <w:rPr>
          <w:rFonts w:ascii="Palatino Linotype" w:hAnsi="Palatino Linotype"/>
          <w:sz w:val="21"/>
          <w:szCs w:val="21"/>
          <w:lang w:val="es-MX"/>
        </w:rPr>
        <w:t xml:space="preserve">Este concepto es el que podríamos denominar como </w:t>
      </w:r>
      <w:r w:rsidRPr="00E10347">
        <w:rPr>
          <w:rFonts w:ascii="Palatino Linotype" w:hAnsi="Palatino Linotype"/>
          <w:sz w:val="21"/>
          <w:szCs w:val="21"/>
        </w:rPr>
        <w:t>“</w:t>
      </w:r>
      <w:r w:rsidRPr="00E10347">
        <w:rPr>
          <w:rFonts w:ascii="Palatino Linotype" w:hAnsi="Palatino Linotype"/>
          <w:sz w:val="21"/>
          <w:szCs w:val="21"/>
          <w:lang w:val="es-MX"/>
        </w:rPr>
        <w:t>verdad formal</w:t>
      </w:r>
      <w:r w:rsidRPr="00E10347">
        <w:rPr>
          <w:rFonts w:ascii="Palatino Linotype" w:hAnsi="Palatino Linotype"/>
          <w:sz w:val="21"/>
          <w:szCs w:val="21"/>
        </w:rPr>
        <w:t>”</w:t>
      </w:r>
      <w:r w:rsidRPr="00E10347">
        <w:rPr>
          <w:rFonts w:ascii="Palatino Linotype" w:hAnsi="Palatino Linotype"/>
          <w:sz w:val="21"/>
          <w:szCs w:val="21"/>
          <w:lang w:val="es-MX"/>
        </w:rPr>
        <w:t xml:space="preserve">, también llamada como la </w:t>
      </w:r>
      <w:r w:rsidRPr="00E10347">
        <w:rPr>
          <w:rFonts w:ascii="Palatino Linotype" w:hAnsi="Palatino Linotype"/>
          <w:sz w:val="21"/>
          <w:szCs w:val="21"/>
        </w:rPr>
        <w:t>“</w:t>
      </w:r>
      <w:r w:rsidRPr="00E10347">
        <w:rPr>
          <w:rFonts w:ascii="Palatino Linotype" w:hAnsi="Palatino Linotype"/>
          <w:sz w:val="21"/>
          <w:szCs w:val="21"/>
          <w:lang w:val="es-MX"/>
        </w:rPr>
        <w:t>verdad judicial</w:t>
      </w:r>
      <w:r w:rsidRPr="00E10347">
        <w:rPr>
          <w:rFonts w:ascii="Palatino Linotype" w:hAnsi="Palatino Linotype"/>
          <w:sz w:val="21"/>
          <w:szCs w:val="21"/>
        </w:rPr>
        <w:t>“</w:t>
      </w:r>
      <w:r w:rsidRPr="00E10347">
        <w:rPr>
          <w:rFonts w:ascii="Palatino Linotype" w:hAnsi="Palatino Linotype"/>
          <w:sz w:val="21"/>
          <w:szCs w:val="21"/>
          <w:lang w:val="es-MX"/>
        </w:rPr>
        <w:t>, término no recomendado por la mayoría de la doctrina, aunque son aceptados como sinónimos.</w:t>
      </w:r>
      <w:r w:rsidRPr="00E10347">
        <w:rPr>
          <w:rFonts w:ascii="Palatino Linotype" w:hAnsi="Palatino Linotype"/>
          <w:sz w:val="21"/>
          <w:szCs w:val="21"/>
          <w:vertAlign w:val="superscript"/>
        </w:rPr>
        <w:footnoteReference w:id="49"/>
      </w:r>
    </w:p>
    <w:p w:rsidR="002014CA" w:rsidRPr="00E10347" w:rsidRDefault="002014CA" w:rsidP="00E10347">
      <w:pPr>
        <w:jc w:val="both"/>
        <w:rPr>
          <w:rFonts w:ascii="Palatino Linotype" w:hAnsi="Palatino Linotype"/>
          <w:sz w:val="21"/>
          <w:szCs w:val="21"/>
          <w:lang w:val="es-MX"/>
        </w:rPr>
      </w:pPr>
      <w:r w:rsidRPr="00E10347">
        <w:rPr>
          <w:rFonts w:ascii="Palatino Linotype" w:hAnsi="Palatino Linotype"/>
          <w:sz w:val="21"/>
          <w:szCs w:val="21"/>
          <w:lang w:val="es-MX"/>
        </w:rPr>
        <w:tab/>
        <w:t>Consideramos que quizás si bien difícilmente un Juez podrá llegar a la verdad real en todos los casos, -</w:t>
      </w:r>
      <w:r w:rsidR="002A76CC">
        <w:rPr>
          <w:rFonts w:ascii="Palatino Linotype" w:hAnsi="Palatino Linotype"/>
          <w:sz w:val="21"/>
          <w:szCs w:val="21"/>
          <w:lang w:val="es-MX"/>
        </w:rPr>
        <w:t xml:space="preserve">solo </w:t>
      </w:r>
      <w:r w:rsidRPr="00E10347">
        <w:rPr>
          <w:rFonts w:ascii="Palatino Linotype" w:hAnsi="Palatino Linotype"/>
          <w:sz w:val="21"/>
          <w:szCs w:val="21"/>
          <w:lang w:val="es-MX"/>
        </w:rPr>
        <w:t xml:space="preserve">Dios puede conocer la verdad total de un asunto-, la posición del principio dispositivo </w:t>
      </w:r>
      <w:r w:rsidRPr="00E10347">
        <w:rPr>
          <w:rFonts w:ascii="Palatino Linotype" w:hAnsi="Palatino Linotype"/>
          <w:sz w:val="21"/>
          <w:szCs w:val="21"/>
        </w:rPr>
        <w:t>“</w:t>
      </w:r>
      <w:r w:rsidRPr="00E10347">
        <w:rPr>
          <w:rFonts w:ascii="Palatino Linotype" w:hAnsi="Palatino Linotype"/>
          <w:sz w:val="21"/>
          <w:szCs w:val="21"/>
          <w:lang w:val="es-MX"/>
        </w:rPr>
        <w:t>puro</w:t>
      </w:r>
      <w:r w:rsidRPr="00E10347">
        <w:rPr>
          <w:rFonts w:ascii="Palatino Linotype" w:hAnsi="Palatino Linotype"/>
          <w:sz w:val="21"/>
          <w:szCs w:val="21"/>
        </w:rPr>
        <w:t>”</w:t>
      </w:r>
      <w:r w:rsidRPr="00E10347">
        <w:rPr>
          <w:rFonts w:ascii="Palatino Linotype" w:hAnsi="Palatino Linotype"/>
          <w:sz w:val="21"/>
          <w:szCs w:val="21"/>
          <w:lang w:val="es-MX"/>
        </w:rPr>
        <w:t>, promovida por la doctrina del garantismo procesal -y descrito brillantemente por Couture-,   es extremista pues a nuestro concepto, desnaturaliza un proceso jurisdiccional y la lógica</w:t>
      </w:r>
      <w:r w:rsidRPr="00E10347">
        <w:rPr>
          <w:rFonts w:ascii="Palatino Linotype" w:hAnsi="Palatino Linotype"/>
          <w:sz w:val="21"/>
          <w:szCs w:val="21"/>
          <w:vertAlign w:val="superscript"/>
        </w:rPr>
        <w:footnoteReference w:id="50"/>
      </w:r>
      <w:r w:rsidRPr="00E10347">
        <w:rPr>
          <w:rFonts w:ascii="Palatino Linotype" w:hAnsi="Palatino Linotype"/>
          <w:sz w:val="21"/>
          <w:szCs w:val="21"/>
          <w:lang w:val="es-MX"/>
        </w:rPr>
        <w:t xml:space="preserve"> con la que ha </w:t>
      </w:r>
      <w:r w:rsidRPr="00E10347">
        <w:rPr>
          <w:rFonts w:ascii="Palatino Linotype" w:hAnsi="Palatino Linotype"/>
          <w:sz w:val="21"/>
          <w:szCs w:val="21"/>
          <w:lang w:val="es-MX"/>
        </w:rPr>
        <w:lastRenderedPageBreak/>
        <w:t xml:space="preserve">sido creado, si hablamos de derecho y justicia, se entiende que los conflictos jurídicos se dirimen con base en una verdad real, y no por meras apariencias.  </w:t>
      </w:r>
    </w:p>
    <w:p w:rsidR="002014CA" w:rsidRPr="00E10347" w:rsidRDefault="002014CA" w:rsidP="00E10347">
      <w:pPr>
        <w:jc w:val="both"/>
        <w:rPr>
          <w:rFonts w:ascii="Palatino Linotype" w:hAnsi="Palatino Linotype"/>
          <w:sz w:val="21"/>
          <w:szCs w:val="21"/>
          <w:lang w:val="es-MX"/>
        </w:rPr>
      </w:pPr>
      <w:r w:rsidRPr="00E10347">
        <w:rPr>
          <w:rFonts w:ascii="Palatino Linotype" w:hAnsi="Palatino Linotype"/>
          <w:sz w:val="21"/>
          <w:szCs w:val="21"/>
          <w:lang w:val="es-MX"/>
        </w:rPr>
        <w:tab/>
        <w:t xml:space="preserve">Para este sector de opinión, el Juez no es </w:t>
      </w:r>
      <w:r w:rsidR="002A76CC">
        <w:rPr>
          <w:rFonts w:ascii="Palatino Linotype" w:hAnsi="Palatino Linotype"/>
          <w:sz w:val="21"/>
          <w:szCs w:val="21"/>
          <w:lang w:val="es-MX"/>
        </w:rPr>
        <w:t xml:space="preserve">solo </w:t>
      </w:r>
      <w:r w:rsidRPr="00E10347">
        <w:rPr>
          <w:rFonts w:ascii="Palatino Linotype" w:hAnsi="Palatino Linotype"/>
          <w:sz w:val="21"/>
          <w:szCs w:val="21"/>
          <w:lang w:val="es-MX"/>
        </w:rPr>
        <w:t xml:space="preserve">un verificador, sino también tiene derecho a estar claro en su decisión, ya que, para fallar un caso, debe por lo menos llegar a un estado de certeza mínima para aplicar el derecho y si no ha llegado a ella </w:t>
      </w:r>
      <w:r w:rsidRPr="00E10347">
        <w:rPr>
          <w:rFonts w:ascii="Palatino Linotype" w:hAnsi="Palatino Linotype"/>
          <w:i/>
          <w:iCs/>
          <w:sz w:val="21"/>
          <w:szCs w:val="21"/>
          <w:lang w:val="es-MX"/>
        </w:rPr>
        <w:t>(non liquet)</w:t>
      </w:r>
      <w:r w:rsidRPr="00E10347">
        <w:rPr>
          <w:rFonts w:ascii="Palatino Linotype" w:hAnsi="Palatino Linotype"/>
          <w:sz w:val="21"/>
          <w:szCs w:val="21"/>
          <w:lang w:val="es-MX"/>
        </w:rPr>
        <w:t>, y tiene la posibilidad de averiguar esa verdad por medios lícitos sin perder su imparcialidad, sin violentar el derecho fundamental de defensa y la garantía constitucional de igualdad de los litigantes, ni subsanar la negligencia probatoria de alguno de ellos (o incluso ambos).</w:t>
      </w:r>
      <w:r w:rsidRPr="00E10347">
        <w:rPr>
          <w:rStyle w:val="Refdenotaalpie"/>
          <w:rFonts w:ascii="Palatino Linotype" w:hAnsi="Palatino Linotype"/>
          <w:sz w:val="21"/>
          <w:szCs w:val="21"/>
          <w:lang w:val="es-MX"/>
        </w:rPr>
        <w:footnoteReference w:id="51"/>
      </w:r>
      <w:r w:rsidRPr="00E10347">
        <w:rPr>
          <w:rFonts w:ascii="Palatino Linotype" w:hAnsi="Palatino Linotype"/>
          <w:sz w:val="21"/>
          <w:szCs w:val="21"/>
          <w:lang w:val="es-MX"/>
        </w:rPr>
        <w:t xml:space="preserve">  Debería, al menos, decidir la contienda con la tranquilidad de que, si bien no puede afirmar haber llegado a esa verdad, sí intentó llegar a ella.  Es ahí donde sí entran a regir las reglas de la carga de la prueba.  </w:t>
      </w:r>
      <w:r w:rsidRPr="00E10347">
        <w:rPr>
          <w:rFonts w:ascii="Palatino Linotype" w:hAnsi="Palatino Linotype"/>
          <w:sz w:val="21"/>
          <w:szCs w:val="21"/>
        </w:rPr>
        <w:t>Estas reglas varían en materia laboral, pero en civil y agrario también pueden trasladarse al demandado en ciertos casos, por ejemplo, cuando debe probar las mejoras en una liquidación de estado posesorio, carga que no puede exigírsele al actor ganancioso de una acción reivindicatoria, aún cuando se le haya otorgado derecho de retención al demandado, quien, perdidoso, dilata la fase de ejecución incurriendo en negligencia probatoria.</w:t>
      </w:r>
      <w:r w:rsidRPr="00E10347">
        <w:rPr>
          <w:rStyle w:val="Refdenotaalpie"/>
          <w:rFonts w:ascii="Palatino Linotype" w:hAnsi="Palatino Linotype"/>
          <w:sz w:val="21"/>
          <w:szCs w:val="21"/>
          <w:lang w:val="es-MX"/>
        </w:rPr>
        <w:footnoteReference w:id="52"/>
      </w:r>
      <w:r w:rsidRPr="00E10347">
        <w:rPr>
          <w:rFonts w:ascii="Palatino Linotype" w:hAnsi="Palatino Linotype"/>
          <w:sz w:val="21"/>
          <w:szCs w:val="21"/>
        </w:rPr>
        <w:t xml:space="preserve">  Lo anterior no se aparta del espíritu del 41.1 NCPC que sigue la teoría de Rosemberg, en el sentido de que cada parte debe probar los presupuestos fácticos de su pretensión o su excepción.</w:t>
      </w:r>
    </w:p>
    <w:p w:rsidR="002014CA" w:rsidRPr="00E10347" w:rsidRDefault="002014CA" w:rsidP="00E10347">
      <w:pPr>
        <w:jc w:val="both"/>
        <w:rPr>
          <w:rFonts w:ascii="Palatino Linotype" w:hAnsi="Palatino Linotype"/>
          <w:sz w:val="21"/>
          <w:szCs w:val="21"/>
        </w:rPr>
      </w:pPr>
      <w:r w:rsidRPr="00E10347">
        <w:rPr>
          <w:rFonts w:ascii="Palatino Linotype" w:hAnsi="Palatino Linotype"/>
          <w:sz w:val="21"/>
          <w:szCs w:val="21"/>
          <w:lang w:val="es-MX"/>
        </w:rPr>
        <w:tab/>
      </w:r>
      <w:r w:rsidRPr="00E10347">
        <w:rPr>
          <w:rFonts w:ascii="Palatino Linotype" w:hAnsi="Palatino Linotype"/>
          <w:sz w:val="21"/>
          <w:szCs w:val="21"/>
        </w:rPr>
        <w:t>Cabe cuestionarse: ¿cuando hablamos de certeza nos referimos a la verdad real?...  ¿Podría algún Juez afirmar, sin temor a equivocarse, que ha llegado a la verdad real -incuestionable, nítida, infalible, absoluta- de los asuntos que le han sido puestos en conocimiento?... Consideramos que la certeza o convencimiento del Juez y verdad real son dos cosas distintas. El Juez, como ser humano que juzga a seres humanos como él, no es omnisapiente y no se le puede obligar a llegar a la verdad absoluta de los hechos en todos los casos.</w:t>
      </w:r>
      <w:r w:rsidRPr="00E10347">
        <w:rPr>
          <w:rFonts w:ascii="Palatino Linotype" w:hAnsi="Palatino Linotype"/>
          <w:sz w:val="21"/>
          <w:szCs w:val="21"/>
          <w:vertAlign w:val="superscript"/>
        </w:rPr>
        <w:footnoteReference w:id="53"/>
      </w:r>
      <w:r w:rsidRPr="00E10347">
        <w:rPr>
          <w:rFonts w:ascii="Palatino Linotype" w:hAnsi="Palatino Linotype"/>
          <w:sz w:val="21"/>
          <w:szCs w:val="21"/>
        </w:rPr>
        <w:t xml:space="preserve"> Esa verdad, en muchos de los casos, puede ser inalcanzable, aún para el Juez más extremista en sus disposiciones de oficio. </w:t>
      </w:r>
    </w:p>
    <w:p w:rsidR="002014CA" w:rsidRPr="00E10347" w:rsidRDefault="002014CA" w:rsidP="00E10347">
      <w:pPr>
        <w:jc w:val="both"/>
        <w:rPr>
          <w:rFonts w:ascii="Palatino Linotype" w:hAnsi="Palatino Linotype"/>
          <w:sz w:val="21"/>
          <w:szCs w:val="21"/>
        </w:rPr>
      </w:pPr>
      <w:r w:rsidRPr="00E10347">
        <w:rPr>
          <w:rFonts w:ascii="Palatino Linotype" w:hAnsi="Palatino Linotype"/>
          <w:sz w:val="21"/>
          <w:szCs w:val="21"/>
        </w:rPr>
        <w:lastRenderedPageBreak/>
        <w:tab/>
        <w:t xml:space="preserve">Pero creemos que así como pretender un Juez omnisapiente, omnipresente -casi como si fuese Dios-  es inconcebible en una actividad humana como el proceso, este planteamiento no debe ser excusa de un juez espectador, que no le interesa resolver, por lo menos, bajo mínimos de verdad, más allá de la que le presentan las partes. </w:t>
      </w:r>
    </w:p>
    <w:p w:rsidR="002014CA" w:rsidRPr="00E10347" w:rsidRDefault="002014CA" w:rsidP="00E10347">
      <w:pPr>
        <w:ind w:firstLine="720"/>
        <w:jc w:val="both"/>
        <w:rPr>
          <w:rFonts w:ascii="Palatino Linotype" w:hAnsi="Palatino Linotype"/>
          <w:sz w:val="21"/>
          <w:szCs w:val="21"/>
        </w:rPr>
      </w:pPr>
      <w:r w:rsidRPr="00E10347">
        <w:rPr>
          <w:rFonts w:ascii="Palatino Linotype" w:hAnsi="Palatino Linotype"/>
          <w:sz w:val="21"/>
          <w:szCs w:val="21"/>
        </w:rPr>
        <w:t>El Juez debe procurar haber llegado a la verdad, o al menos, a lo más próximo a ella.</w:t>
      </w:r>
      <w:r w:rsidRPr="00E10347">
        <w:rPr>
          <w:rFonts w:ascii="Palatino Linotype" w:hAnsi="Palatino Linotype"/>
          <w:sz w:val="21"/>
          <w:szCs w:val="21"/>
          <w:vertAlign w:val="superscript"/>
        </w:rPr>
        <w:footnoteReference w:id="54"/>
      </w:r>
      <w:r w:rsidRPr="00E10347">
        <w:rPr>
          <w:rFonts w:ascii="Palatino Linotype" w:hAnsi="Palatino Linotype"/>
          <w:sz w:val="21"/>
          <w:szCs w:val="21"/>
        </w:rPr>
        <w:t xml:space="preserve"> La palabra “sentencia” proviene, según Calamandrei, del “sentimiento” del Juez.  Si bien la verdad real no puede ser entendida como un estado absoluto  de conocimiento del Juez, debe entenderse como una aproximación a ésta.</w:t>
      </w:r>
      <w:r w:rsidRPr="00E10347">
        <w:rPr>
          <w:rStyle w:val="Refdenotaalpie"/>
          <w:rFonts w:ascii="Palatino Linotype" w:hAnsi="Palatino Linotype"/>
          <w:sz w:val="21"/>
          <w:szCs w:val="21"/>
        </w:rPr>
        <w:footnoteReference w:id="55"/>
      </w:r>
      <w:r w:rsidRPr="00E10347">
        <w:rPr>
          <w:rFonts w:ascii="Palatino Linotype" w:hAnsi="Palatino Linotype"/>
          <w:sz w:val="21"/>
          <w:szCs w:val="21"/>
        </w:rPr>
        <w:t xml:space="preserve"> </w:t>
      </w:r>
    </w:p>
    <w:p w:rsidR="002014CA" w:rsidRPr="00E10347" w:rsidRDefault="002014CA" w:rsidP="00E10347">
      <w:pPr>
        <w:jc w:val="both"/>
        <w:rPr>
          <w:rFonts w:ascii="Palatino Linotype" w:hAnsi="Palatino Linotype"/>
          <w:sz w:val="21"/>
          <w:szCs w:val="21"/>
        </w:rPr>
      </w:pPr>
      <w:r w:rsidRPr="00E10347">
        <w:rPr>
          <w:rFonts w:ascii="Palatino Linotype" w:hAnsi="Palatino Linotype"/>
          <w:sz w:val="21"/>
          <w:szCs w:val="21"/>
        </w:rPr>
        <w:tab/>
        <w:t>Pero la búsqueda de la verdad real tiene límites. Esos límites los hemos visto en la parte general de la presente obra, y radican en el derecho de defensa de las partes.  Un juez maquiavélico, que se cree dueño de la verdad absoluta, no tiene cabida en un régimen democrático y en dicha crítica creemos que la teoría del garantismo procesal sí tiene suficiente fundamento. El juez no puede rebasar el thema decidendum que le delimitan las partes en la demanda, contestación, reconvención, réplica y dúplica. Salvo casos de fraude procesal, o situaciones en que la actuación procesal de las partes afecte intereses públicos,</w:t>
      </w:r>
      <w:r w:rsidRPr="00E10347">
        <w:rPr>
          <w:rStyle w:val="Refdenotaalpie"/>
          <w:rFonts w:ascii="Palatino Linotype" w:hAnsi="Palatino Linotype"/>
          <w:sz w:val="21"/>
          <w:szCs w:val="21"/>
        </w:rPr>
        <w:footnoteReference w:id="56"/>
      </w:r>
      <w:r w:rsidRPr="00E10347">
        <w:rPr>
          <w:rFonts w:ascii="Palatino Linotype" w:hAnsi="Palatino Linotype"/>
          <w:sz w:val="21"/>
          <w:szCs w:val="21"/>
        </w:rPr>
        <w:t xml:space="preserve"> los hechos y alegaciones que son objeto de prueba deben haber sido afirmados por las partes y creemos que ese límite debe ser respetado por el Juez, sin necesariamente estar </w:t>
      </w:r>
      <w:r w:rsidRPr="00E10347">
        <w:rPr>
          <w:rFonts w:ascii="Palatino Linotype" w:hAnsi="Palatino Linotype"/>
          <w:i/>
          <w:iCs/>
          <w:sz w:val="21"/>
          <w:szCs w:val="21"/>
        </w:rPr>
        <w:t>“trágicamente condenado a resolver secundum allegata et probata partium“</w:t>
      </w:r>
      <w:r w:rsidRPr="00E10347">
        <w:rPr>
          <w:rFonts w:ascii="Palatino Linotype" w:hAnsi="Palatino Linotype"/>
          <w:sz w:val="21"/>
          <w:szCs w:val="21"/>
        </w:rPr>
        <w:t>.</w:t>
      </w:r>
      <w:r w:rsidRPr="00E10347">
        <w:rPr>
          <w:rFonts w:ascii="Palatino Linotype" w:hAnsi="Palatino Linotype"/>
          <w:sz w:val="21"/>
          <w:szCs w:val="21"/>
          <w:vertAlign w:val="superscript"/>
        </w:rPr>
        <w:footnoteReference w:id="57"/>
      </w:r>
      <w:r w:rsidRPr="00E10347">
        <w:rPr>
          <w:rFonts w:ascii="Palatino Linotype" w:hAnsi="Palatino Linotype"/>
          <w:sz w:val="21"/>
          <w:szCs w:val="21"/>
        </w:rPr>
        <w:t xml:space="preserve"> </w:t>
      </w:r>
    </w:p>
    <w:p w:rsidR="002014CA" w:rsidRPr="00E10347" w:rsidRDefault="002014CA" w:rsidP="00E10347">
      <w:pPr>
        <w:jc w:val="both"/>
        <w:rPr>
          <w:rFonts w:ascii="Palatino Linotype" w:hAnsi="Palatino Linotype"/>
          <w:sz w:val="21"/>
          <w:szCs w:val="21"/>
        </w:rPr>
      </w:pPr>
      <w:r w:rsidRPr="00E10347">
        <w:rPr>
          <w:rFonts w:ascii="Palatino Linotype" w:hAnsi="Palatino Linotype"/>
          <w:sz w:val="21"/>
          <w:szCs w:val="21"/>
        </w:rPr>
        <w:tab/>
        <w:t xml:space="preserve">Consideramos que la diferencia entre la llamada verdad y la certeza (viéndolo en el convencimiento del Juez como producto de la actividad probatoria </w:t>
      </w:r>
      <w:r w:rsidRPr="00E10347">
        <w:rPr>
          <w:rFonts w:ascii="Palatino Linotype" w:hAnsi="Palatino Linotype"/>
          <w:sz w:val="21"/>
          <w:szCs w:val="21"/>
        </w:rPr>
        <w:lastRenderedPageBreak/>
        <w:t xml:space="preserve">procesal) radica en aquello que es empíricamente comprobable, cuya mayor o menor probabilidad de cierto, radica más en aquello que pueda calificarse como verdadero que en lo que podamos valorar como falso o al menos no probado. Esto por cuanto creemos que un Juez no podría fallar sustentado en hechos cuya falsedad sea sospechosa, pero sí puede resolver en hechos cuya veracidad le sea confiable de acuerdo con la prueba practicada.  Es, en una sola palabra, un conocimiento relativo de las cosas, o dicho en otras palabras </w:t>
      </w:r>
      <w:r w:rsidRPr="00E10347">
        <w:rPr>
          <w:rFonts w:ascii="Palatino Linotype" w:hAnsi="Palatino Linotype"/>
          <w:i/>
          <w:iCs/>
          <w:sz w:val="21"/>
          <w:szCs w:val="21"/>
        </w:rPr>
        <w:t>“una posibilidad de grado más o menos elevado de que el hecho haya ocurrido”</w:t>
      </w:r>
      <w:r w:rsidRPr="00E10347">
        <w:rPr>
          <w:rFonts w:ascii="Palatino Linotype" w:hAnsi="Palatino Linotype"/>
          <w:sz w:val="21"/>
          <w:szCs w:val="21"/>
        </w:rPr>
        <w:t>.</w:t>
      </w:r>
      <w:r w:rsidRPr="00E10347">
        <w:rPr>
          <w:rFonts w:ascii="Palatino Linotype" w:hAnsi="Palatino Linotype"/>
          <w:sz w:val="21"/>
          <w:szCs w:val="21"/>
          <w:vertAlign w:val="superscript"/>
        </w:rPr>
        <w:footnoteReference w:id="58"/>
      </w:r>
    </w:p>
    <w:p w:rsidR="002014CA" w:rsidRPr="00E10347" w:rsidRDefault="002014CA" w:rsidP="00E10347">
      <w:pPr>
        <w:jc w:val="both"/>
        <w:rPr>
          <w:rFonts w:ascii="Palatino Linotype" w:hAnsi="Palatino Linotype"/>
          <w:sz w:val="21"/>
          <w:szCs w:val="21"/>
        </w:rPr>
      </w:pPr>
      <w:r w:rsidRPr="00E10347">
        <w:rPr>
          <w:rFonts w:ascii="Palatino Linotype" w:hAnsi="Palatino Linotype"/>
          <w:sz w:val="21"/>
          <w:szCs w:val="21"/>
        </w:rPr>
        <w:tab/>
        <w:t>Nos atrevemos a afirmar que si bien, en tesis de principio, el juez no investiga ni averigua, sino que verifica las afirmacio</w:t>
      </w:r>
      <w:r w:rsidRPr="00E10347">
        <w:rPr>
          <w:rFonts w:ascii="Palatino Linotype" w:hAnsi="Palatino Linotype"/>
          <w:sz w:val="21"/>
          <w:szCs w:val="21"/>
        </w:rPr>
        <w:softHyphen/>
        <w:t>nes de los litigantes, puede sin embargo, si tiene una duda razonable que no afecte el interés y la igualdad de las partes, perfectamente dejar de ser ese verificador para investigar precisamente, con el fin de aclarar las dudas que le impiden, en determinado momento, dictar sentencia; pero respetando los límites señalados.  Si las partes tienen limitaciones en su derecho de probar, ¿por qué el Juez no ha de tener presupuestos para garantizar que, si ordena una prueba realmente lo esté haciendo para estar claro en el cuadro fáctico, aproximarse a esa verdad sin romper la igualdad de las partes?...  De todos modos, si el Juez considera que es imprescindible solicitar una prueba de oficio, es precisamente dicha ordenanza un producto de un estudio previo.</w:t>
      </w:r>
      <w:r w:rsidRPr="00E10347">
        <w:rPr>
          <w:rFonts w:ascii="Palatino Linotype" w:hAnsi="Palatino Linotype"/>
          <w:sz w:val="21"/>
          <w:szCs w:val="21"/>
          <w:vertAlign w:val="superscript"/>
        </w:rPr>
        <w:footnoteReference w:id="59"/>
      </w:r>
      <w:r w:rsidRPr="00E10347">
        <w:rPr>
          <w:rFonts w:ascii="Palatino Linotype" w:hAnsi="Palatino Linotype"/>
          <w:sz w:val="21"/>
          <w:szCs w:val="21"/>
        </w:rPr>
        <w:t xml:space="preserve">   </w:t>
      </w:r>
    </w:p>
    <w:p w:rsidR="002014CA" w:rsidRPr="00E10347" w:rsidRDefault="002014CA" w:rsidP="00E10347">
      <w:pPr>
        <w:jc w:val="both"/>
        <w:rPr>
          <w:rFonts w:ascii="Palatino Linotype" w:hAnsi="Palatino Linotype"/>
          <w:sz w:val="21"/>
          <w:szCs w:val="21"/>
        </w:rPr>
      </w:pPr>
      <w:r w:rsidRPr="00E10347">
        <w:rPr>
          <w:rFonts w:ascii="Palatino Linotype" w:hAnsi="Palatino Linotype"/>
          <w:sz w:val="21"/>
          <w:szCs w:val="21"/>
        </w:rPr>
        <w:tab/>
        <w:t>Lo anterior resulta trascendental, pues consideramos que el uso de estas potestades de oficio, debe tener limitaciones hagan su uso excepcional, puesto que la práctica judicial ha arrojado innumerables experiencias de pruebas oficiosas cuya utilidad e idoneidad es nula, como una especie de mecanismo legal -disfuncional en todo el sentido de la palabra- para dilatar el dictado de la sentencia definitiva.</w:t>
      </w:r>
    </w:p>
    <w:p w:rsidR="009A5379" w:rsidRDefault="009A5379" w:rsidP="00E10347">
      <w:pPr>
        <w:jc w:val="both"/>
        <w:rPr>
          <w:rFonts w:ascii="Palatino Linotype" w:hAnsi="Palatino Linotype"/>
          <w:b/>
          <w:bCs/>
          <w:sz w:val="21"/>
          <w:szCs w:val="21"/>
        </w:rPr>
      </w:pPr>
    </w:p>
    <w:p w:rsidR="002014CA" w:rsidRPr="00E10347" w:rsidRDefault="002014CA" w:rsidP="00E10347">
      <w:pPr>
        <w:jc w:val="both"/>
        <w:rPr>
          <w:rFonts w:ascii="Palatino Linotype" w:hAnsi="Palatino Linotype"/>
          <w:b/>
          <w:bCs/>
          <w:sz w:val="21"/>
          <w:szCs w:val="21"/>
        </w:rPr>
      </w:pPr>
      <w:r w:rsidRPr="00E10347">
        <w:rPr>
          <w:rFonts w:ascii="Palatino Linotype" w:hAnsi="Palatino Linotype"/>
          <w:b/>
          <w:bCs/>
          <w:sz w:val="21"/>
          <w:szCs w:val="21"/>
        </w:rPr>
        <w:t>5.- Nuestra Teoría de Aplicación de Prueba Oficiosa</w:t>
      </w:r>
    </w:p>
    <w:p w:rsidR="002014CA" w:rsidRPr="00E10347" w:rsidRDefault="002014CA" w:rsidP="00E10347">
      <w:pPr>
        <w:jc w:val="both"/>
        <w:rPr>
          <w:rFonts w:ascii="Palatino Linotype" w:hAnsi="Palatino Linotype"/>
          <w:sz w:val="21"/>
          <w:szCs w:val="21"/>
        </w:rPr>
      </w:pPr>
      <w:r w:rsidRPr="00E10347">
        <w:rPr>
          <w:rFonts w:ascii="Palatino Linotype" w:hAnsi="Palatino Linotype"/>
          <w:sz w:val="21"/>
          <w:szCs w:val="21"/>
        </w:rPr>
        <w:tab/>
        <w:t xml:space="preserve">Luego de analizar exhaustivamente los postulados de los sistemas dispositivo e inquisitivo, sus corrientes y la teoría de los poderes del juez, esbozamos nuestra teoría o criterio sobre la prueba oficiosa del Juez. Lo sintetizamos </w:t>
      </w:r>
      <w:r w:rsidRPr="00E10347">
        <w:rPr>
          <w:rFonts w:ascii="Palatino Linotype" w:hAnsi="Palatino Linotype"/>
          <w:sz w:val="21"/>
          <w:szCs w:val="21"/>
        </w:rPr>
        <w:lastRenderedPageBreak/>
        <w:t>de la siguiente forma:</w:t>
      </w:r>
    </w:p>
    <w:p w:rsidR="009A5379" w:rsidRDefault="009A5379" w:rsidP="00E10347">
      <w:pPr>
        <w:jc w:val="both"/>
        <w:rPr>
          <w:rFonts w:ascii="Palatino Linotype" w:hAnsi="Palatino Linotype"/>
          <w:b/>
          <w:bCs/>
          <w:sz w:val="21"/>
          <w:szCs w:val="21"/>
        </w:rPr>
      </w:pPr>
    </w:p>
    <w:p w:rsidR="002014CA" w:rsidRPr="00E10347" w:rsidRDefault="003F3E60" w:rsidP="00E10347">
      <w:pPr>
        <w:jc w:val="both"/>
        <w:rPr>
          <w:rFonts w:ascii="Palatino Linotype" w:hAnsi="Palatino Linotype"/>
          <w:b/>
          <w:bCs/>
          <w:sz w:val="21"/>
          <w:szCs w:val="21"/>
          <w:lang w:val="es-MX"/>
        </w:rPr>
      </w:pPr>
      <w:r w:rsidRPr="00E10347">
        <w:rPr>
          <w:rFonts w:ascii="Palatino Linotype" w:hAnsi="Palatino Linotype"/>
          <w:b/>
          <w:bCs/>
          <w:sz w:val="21"/>
          <w:szCs w:val="21"/>
        </w:rPr>
        <w:t>a</w:t>
      </w:r>
      <w:r w:rsidR="002014CA" w:rsidRPr="00E10347">
        <w:rPr>
          <w:rFonts w:ascii="Palatino Linotype" w:hAnsi="Palatino Linotype"/>
          <w:b/>
          <w:bCs/>
          <w:sz w:val="21"/>
          <w:szCs w:val="21"/>
          <w:lang w:val="es-MX"/>
        </w:rPr>
        <w:t xml:space="preserve">.-   La Verdad Jurídica Objetiva es la </w:t>
      </w:r>
      <w:r w:rsidR="002014CA" w:rsidRPr="00076AF8">
        <w:rPr>
          <w:rFonts w:ascii="Palatino Linotype" w:hAnsi="Palatino Linotype"/>
          <w:b/>
          <w:bCs/>
          <w:i/>
          <w:sz w:val="21"/>
          <w:szCs w:val="21"/>
          <w:lang w:val="es-MX"/>
        </w:rPr>
        <w:t>ratio legis</w:t>
      </w:r>
      <w:r w:rsidR="002014CA" w:rsidRPr="00E10347">
        <w:rPr>
          <w:rFonts w:ascii="Palatino Linotype" w:hAnsi="Palatino Linotype"/>
          <w:b/>
          <w:bCs/>
          <w:sz w:val="21"/>
          <w:szCs w:val="21"/>
          <w:lang w:val="es-MX"/>
        </w:rPr>
        <w:t xml:space="preserve"> de la prueba de oficio:</w:t>
      </w:r>
    </w:p>
    <w:p w:rsidR="002014CA" w:rsidRPr="00E10347" w:rsidRDefault="002014CA" w:rsidP="00E10347">
      <w:pPr>
        <w:ind w:firstLine="720"/>
        <w:jc w:val="both"/>
        <w:rPr>
          <w:rFonts w:ascii="Palatino Linotype" w:hAnsi="Palatino Linotype"/>
          <w:sz w:val="21"/>
          <w:szCs w:val="21"/>
          <w:lang w:val="es-MX"/>
        </w:rPr>
      </w:pPr>
      <w:r w:rsidRPr="00E10347">
        <w:rPr>
          <w:rFonts w:ascii="Palatino Linotype" w:hAnsi="Palatino Linotype"/>
          <w:sz w:val="21"/>
          <w:szCs w:val="21"/>
          <w:lang w:val="es-MX"/>
        </w:rPr>
        <w:t xml:space="preserve">Creemos, desde cualquier punto de vista metajurídico o positivo que se tome, que siempre se ha concebido que la justicia va de la mano de la verdad.  Ambos son valores inseparables; donde la verdad es la que allana el camino para encontrar como fin último la justicia. La concepción moderna del proceso aboga por una reivindicación del papel de la verdad como “principio-fin” de todo proceso jurisdiccional: se debe tener en cuenta el valor </w:t>
      </w:r>
      <w:r w:rsidRPr="00E10347">
        <w:rPr>
          <w:rFonts w:ascii="Palatino Linotype" w:hAnsi="Palatino Linotype"/>
          <w:i/>
          <w:iCs/>
          <w:sz w:val="21"/>
          <w:szCs w:val="21"/>
          <w:lang w:val="es-MX"/>
        </w:rPr>
        <w:t xml:space="preserve">verdad, </w:t>
      </w:r>
      <w:r w:rsidRPr="00E10347">
        <w:rPr>
          <w:rFonts w:ascii="Palatino Linotype" w:hAnsi="Palatino Linotype"/>
          <w:sz w:val="21"/>
          <w:szCs w:val="21"/>
          <w:lang w:val="es-MX"/>
        </w:rPr>
        <w:t>porque la realización de la justicia exige normalmente el apoyo de la verdad y todo juicio de justicia debe contar con ella”</w:t>
      </w:r>
      <w:r w:rsidRPr="00E10347">
        <w:rPr>
          <w:rStyle w:val="Refdenotaalpie"/>
          <w:rFonts w:ascii="Palatino Linotype" w:hAnsi="Palatino Linotype"/>
          <w:sz w:val="21"/>
          <w:szCs w:val="21"/>
          <w:lang w:val="es-MX"/>
        </w:rPr>
        <w:footnoteReference w:id="60"/>
      </w:r>
      <w:r w:rsidRPr="00E10347">
        <w:rPr>
          <w:rFonts w:ascii="Palatino Linotype" w:hAnsi="Palatino Linotype"/>
          <w:sz w:val="21"/>
          <w:szCs w:val="21"/>
          <w:lang w:val="es-MX"/>
        </w:rPr>
        <w:t>.   En vista del fracaso de la experiencia vivida con el anterior sistema clásico procesal o dispositivo puro; el iusprocesalismo moderno ha ideado instrumentos jurídicos para que los fallos judiciales procuren verse impregnados, en todos sus extremos, de una certeza de verdad en cuanto a los hechos en que se fundamentan; de modo que lo que se dicte se pueda alegar justo y de acuerdo con la realidad fáctica que se discutió.</w:t>
      </w:r>
    </w:p>
    <w:p w:rsidR="009A5379" w:rsidRDefault="009A5379" w:rsidP="00E10347">
      <w:pPr>
        <w:jc w:val="both"/>
        <w:rPr>
          <w:rFonts w:ascii="Palatino Linotype" w:hAnsi="Palatino Linotype"/>
          <w:b/>
          <w:bCs/>
          <w:sz w:val="21"/>
          <w:szCs w:val="21"/>
          <w:lang w:val="es-MX"/>
        </w:rPr>
      </w:pPr>
    </w:p>
    <w:p w:rsidR="002014CA" w:rsidRPr="00E10347" w:rsidRDefault="003F3E60" w:rsidP="00E10347">
      <w:pPr>
        <w:jc w:val="both"/>
        <w:rPr>
          <w:rFonts w:ascii="Palatino Linotype" w:hAnsi="Palatino Linotype"/>
          <w:b/>
          <w:bCs/>
          <w:sz w:val="21"/>
          <w:szCs w:val="21"/>
          <w:lang w:val="es-MX"/>
        </w:rPr>
      </w:pPr>
      <w:r w:rsidRPr="00E10347">
        <w:rPr>
          <w:rFonts w:ascii="Palatino Linotype" w:hAnsi="Palatino Linotype"/>
          <w:b/>
          <w:bCs/>
          <w:sz w:val="21"/>
          <w:szCs w:val="21"/>
          <w:lang w:val="es-MX"/>
        </w:rPr>
        <w:t>b</w:t>
      </w:r>
      <w:r w:rsidR="002014CA" w:rsidRPr="00E10347">
        <w:rPr>
          <w:rFonts w:ascii="Palatino Linotype" w:hAnsi="Palatino Linotype"/>
          <w:b/>
          <w:bCs/>
          <w:sz w:val="21"/>
          <w:szCs w:val="21"/>
          <w:lang w:val="es-MX"/>
        </w:rPr>
        <w:t>.- El Juez es el director del proceso, no es ni dictador ni espectador:</w:t>
      </w:r>
    </w:p>
    <w:p w:rsidR="002014CA" w:rsidRPr="00E10347" w:rsidRDefault="002014CA" w:rsidP="00E10347">
      <w:pPr>
        <w:ind w:firstLine="720"/>
        <w:jc w:val="both"/>
        <w:rPr>
          <w:rFonts w:ascii="Palatino Linotype" w:hAnsi="Palatino Linotype"/>
          <w:i/>
          <w:iCs/>
          <w:sz w:val="21"/>
          <w:szCs w:val="21"/>
          <w:lang w:val="es-MX"/>
        </w:rPr>
      </w:pPr>
      <w:r w:rsidRPr="00E10347">
        <w:rPr>
          <w:rFonts w:ascii="Palatino Linotype" w:hAnsi="Palatino Linotype"/>
          <w:sz w:val="21"/>
          <w:szCs w:val="21"/>
          <w:lang w:val="es-MX"/>
        </w:rPr>
        <w:t xml:space="preserve">Estimamos que la publicización del proceso se ha llevado con instrumentos jurídicos como el aumento de poderes-deberes procesales al juzgador, dándole a éste las armas necesarias para que pueda desempeñar su potestad jurisdiccional en función del principio de verdad real.  Sin embargo, hay muchos caminos para llegar a ésta.   Este aumento de poderes-deberes vino a darle al juez el papel de director del proceso, por medio de una atenuación del principio dispositivo que caracterizaba al sistema clásico.    Esto hizo que en materia probatoria se le asignara al juzgador la tarea de participar activamente en la admisión y evacuación del material probatorio, sin tener en virtud de este aumento, que tener que suplir la negligencia probatoria de las partes:  </w:t>
      </w:r>
      <w:r w:rsidRPr="00E10347">
        <w:rPr>
          <w:rFonts w:ascii="Palatino Linotype" w:hAnsi="Palatino Linotype"/>
          <w:i/>
          <w:iCs/>
          <w:sz w:val="21"/>
          <w:szCs w:val="21"/>
          <w:lang w:val="es-MX"/>
        </w:rPr>
        <w:t>“por eso, desde el principio, se obliga a las partes a ofrecer los medios de prueba que sirven de fundamento a su dicho (demanda, contestación, excepciones) pues no van a tener otro plazo para ofrecerla”</w:t>
      </w:r>
      <w:r w:rsidRPr="00E10347">
        <w:rPr>
          <w:rStyle w:val="Refdenotaalpie"/>
          <w:rFonts w:ascii="Palatino Linotype" w:hAnsi="Palatino Linotype"/>
          <w:i/>
          <w:iCs/>
          <w:sz w:val="21"/>
          <w:szCs w:val="21"/>
          <w:lang w:val="es-MX"/>
        </w:rPr>
        <w:footnoteReference w:id="61"/>
      </w:r>
      <w:r w:rsidRPr="00E10347">
        <w:rPr>
          <w:rFonts w:ascii="Palatino Linotype" w:hAnsi="Palatino Linotype"/>
          <w:i/>
          <w:iCs/>
          <w:sz w:val="21"/>
          <w:szCs w:val="21"/>
          <w:lang w:val="es-MX"/>
        </w:rPr>
        <w:t>.</w:t>
      </w:r>
    </w:p>
    <w:p w:rsidR="002014CA" w:rsidRPr="00E10347" w:rsidRDefault="009C21BD" w:rsidP="00E10347">
      <w:pPr>
        <w:jc w:val="both"/>
        <w:rPr>
          <w:rFonts w:ascii="Palatino Linotype" w:hAnsi="Palatino Linotype"/>
          <w:b/>
          <w:bCs/>
          <w:sz w:val="21"/>
          <w:szCs w:val="21"/>
          <w:lang w:val="es-MX"/>
        </w:rPr>
      </w:pPr>
      <w:r w:rsidRPr="00E10347">
        <w:rPr>
          <w:rFonts w:ascii="Palatino Linotype" w:hAnsi="Palatino Linotype"/>
          <w:b/>
          <w:bCs/>
          <w:sz w:val="21"/>
          <w:szCs w:val="21"/>
          <w:lang w:val="es-MX"/>
        </w:rPr>
        <w:t>c</w:t>
      </w:r>
      <w:r w:rsidR="002014CA" w:rsidRPr="00E10347">
        <w:rPr>
          <w:rFonts w:ascii="Palatino Linotype" w:hAnsi="Palatino Linotype"/>
          <w:b/>
          <w:bCs/>
          <w:sz w:val="21"/>
          <w:szCs w:val="21"/>
          <w:lang w:val="es-MX"/>
        </w:rPr>
        <w:t>.- El juez debe ser objetivo: buscar la verdad y no “su” verdad:</w:t>
      </w:r>
    </w:p>
    <w:p w:rsidR="002014CA" w:rsidRPr="00E10347" w:rsidRDefault="002014CA" w:rsidP="00E10347">
      <w:pPr>
        <w:ind w:firstLine="720"/>
        <w:jc w:val="both"/>
        <w:rPr>
          <w:rFonts w:ascii="Palatino Linotype" w:hAnsi="Palatino Linotype"/>
          <w:sz w:val="21"/>
          <w:szCs w:val="21"/>
          <w:lang w:val="es-MX"/>
        </w:rPr>
      </w:pPr>
      <w:r w:rsidRPr="00E10347">
        <w:rPr>
          <w:rFonts w:ascii="Palatino Linotype" w:hAnsi="Palatino Linotype"/>
          <w:sz w:val="21"/>
          <w:szCs w:val="21"/>
          <w:lang w:val="es-MX"/>
        </w:rPr>
        <w:t xml:space="preserve">Hay dos tipos de verdad: la que manejan las partes y la que podría llegar a </w:t>
      </w:r>
      <w:r w:rsidRPr="00E10347">
        <w:rPr>
          <w:rFonts w:ascii="Palatino Linotype" w:hAnsi="Palatino Linotype"/>
          <w:sz w:val="21"/>
          <w:szCs w:val="21"/>
          <w:lang w:val="es-MX"/>
        </w:rPr>
        <w:lastRenderedPageBreak/>
        <w:t xml:space="preserve">manejar el juez de una forma objetiva como producto del debido proceso.  Algunas veces coinciden, otras no.  La verdad de las partes es subjetivas y la del juez, en tesis de principio, es la verdad real o verdad jurídica objetiva. El ser subjetivo es una facultad ontológica de las partes y una antípoda para un recto administrador de justicia.  El Juez debe tener por máxima aquella voz que afirma: </w:t>
      </w:r>
      <w:r w:rsidRPr="00E10347">
        <w:rPr>
          <w:rFonts w:ascii="Palatino Linotype" w:hAnsi="Palatino Linotype"/>
          <w:i/>
          <w:iCs/>
          <w:sz w:val="21"/>
          <w:szCs w:val="21"/>
          <w:lang w:val="es-MX"/>
        </w:rPr>
        <w:t>“La imparcialidad es en el plano emocional lo que la objetividad es en el ámbito intelectual”.</w:t>
      </w:r>
      <w:r w:rsidRPr="00E10347">
        <w:rPr>
          <w:rStyle w:val="Refdenotaalpie"/>
          <w:rFonts w:ascii="Palatino Linotype" w:hAnsi="Palatino Linotype"/>
          <w:i/>
          <w:iCs/>
          <w:sz w:val="21"/>
          <w:szCs w:val="21"/>
          <w:lang w:val="es-MX"/>
        </w:rPr>
        <w:footnoteReference w:id="62"/>
      </w:r>
      <w:r w:rsidRPr="00E10347">
        <w:rPr>
          <w:rFonts w:ascii="Palatino Linotype" w:hAnsi="Palatino Linotype"/>
          <w:sz w:val="21"/>
          <w:szCs w:val="21"/>
          <w:lang w:val="es-MX"/>
        </w:rPr>
        <w:t xml:space="preserve">   Repetimos, hay muchas formas de llegar a la “verdad jurídica objetiva” sin perder la imparcialidad, pues “no se trataría de averiguar </w:t>
      </w:r>
      <w:r w:rsidRPr="00E10347">
        <w:rPr>
          <w:rFonts w:ascii="Palatino Linotype" w:hAnsi="Palatino Linotype"/>
          <w:i/>
          <w:iCs/>
          <w:sz w:val="21"/>
          <w:szCs w:val="21"/>
          <w:lang w:val="es-MX"/>
        </w:rPr>
        <w:t xml:space="preserve">qué es </w:t>
      </w:r>
      <w:r w:rsidRPr="00E10347">
        <w:rPr>
          <w:rFonts w:ascii="Palatino Linotype" w:hAnsi="Palatino Linotype"/>
          <w:sz w:val="21"/>
          <w:szCs w:val="21"/>
          <w:lang w:val="es-MX"/>
        </w:rPr>
        <w:t xml:space="preserve">ella (aunque esta pregunta básica, desde luego, deba ser atendida), sino, mejor aún, </w:t>
      </w:r>
      <w:r w:rsidRPr="00E10347">
        <w:rPr>
          <w:rFonts w:ascii="Palatino Linotype" w:hAnsi="Palatino Linotype"/>
          <w:i/>
          <w:iCs/>
          <w:sz w:val="21"/>
          <w:szCs w:val="21"/>
          <w:lang w:val="es-MX"/>
        </w:rPr>
        <w:t xml:space="preserve">de qué modo </w:t>
      </w:r>
      <w:r w:rsidRPr="00E10347">
        <w:rPr>
          <w:rFonts w:ascii="Palatino Linotype" w:hAnsi="Palatino Linotype"/>
          <w:sz w:val="21"/>
          <w:szCs w:val="21"/>
          <w:lang w:val="es-MX"/>
        </w:rPr>
        <w:t>son utilizadas las formas procesales que su establecimiento quede asegurado. Particularmente las formalidades que regulan los poderes de instrucción y dirección.”</w:t>
      </w:r>
      <w:r w:rsidRPr="00E10347">
        <w:rPr>
          <w:rStyle w:val="Refdenotaalpie"/>
          <w:rFonts w:ascii="Palatino Linotype" w:hAnsi="Palatino Linotype"/>
          <w:sz w:val="21"/>
          <w:szCs w:val="21"/>
          <w:lang w:val="es-MX"/>
        </w:rPr>
        <w:footnoteReference w:id="63"/>
      </w:r>
      <w:r w:rsidRPr="00E10347">
        <w:rPr>
          <w:rFonts w:ascii="Palatino Linotype" w:hAnsi="Palatino Linotype"/>
          <w:i/>
          <w:iCs/>
          <w:sz w:val="21"/>
          <w:szCs w:val="21"/>
          <w:lang w:val="es-MX"/>
        </w:rPr>
        <w:t xml:space="preserve"> </w:t>
      </w:r>
      <w:r w:rsidRPr="00E10347">
        <w:rPr>
          <w:rFonts w:ascii="Palatino Linotype" w:hAnsi="Palatino Linotype"/>
          <w:sz w:val="21"/>
          <w:szCs w:val="21"/>
          <w:lang w:val="es-MX"/>
        </w:rPr>
        <w:t xml:space="preserve"> Esto nos lleva a una zona del proceso constituida por el conjunto de las actitudes del juez frente a la verdad del proceso.</w:t>
      </w:r>
      <w:r w:rsidRPr="00E10347">
        <w:rPr>
          <w:rStyle w:val="Refdenotaalpie"/>
          <w:rFonts w:ascii="Palatino Linotype" w:hAnsi="Palatino Linotype"/>
          <w:sz w:val="21"/>
          <w:szCs w:val="21"/>
          <w:lang w:val="es-MX"/>
        </w:rPr>
        <w:footnoteReference w:id="64"/>
      </w:r>
      <w:r w:rsidRPr="00E10347">
        <w:rPr>
          <w:rFonts w:ascii="Palatino Linotype" w:hAnsi="Palatino Linotype"/>
          <w:sz w:val="21"/>
          <w:szCs w:val="21"/>
          <w:lang w:val="es-MX"/>
        </w:rPr>
        <w:t xml:space="preserve">  Al ingresar al campo de las actitudes del juez ante la admisión, evacuación y valoración del material probatorio ofrecido por las partes, necesariamente debemos hablar de imparcialidad</w:t>
      </w:r>
      <w:r w:rsidRPr="00E10347">
        <w:rPr>
          <w:rStyle w:val="Refdenotaalpie"/>
          <w:rFonts w:ascii="Palatino Linotype" w:hAnsi="Palatino Linotype"/>
          <w:sz w:val="21"/>
          <w:szCs w:val="21"/>
          <w:lang w:val="es-MX"/>
        </w:rPr>
        <w:footnoteReference w:id="65"/>
      </w:r>
      <w:r w:rsidRPr="00E10347">
        <w:rPr>
          <w:rFonts w:ascii="Palatino Linotype" w:hAnsi="Palatino Linotype"/>
          <w:sz w:val="21"/>
          <w:szCs w:val="21"/>
          <w:lang w:val="es-MX"/>
        </w:rPr>
        <w:t xml:space="preserve"> del juez frente a la negligencia probatoria de las partes.</w:t>
      </w:r>
    </w:p>
    <w:p w:rsidR="009A5379" w:rsidRDefault="009A5379" w:rsidP="00E10347">
      <w:pPr>
        <w:pStyle w:val="Sangra3detindependiente"/>
        <w:spacing w:after="0" w:line="240" w:lineRule="auto"/>
        <w:ind w:left="0"/>
        <w:rPr>
          <w:rFonts w:ascii="Palatino Linotype" w:hAnsi="Palatino Linotype" w:cs="Arial"/>
          <w:b/>
          <w:bCs/>
          <w:sz w:val="21"/>
          <w:szCs w:val="21"/>
        </w:rPr>
      </w:pPr>
    </w:p>
    <w:p w:rsidR="002014CA" w:rsidRPr="00E10347" w:rsidRDefault="009C21BD" w:rsidP="00E10347">
      <w:pPr>
        <w:pStyle w:val="Sangra3detindependiente"/>
        <w:spacing w:after="0" w:line="240" w:lineRule="auto"/>
        <w:ind w:left="0"/>
        <w:rPr>
          <w:rFonts w:ascii="Palatino Linotype" w:hAnsi="Palatino Linotype" w:cs="Arial"/>
          <w:b/>
          <w:bCs/>
          <w:sz w:val="21"/>
          <w:szCs w:val="21"/>
        </w:rPr>
      </w:pPr>
      <w:r w:rsidRPr="00E10347">
        <w:rPr>
          <w:rFonts w:ascii="Palatino Linotype" w:hAnsi="Palatino Linotype" w:cs="Arial"/>
          <w:b/>
          <w:bCs/>
          <w:sz w:val="21"/>
          <w:szCs w:val="21"/>
        </w:rPr>
        <w:t>d</w:t>
      </w:r>
      <w:r w:rsidR="002014CA" w:rsidRPr="00E10347">
        <w:rPr>
          <w:rFonts w:ascii="Palatino Linotype" w:hAnsi="Palatino Linotype" w:cs="Arial"/>
          <w:b/>
          <w:bCs/>
          <w:sz w:val="21"/>
          <w:szCs w:val="21"/>
        </w:rPr>
        <w:t xml:space="preserve">.-  El Juez puede pedir prueba siempre y cuando no supla la negligencia de una de las partes en detrimento de la defensa de la otra </w:t>
      </w:r>
    </w:p>
    <w:p w:rsidR="002014CA" w:rsidRPr="00E10347" w:rsidRDefault="002014CA" w:rsidP="00E10347">
      <w:pPr>
        <w:pStyle w:val="Sangra3detindependiente"/>
        <w:spacing w:after="0" w:line="240" w:lineRule="auto"/>
        <w:ind w:firstLine="425"/>
        <w:rPr>
          <w:rFonts w:ascii="Palatino Linotype" w:hAnsi="Palatino Linotype" w:cs="Arial"/>
          <w:sz w:val="21"/>
          <w:szCs w:val="21"/>
        </w:rPr>
      </w:pPr>
      <w:r w:rsidRPr="00E10347">
        <w:rPr>
          <w:rFonts w:ascii="Palatino Linotype" w:hAnsi="Palatino Linotype" w:cs="Arial"/>
          <w:sz w:val="21"/>
          <w:szCs w:val="21"/>
        </w:rPr>
        <w:t>El Juez no puede subsanar la negligencia probatoria de la parte a quien le corresponda por ley –según cada materia- la carga de la prueba a través de la prueba de oficio, tal y como lo ha entendido la jurisprudencia costarricense.</w:t>
      </w:r>
      <w:r w:rsidRPr="00E10347">
        <w:rPr>
          <w:rStyle w:val="Refdenotaalpie"/>
          <w:rFonts w:ascii="Palatino Linotype" w:hAnsi="Palatino Linotype" w:cs="Arial"/>
          <w:sz w:val="21"/>
          <w:szCs w:val="21"/>
        </w:rPr>
        <w:footnoteReference w:id="66"/>
      </w:r>
      <w:r w:rsidRPr="00E10347">
        <w:rPr>
          <w:rFonts w:ascii="Palatino Linotype" w:hAnsi="Palatino Linotype" w:cs="Arial"/>
          <w:sz w:val="21"/>
          <w:szCs w:val="21"/>
        </w:rPr>
        <w:t xml:space="preserve">  </w:t>
      </w:r>
      <w:r w:rsidRPr="00E10347">
        <w:rPr>
          <w:rFonts w:ascii="Palatino Linotype" w:hAnsi="Palatino Linotype" w:cs="Arial"/>
          <w:sz w:val="21"/>
          <w:szCs w:val="21"/>
          <w:lang w:val="es-MX"/>
        </w:rPr>
        <w:t xml:space="preserve">La teoría de la negligencia probatoria se ha desarrollado en los últimos años en Argentina, tanto a nivel doctrinal como jurisprudencial. Uno de sus mayores logros ha sido el distinguir la iniciativa probatoria del juez con respecto a la mala praxis probatoria de una de las partes.  “Negligencia es una palabra valorativa. Implica una descalificación, más aún: una descalificación específica </w:t>
      </w:r>
      <w:r w:rsidRPr="00E10347">
        <w:rPr>
          <w:rFonts w:ascii="Palatino Linotype" w:hAnsi="Palatino Linotype" w:cs="Arial"/>
          <w:sz w:val="21"/>
          <w:szCs w:val="21"/>
          <w:lang w:val="es-MX"/>
        </w:rPr>
        <w:lastRenderedPageBreak/>
        <w:t>referida a la conducta de alguien.  En su uso técnico, señala que la actividad del litigante ha sido defectuosa por extemporánea (...) es el incumplimiento de la carga procesal de pedir y practicar la medida dentro del plazo.”</w:t>
      </w:r>
      <w:r w:rsidRPr="00E10347">
        <w:rPr>
          <w:rStyle w:val="Refdenotaalpie"/>
          <w:rFonts w:ascii="Palatino Linotype" w:hAnsi="Palatino Linotype" w:cs="Arial"/>
          <w:sz w:val="21"/>
          <w:szCs w:val="21"/>
          <w:lang w:val="es-MX"/>
        </w:rPr>
        <w:footnoteReference w:id="67"/>
      </w:r>
      <w:r w:rsidRPr="00E10347">
        <w:rPr>
          <w:rFonts w:ascii="Palatino Linotype" w:hAnsi="Palatino Linotype" w:cs="Arial"/>
          <w:sz w:val="21"/>
          <w:szCs w:val="21"/>
          <w:lang w:val="es-MX"/>
        </w:rPr>
        <w:t xml:space="preserve">  </w:t>
      </w:r>
      <w:r w:rsidRPr="00E10347">
        <w:rPr>
          <w:rFonts w:ascii="Palatino Linotype" w:hAnsi="Palatino Linotype" w:cs="Arial"/>
          <w:sz w:val="21"/>
          <w:szCs w:val="21"/>
        </w:rPr>
        <w:t>La negligencia probatoria es un elemento parte del proceso, es una limitación al poder-deber de administración de la prueba del Juzgador.</w:t>
      </w:r>
      <w:r w:rsidRPr="00E10347">
        <w:rPr>
          <w:rStyle w:val="Refdenotaalpie"/>
          <w:rFonts w:ascii="Palatino Linotype" w:hAnsi="Palatino Linotype" w:cs="Arial"/>
          <w:sz w:val="21"/>
          <w:szCs w:val="21"/>
        </w:rPr>
        <w:footnoteReference w:id="68"/>
      </w:r>
    </w:p>
    <w:p w:rsidR="002014CA" w:rsidRPr="00E10347" w:rsidRDefault="002014CA" w:rsidP="00E10347">
      <w:pPr>
        <w:ind w:firstLine="720"/>
        <w:jc w:val="both"/>
        <w:rPr>
          <w:rFonts w:ascii="Palatino Linotype" w:hAnsi="Palatino Linotype"/>
          <w:sz w:val="21"/>
          <w:szCs w:val="21"/>
        </w:rPr>
      </w:pPr>
      <w:r w:rsidRPr="00E10347">
        <w:rPr>
          <w:rFonts w:ascii="Palatino Linotype" w:hAnsi="Palatino Linotype"/>
          <w:sz w:val="21"/>
          <w:szCs w:val="21"/>
        </w:rPr>
        <w:t>El no aceptar como prueba de oficio aquel material probatorio no  evacuado por la negligencia de una parte no perjudica de ningún modo al principio de verdad real, ya que cada quien debe hacerse responsable de su forma de litigar. El principio de verdad real o material no puede ser desvirtuado ni degenerado en pos de remediar la mala praxis de una de las partes en cuanto a su deber de probar</w:t>
      </w:r>
      <w:r w:rsidRPr="00E10347">
        <w:rPr>
          <w:rStyle w:val="Refdenotaalpie"/>
          <w:rFonts w:ascii="Palatino Linotype" w:hAnsi="Palatino Linotype"/>
          <w:sz w:val="21"/>
          <w:szCs w:val="21"/>
          <w:lang w:val="es-MX"/>
        </w:rPr>
        <w:footnoteReference w:id="69"/>
      </w:r>
      <w:r w:rsidRPr="00E10347">
        <w:rPr>
          <w:rFonts w:ascii="Palatino Linotype" w:hAnsi="Palatino Linotype"/>
          <w:sz w:val="21"/>
          <w:szCs w:val="21"/>
        </w:rPr>
        <w:t xml:space="preserve">. </w:t>
      </w:r>
    </w:p>
    <w:p w:rsidR="002014CA" w:rsidRPr="00E10347" w:rsidRDefault="002014CA" w:rsidP="00E10347">
      <w:pPr>
        <w:tabs>
          <w:tab w:val="right" w:pos="8640"/>
        </w:tabs>
        <w:ind w:firstLine="557"/>
        <w:jc w:val="both"/>
        <w:rPr>
          <w:rFonts w:ascii="Palatino Linotype" w:hAnsi="Palatino Linotype"/>
          <w:sz w:val="21"/>
          <w:szCs w:val="21"/>
        </w:rPr>
      </w:pPr>
      <w:r w:rsidRPr="00E10347">
        <w:rPr>
          <w:rFonts w:ascii="Palatino Linotype" w:hAnsi="Palatino Linotype"/>
          <w:sz w:val="21"/>
          <w:szCs w:val="21"/>
        </w:rPr>
        <w:t>Sea cual sean las reglas de la carga de la prueba en cada materia, (por ejemplo en laboral el derecho sustantivo de trabajo revierte</w:t>
      </w:r>
      <w:r w:rsidRPr="00E10347">
        <w:rPr>
          <w:rStyle w:val="Refdenotaalpie"/>
          <w:rFonts w:ascii="Palatino Linotype" w:hAnsi="Palatino Linotype"/>
          <w:sz w:val="21"/>
          <w:szCs w:val="21"/>
        </w:rPr>
        <w:footnoteReference w:id="70"/>
      </w:r>
      <w:r w:rsidRPr="00E10347">
        <w:rPr>
          <w:rFonts w:ascii="Palatino Linotype" w:hAnsi="Palatino Linotype"/>
          <w:sz w:val="21"/>
          <w:szCs w:val="21"/>
        </w:rPr>
        <w:t xml:space="preserve"> en ciertos supuestos tipificados por la ley laboral -493 y 486 CT), apartándose de la regla general del onus probandi del artículo 41.1 del CPC), el Juez debe respetar dichas reglas, sea que corresponda al actor (como en la mayoría de los casos en materia civil o agraria) o al demandado (como en materia laboral en el caso del patrono).  En uno u otro caso, el Juez no debe hacerle la prueba a la parte que tiene el deber de probar.</w:t>
      </w:r>
    </w:p>
    <w:p w:rsidR="002014CA" w:rsidRPr="00E10347" w:rsidRDefault="002014CA" w:rsidP="00E10347">
      <w:pPr>
        <w:ind w:firstLine="720"/>
        <w:jc w:val="both"/>
        <w:rPr>
          <w:rFonts w:ascii="Palatino Linotype" w:hAnsi="Palatino Linotype"/>
          <w:sz w:val="21"/>
          <w:szCs w:val="21"/>
          <w:lang w:val="es-MX"/>
        </w:rPr>
      </w:pPr>
      <w:r w:rsidRPr="00E10347">
        <w:rPr>
          <w:rFonts w:ascii="Palatino Linotype" w:hAnsi="Palatino Linotype"/>
          <w:sz w:val="21"/>
          <w:szCs w:val="21"/>
          <w:lang w:val="es-MX"/>
        </w:rPr>
        <w:t xml:space="preserve">En simples palabras, el Juez no debe </w:t>
      </w:r>
      <w:r w:rsidRPr="00E10347">
        <w:rPr>
          <w:rFonts w:ascii="Palatino Linotype" w:hAnsi="Palatino Linotype"/>
          <w:i/>
          <w:iCs/>
          <w:sz w:val="21"/>
          <w:szCs w:val="21"/>
          <w:lang w:val="es-MX"/>
        </w:rPr>
        <w:t xml:space="preserve">hacerle la prueba </w:t>
      </w:r>
      <w:r w:rsidRPr="00E10347">
        <w:rPr>
          <w:rFonts w:ascii="Palatino Linotype" w:hAnsi="Palatino Linotype"/>
          <w:sz w:val="21"/>
          <w:szCs w:val="21"/>
          <w:lang w:val="es-MX"/>
        </w:rPr>
        <w:t xml:space="preserve">a aquella parte que ha sido negligente con su deber o </w:t>
      </w:r>
      <w:r w:rsidRPr="00E10347">
        <w:rPr>
          <w:rFonts w:ascii="Palatino Linotype" w:hAnsi="Palatino Linotype"/>
          <w:i/>
          <w:iCs/>
          <w:sz w:val="21"/>
          <w:szCs w:val="21"/>
          <w:lang w:val="es-MX"/>
        </w:rPr>
        <w:t xml:space="preserve">carga </w:t>
      </w:r>
      <w:r w:rsidRPr="00E10347">
        <w:rPr>
          <w:rFonts w:ascii="Palatino Linotype" w:hAnsi="Palatino Linotype"/>
          <w:sz w:val="21"/>
          <w:szCs w:val="21"/>
          <w:lang w:val="es-MX"/>
        </w:rPr>
        <w:t xml:space="preserve">de probar sus alegatos fácticos o </w:t>
      </w:r>
      <w:r w:rsidRPr="00E10347">
        <w:rPr>
          <w:rFonts w:ascii="Palatino Linotype" w:hAnsi="Palatino Linotype"/>
          <w:i/>
          <w:iCs/>
          <w:sz w:val="21"/>
          <w:szCs w:val="21"/>
          <w:lang w:val="es-MX"/>
        </w:rPr>
        <w:t xml:space="preserve">su verdad  </w:t>
      </w:r>
      <w:r w:rsidRPr="00E10347">
        <w:rPr>
          <w:rFonts w:ascii="Palatino Linotype" w:hAnsi="Palatino Linotype"/>
          <w:b/>
          <w:bCs/>
          <w:i/>
          <w:iCs/>
          <w:sz w:val="21"/>
          <w:szCs w:val="21"/>
          <w:lang w:val="es-MX"/>
        </w:rPr>
        <w:t>(iudex secundum allegata et probata partium decidere debet)</w:t>
      </w:r>
      <w:r w:rsidRPr="00E10347">
        <w:rPr>
          <w:rFonts w:ascii="Palatino Linotype" w:hAnsi="Palatino Linotype"/>
          <w:sz w:val="21"/>
          <w:szCs w:val="21"/>
          <w:lang w:val="es-MX"/>
        </w:rPr>
        <w:t>.  Esto por cuanto la contraparte ha basado su estrategia en las deficiencias del otro, y si el Juez las suple, lo deja en indefensión.  Sería una parte litigando contra el juez y su contraparte.</w:t>
      </w:r>
      <w:r w:rsidRPr="00E10347">
        <w:rPr>
          <w:rStyle w:val="Refdenotaalpie"/>
          <w:rFonts w:ascii="Palatino Linotype" w:hAnsi="Palatino Linotype"/>
          <w:sz w:val="21"/>
          <w:szCs w:val="21"/>
          <w:lang w:val="es-MX"/>
        </w:rPr>
        <w:footnoteReference w:id="71"/>
      </w:r>
    </w:p>
    <w:p w:rsidR="002014CA" w:rsidRPr="00E10347" w:rsidRDefault="009C21BD" w:rsidP="00E10347">
      <w:pPr>
        <w:pStyle w:val="Sangra3detindependiente"/>
        <w:spacing w:after="0" w:line="240" w:lineRule="auto"/>
        <w:ind w:left="0"/>
        <w:rPr>
          <w:rFonts w:ascii="Palatino Linotype" w:hAnsi="Palatino Linotype" w:cs="Arial"/>
          <w:b/>
          <w:bCs/>
          <w:sz w:val="21"/>
          <w:szCs w:val="21"/>
        </w:rPr>
      </w:pPr>
      <w:r w:rsidRPr="00E10347">
        <w:rPr>
          <w:rFonts w:ascii="Palatino Linotype" w:hAnsi="Palatino Linotype" w:cs="Arial"/>
          <w:b/>
          <w:bCs/>
          <w:sz w:val="21"/>
          <w:szCs w:val="21"/>
        </w:rPr>
        <w:t>e</w:t>
      </w:r>
      <w:r w:rsidR="002014CA" w:rsidRPr="00E10347">
        <w:rPr>
          <w:rFonts w:ascii="Palatino Linotype" w:hAnsi="Palatino Linotype" w:cs="Arial"/>
          <w:b/>
          <w:bCs/>
          <w:sz w:val="21"/>
          <w:szCs w:val="21"/>
        </w:rPr>
        <w:t>.-  La iniciativa probatoria del Juez no es un asunto exclusivo de determinada materia jurídica:</w:t>
      </w:r>
    </w:p>
    <w:p w:rsidR="002014CA" w:rsidRPr="00E10347" w:rsidRDefault="002014CA" w:rsidP="00E10347">
      <w:pPr>
        <w:ind w:firstLine="720"/>
        <w:jc w:val="both"/>
        <w:rPr>
          <w:rFonts w:ascii="Palatino Linotype" w:hAnsi="Palatino Linotype"/>
          <w:sz w:val="21"/>
          <w:szCs w:val="21"/>
          <w:lang w:val="es-MX"/>
        </w:rPr>
      </w:pPr>
      <w:r w:rsidRPr="00E10347">
        <w:rPr>
          <w:rFonts w:ascii="Palatino Linotype" w:hAnsi="Palatino Linotype"/>
          <w:sz w:val="21"/>
          <w:szCs w:val="21"/>
          <w:lang w:val="es-MX"/>
        </w:rPr>
        <w:t xml:space="preserve">Los criterios de la doctrina que sostienen que el juzgador agrario y laboral tienen poderes-deberes de naturaleza inquisitiva fueron dados durante el período </w:t>
      </w:r>
      <w:r w:rsidRPr="00E10347">
        <w:rPr>
          <w:rFonts w:ascii="Palatino Linotype" w:hAnsi="Palatino Linotype"/>
          <w:sz w:val="21"/>
          <w:szCs w:val="21"/>
          <w:lang w:val="es-MX"/>
        </w:rPr>
        <w:lastRenderedPageBreak/>
        <w:t>de tiempo que abarca entre la entrada en vigencia del Código de Trabajo y de la Ley de Jurisdicción Agraria en los últimos años de vigencia del mencionado Código de Procedimientos Civiles. Pero para el año de 2006, esta visión no corresponde con la realidad del derecho positivo de nuestro país: “Cierto sector de la doctrina asume una posición de que para distinguir entre el sistema dispositivo y el inquisitivo deben tomarse en cuenta, como esencial, los poderes del juez sobre la cuestión probatoria. Esta concepción responde a una distinción inexistente hoy en día, que tuvo relevancia en el siglo pasado”.  Cabe aclarar que lo anterior, señalado por Fábrega</w:t>
      </w:r>
      <w:r w:rsidRPr="00E10347">
        <w:rPr>
          <w:rStyle w:val="Refdenotaalpie"/>
          <w:rFonts w:ascii="Palatino Linotype" w:hAnsi="Palatino Linotype"/>
          <w:sz w:val="21"/>
          <w:szCs w:val="21"/>
          <w:lang w:val="es-MX"/>
        </w:rPr>
        <w:footnoteReference w:id="72"/>
      </w:r>
      <w:r w:rsidRPr="00E10347">
        <w:rPr>
          <w:rFonts w:ascii="Palatino Linotype" w:hAnsi="Palatino Linotype"/>
          <w:sz w:val="21"/>
          <w:szCs w:val="21"/>
          <w:lang w:val="es-MX"/>
        </w:rPr>
        <w:t>, fue escrito en 1997, es decir, el autor se refería al siglo XIX.  Tanto la Ley de Jurisdicción Agraria como el Código de Trabajo y el NCPC conceden poderes de prueba al Juez.</w:t>
      </w:r>
    </w:p>
    <w:p w:rsidR="009A5379" w:rsidRDefault="009A5379" w:rsidP="00E10347">
      <w:pPr>
        <w:jc w:val="both"/>
        <w:rPr>
          <w:rFonts w:ascii="Palatino Linotype" w:hAnsi="Palatino Linotype"/>
          <w:b/>
          <w:bCs/>
          <w:sz w:val="21"/>
          <w:szCs w:val="21"/>
          <w:lang w:val="es-MX"/>
        </w:rPr>
      </w:pPr>
    </w:p>
    <w:p w:rsidR="002014CA" w:rsidRPr="00E10347" w:rsidRDefault="009C21BD" w:rsidP="00E10347">
      <w:pPr>
        <w:jc w:val="both"/>
        <w:rPr>
          <w:rFonts w:ascii="Palatino Linotype" w:hAnsi="Palatino Linotype"/>
          <w:sz w:val="21"/>
          <w:szCs w:val="21"/>
          <w:lang w:val="es-MX"/>
        </w:rPr>
      </w:pPr>
      <w:r w:rsidRPr="00E10347">
        <w:rPr>
          <w:rFonts w:ascii="Palatino Linotype" w:hAnsi="Palatino Linotype"/>
          <w:b/>
          <w:bCs/>
          <w:sz w:val="21"/>
          <w:szCs w:val="21"/>
          <w:lang w:val="es-MX"/>
        </w:rPr>
        <w:t>g</w:t>
      </w:r>
      <w:r w:rsidR="002014CA" w:rsidRPr="00E10347">
        <w:rPr>
          <w:rFonts w:ascii="Palatino Linotype" w:hAnsi="Palatino Linotype"/>
          <w:b/>
          <w:bCs/>
          <w:sz w:val="21"/>
          <w:szCs w:val="21"/>
          <w:lang w:val="es-MX"/>
        </w:rPr>
        <w:t>.- El juez debe ajustarse al thema decidendum delimitado por las partes (prueba pertinente), salvo cuando hay peligro de violación a intereses públicos, derechos laborales irrenunciables o caso de fraude procesal:</w:t>
      </w:r>
      <w:r w:rsidR="002014CA" w:rsidRPr="00E10347">
        <w:rPr>
          <w:rFonts w:ascii="Palatino Linotype" w:hAnsi="Palatino Linotype"/>
          <w:sz w:val="21"/>
          <w:szCs w:val="21"/>
          <w:lang w:val="es-MX"/>
        </w:rPr>
        <w:t xml:space="preserve"> </w:t>
      </w:r>
    </w:p>
    <w:p w:rsidR="002014CA" w:rsidRPr="00E10347" w:rsidRDefault="002014CA" w:rsidP="00E10347">
      <w:pPr>
        <w:ind w:firstLine="720"/>
        <w:jc w:val="both"/>
        <w:rPr>
          <w:rFonts w:ascii="Palatino Linotype" w:hAnsi="Palatino Linotype"/>
          <w:sz w:val="21"/>
          <w:szCs w:val="21"/>
          <w:lang w:val="es-MX"/>
        </w:rPr>
      </w:pPr>
      <w:r w:rsidRPr="00E10347">
        <w:rPr>
          <w:rFonts w:ascii="Palatino Linotype" w:hAnsi="Palatino Linotype"/>
          <w:sz w:val="21"/>
          <w:szCs w:val="21"/>
          <w:lang w:val="es-MX"/>
        </w:rPr>
        <w:t>El Juez no puede pedir prueba que no verse sobre lo discutido por las partes.</w:t>
      </w:r>
      <w:r w:rsidRPr="00E10347">
        <w:rPr>
          <w:rStyle w:val="Refdenotaalpie"/>
          <w:rFonts w:ascii="Palatino Linotype" w:hAnsi="Palatino Linotype"/>
          <w:sz w:val="21"/>
          <w:szCs w:val="21"/>
          <w:lang w:val="es-MX"/>
        </w:rPr>
        <w:footnoteReference w:id="73"/>
      </w:r>
      <w:r w:rsidRPr="00E10347">
        <w:rPr>
          <w:rFonts w:ascii="Palatino Linotype" w:hAnsi="Palatino Linotype"/>
          <w:sz w:val="21"/>
          <w:szCs w:val="21"/>
          <w:lang w:val="es-MX"/>
        </w:rPr>
        <w:t xml:space="preserve"> Excepción: En ramas jurídicas como el agrario y laboral, donde el interés público es inminente, se discutan derechos laborales irrenunciables, a manera de excepción, se podría ordenar un determinado medio de prueba cuando haya fuertes indicios de que ese interés público pueda ser afectado por las partes.  </w:t>
      </w:r>
    </w:p>
    <w:p w:rsidR="002014CA" w:rsidRPr="00E10347" w:rsidRDefault="002014CA" w:rsidP="00E10347">
      <w:pPr>
        <w:ind w:firstLine="720"/>
        <w:jc w:val="both"/>
        <w:rPr>
          <w:rFonts w:ascii="Palatino Linotype" w:hAnsi="Palatino Linotype"/>
          <w:sz w:val="21"/>
          <w:szCs w:val="21"/>
          <w:lang w:val="es-MX"/>
        </w:rPr>
      </w:pPr>
      <w:r w:rsidRPr="00E10347">
        <w:rPr>
          <w:rFonts w:ascii="Palatino Linotype" w:hAnsi="Palatino Linotype"/>
          <w:sz w:val="21"/>
          <w:szCs w:val="21"/>
          <w:lang w:val="es-MX"/>
        </w:rPr>
        <w:t xml:space="preserve">Ejemplo:  </w:t>
      </w:r>
    </w:p>
    <w:p w:rsidR="002014CA" w:rsidRPr="00E10347" w:rsidRDefault="002014CA" w:rsidP="00E10347">
      <w:pPr>
        <w:ind w:firstLine="720"/>
        <w:jc w:val="both"/>
        <w:rPr>
          <w:rFonts w:ascii="Palatino Linotype" w:hAnsi="Palatino Linotype"/>
          <w:sz w:val="21"/>
          <w:szCs w:val="21"/>
          <w:lang w:val="es-MX"/>
        </w:rPr>
      </w:pPr>
      <w:r w:rsidRPr="00E10347">
        <w:rPr>
          <w:rFonts w:ascii="Palatino Linotype" w:hAnsi="Palatino Linotype"/>
          <w:sz w:val="21"/>
          <w:szCs w:val="21"/>
          <w:lang w:val="es-MX"/>
        </w:rPr>
        <w:t xml:space="preserve">Solicitar de oficio un estudio topográfico al órgano estatal correspondiente cuando dos sujetos de derecho privado se disputan un mejor derecho de posesión sobre un terreno que aparentemente  se encuentra traslapado con propiedad estatal o algún área de conservación.  </w:t>
      </w:r>
    </w:p>
    <w:p w:rsidR="002014CA" w:rsidRPr="00E10347" w:rsidRDefault="002014CA" w:rsidP="00E10347">
      <w:pPr>
        <w:ind w:firstLine="720"/>
        <w:jc w:val="both"/>
        <w:rPr>
          <w:rFonts w:ascii="Palatino Linotype" w:hAnsi="Palatino Linotype"/>
          <w:sz w:val="21"/>
          <w:szCs w:val="21"/>
          <w:lang w:val="es-MX"/>
        </w:rPr>
      </w:pPr>
      <w:r w:rsidRPr="00E10347">
        <w:rPr>
          <w:rFonts w:ascii="Palatino Linotype" w:hAnsi="Palatino Linotype"/>
          <w:sz w:val="21"/>
          <w:szCs w:val="21"/>
          <w:lang w:val="es-MX"/>
        </w:rPr>
        <w:t xml:space="preserve">Existe un interés público de por medio que legitima este proceder del Juzgador –el cual debe prevenir el fraude procesal- a pesar de evadir un poco el </w:t>
      </w:r>
      <w:r w:rsidRPr="00E10347">
        <w:rPr>
          <w:rFonts w:ascii="Palatino Linotype" w:hAnsi="Palatino Linotype"/>
          <w:i/>
          <w:iCs/>
          <w:sz w:val="21"/>
          <w:szCs w:val="21"/>
          <w:lang w:val="es-MX"/>
        </w:rPr>
        <w:t>tema decidendum</w:t>
      </w:r>
      <w:r w:rsidRPr="00E10347">
        <w:rPr>
          <w:rFonts w:ascii="Palatino Linotype" w:hAnsi="Palatino Linotype"/>
          <w:sz w:val="21"/>
          <w:szCs w:val="21"/>
          <w:lang w:val="es-MX"/>
        </w:rPr>
        <w:t xml:space="preserve"> de las partes.  Sin embargo, en un caso como el descrito, el Juez no perdería su imparcialidad: “el viejo aforismo que imponía al juez decidir </w:t>
      </w:r>
      <w:r w:rsidRPr="00E10347">
        <w:rPr>
          <w:rFonts w:ascii="Palatino Linotype" w:hAnsi="Palatino Linotype"/>
          <w:i/>
          <w:iCs/>
          <w:sz w:val="21"/>
          <w:szCs w:val="21"/>
          <w:lang w:val="es-MX"/>
        </w:rPr>
        <w:t xml:space="preserve">“secundum allegata et probata partium” permanece, pues, intacto, </w:t>
      </w:r>
      <w:r w:rsidR="002A76CC">
        <w:rPr>
          <w:rFonts w:ascii="Palatino Linotype" w:hAnsi="Palatino Linotype"/>
          <w:i/>
          <w:iCs/>
          <w:sz w:val="21"/>
          <w:szCs w:val="21"/>
          <w:lang w:val="es-MX"/>
        </w:rPr>
        <w:t xml:space="preserve">solo </w:t>
      </w:r>
      <w:r w:rsidRPr="00E10347">
        <w:rPr>
          <w:rFonts w:ascii="Palatino Linotype" w:hAnsi="Palatino Linotype"/>
          <w:i/>
          <w:iCs/>
          <w:sz w:val="21"/>
          <w:szCs w:val="21"/>
          <w:lang w:val="es-MX"/>
        </w:rPr>
        <w:t xml:space="preserve">en lo que se refiere a los “allegata partium”, que constituyen siempre el límite insalvable de la declaración de certeza del </w:t>
      </w:r>
      <w:r w:rsidRPr="00E10347">
        <w:rPr>
          <w:rFonts w:ascii="Palatino Linotype" w:hAnsi="Palatino Linotype"/>
          <w:i/>
          <w:iCs/>
          <w:sz w:val="21"/>
          <w:szCs w:val="21"/>
          <w:lang w:val="es-MX"/>
        </w:rPr>
        <w:lastRenderedPageBreak/>
        <w:t>juez”.</w:t>
      </w:r>
      <w:r w:rsidRPr="00E10347">
        <w:rPr>
          <w:rStyle w:val="Refdenotaalpie"/>
          <w:rFonts w:ascii="Palatino Linotype" w:hAnsi="Palatino Linotype"/>
          <w:sz w:val="21"/>
          <w:szCs w:val="21"/>
          <w:lang w:val="es-MX"/>
        </w:rPr>
        <w:footnoteReference w:id="74"/>
      </w:r>
    </w:p>
    <w:p w:rsidR="002014CA" w:rsidRPr="00E10347" w:rsidRDefault="002014CA" w:rsidP="00E10347">
      <w:pPr>
        <w:ind w:firstLine="720"/>
        <w:jc w:val="both"/>
        <w:rPr>
          <w:rFonts w:ascii="Palatino Linotype" w:hAnsi="Palatino Linotype"/>
          <w:sz w:val="21"/>
          <w:szCs w:val="21"/>
          <w:lang w:val="es-MX"/>
        </w:rPr>
      </w:pPr>
      <w:r w:rsidRPr="00E10347">
        <w:rPr>
          <w:rFonts w:ascii="Palatino Linotype" w:hAnsi="Palatino Linotype"/>
          <w:sz w:val="21"/>
          <w:szCs w:val="21"/>
          <w:lang w:val="es-MX"/>
        </w:rPr>
        <w:t>No encontramos ningún interés público en ordenar como prueba de oficio la deposición de un testigo que, por negligencia de la parte, no fue ofrecido en el momento procesal oportuno, o en el de ordenar dicha prueba (casi sacada de la manga de la camisa del juzgador) para retrasar el dictado de una sentencia cuyo objeto de decisión son intereses netamente privados. Eso es ser parcial y negligente. Así como en nombre de Jesús se aniquilaron a personas inocentes durante mucho tiempo, es así también como también en nombre de la publicización del proceso se le ha hecho prueba a la parte o se ha retrasado deliberadamente la resolución final de asuntos que llevan años en estrados judiciales. He ahí la degeneración.</w:t>
      </w:r>
    </w:p>
    <w:p w:rsidR="00A05EF6" w:rsidRDefault="00A05EF6" w:rsidP="00E10347">
      <w:pPr>
        <w:pStyle w:val="Sangra3detindependiente"/>
        <w:spacing w:after="0" w:line="240" w:lineRule="auto"/>
        <w:ind w:left="0"/>
        <w:rPr>
          <w:rFonts w:ascii="Palatino Linotype" w:hAnsi="Palatino Linotype" w:cs="Arial"/>
          <w:b/>
          <w:bCs/>
          <w:sz w:val="21"/>
          <w:szCs w:val="21"/>
        </w:rPr>
      </w:pPr>
    </w:p>
    <w:p w:rsidR="002014CA" w:rsidRPr="00E10347" w:rsidRDefault="009C21BD" w:rsidP="00E10347">
      <w:pPr>
        <w:pStyle w:val="Sangra3detindependiente"/>
        <w:spacing w:after="0" w:line="240" w:lineRule="auto"/>
        <w:ind w:left="0"/>
        <w:rPr>
          <w:rFonts w:ascii="Palatino Linotype" w:hAnsi="Palatino Linotype" w:cs="Arial"/>
          <w:b/>
          <w:bCs/>
          <w:sz w:val="21"/>
          <w:szCs w:val="21"/>
        </w:rPr>
      </w:pPr>
      <w:r w:rsidRPr="00E10347">
        <w:rPr>
          <w:rFonts w:ascii="Palatino Linotype" w:hAnsi="Palatino Linotype" w:cs="Arial"/>
          <w:b/>
          <w:bCs/>
          <w:sz w:val="21"/>
          <w:szCs w:val="21"/>
        </w:rPr>
        <w:t>h</w:t>
      </w:r>
      <w:r w:rsidR="002014CA" w:rsidRPr="00E10347">
        <w:rPr>
          <w:rFonts w:ascii="Palatino Linotype" w:hAnsi="Palatino Linotype" w:cs="Arial"/>
          <w:b/>
          <w:bCs/>
          <w:sz w:val="21"/>
          <w:szCs w:val="21"/>
        </w:rPr>
        <w:t>.- La prueba de oficio debe ser relevante para sacar al Juez del “no liquet”. No cabe sobre hechos superfluos e inconducentes:</w:t>
      </w:r>
    </w:p>
    <w:p w:rsidR="002014CA" w:rsidRPr="00E10347" w:rsidRDefault="002014CA" w:rsidP="00E10347">
      <w:pPr>
        <w:ind w:firstLine="720"/>
        <w:jc w:val="both"/>
        <w:rPr>
          <w:rFonts w:ascii="Palatino Linotype" w:hAnsi="Palatino Linotype"/>
          <w:sz w:val="21"/>
          <w:szCs w:val="21"/>
          <w:lang w:val="es-MX"/>
        </w:rPr>
      </w:pPr>
      <w:r w:rsidRPr="00E10347">
        <w:rPr>
          <w:rFonts w:ascii="Palatino Linotype" w:hAnsi="Palatino Linotype"/>
          <w:sz w:val="21"/>
          <w:szCs w:val="21"/>
          <w:lang w:val="es-MX"/>
        </w:rPr>
        <w:t>La prueba oficiosa debe ser excepcionalísima, técnica, es decir, sobre aspectos técnicos que el Juez no domina y que sin ellos no podría de ningún modo resolver,</w:t>
      </w:r>
      <w:r w:rsidRPr="00E10347">
        <w:rPr>
          <w:rStyle w:val="Refdenotaalpie"/>
          <w:rFonts w:ascii="Palatino Linotype" w:hAnsi="Palatino Linotype"/>
          <w:sz w:val="21"/>
          <w:szCs w:val="21"/>
          <w:lang w:val="es-MX"/>
        </w:rPr>
        <w:footnoteReference w:id="75"/>
      </w:r>
      <w:r w:rsidRPr="00E10347">
        <w:rPr>
          <w:rFonts w:ascii="Palatino Linotype" w:hAnsi="Palatino Linotype"/>
          <w:sz w:val="21"/>
          <w:szCs w:val="21"/>
          <w:lang w:val="es-MX"/>
        </w:rPr>
        <w:t xml:space="preserve">  y aplicable en casos donde haya peligro de que un real y verdadero interés público esté evidentemente amenazado.   De hecho, la jurisprudencia laboral</w:t>
      </w:r>
      <w:r w:rsidRPr="00E10347">
        <w:rPr>
          <w:rStyle w:val="Refdenotaalpie"/>
          <w:rFonts w:ascii="Palatino Linotype" w:hAnsi="Palatino Linotype"/>
          <w:sz w:val="21"/>
          <w:szCs w:val="21"/>
          <w:lang w:val="es-MX"/>
        </w:rPr>
        <w:footnoteReference w:id="76"/>
      </w:r>
      <w:r w:rsidRPr="00E10347">
        <w:rPr>
          <w:rFonts w:ascii="Palatino Linotype" w:hAnsi="Palatino Linotype"/>
          <w:sz w:val="21"/>
          <w:szCs w:val="21"/>
          <w:lang w:val="es-MX"/>
        </w:rPr>
        <w:t xml:space="preserve"> establece como presupuesto de la prueba oficiosa este estado de non liquet. Es más que todo un problema de aplicación a casos y situaciones concretos cuyas causas las encontramos en la necesidad de una mayor y mejor capacitación de nuestros jueces, de acuerdo con las últimas tendencias humanizadoras del proceso.  Esto se debe complementar con mayores recursos económicos y humanos a nuestro Poder Judicial, para lograr la idoneidad de nuestros funcionarios, ya sean jueces o auxiliares. Se amerita una readecuación de recursos y políticas de corte administrativo, para satisfacer las necesidades generadas por la gran demanda de litigios y el consecuente congestionamiento presentado, principalmente,  en los modernos megadespachos y circuitos judiciales.</w:t>
      </w:r>
    </w:p>
    <w:p w:rsidR="009A5379" w:rsidRDefault="009A5379" w:rsidP="00E10347">
      <w:pPr>
        <w:jc w:val="both"/>
        <w:rPr>
          <w:rFonts w:ascii="Palatino Linotype" w:hAnsi="Palatino Linotype"/>
          <w:b/>
          <w:bCs/>
          <w:sz w:val="21"/>
          <w:szCs w:val="21"/>
          <w:lang w:val="es-MX"/>
        </w:rPr>
      </w:pPr>
    </w:p>
    <w:p w:rsidR="002014CA" w:rsidRPr="00E10347" w:rsidRDefault="009C21BD" w:rsidP="00E10347">
      <w:pPr>
        <w:jc w:val="both"/>
        <w:rPr>
          <w:rFonts w:ascii="Palatino Linotype" w:hAnsi="Palatino Linotype"/>
          <w:sz w:val="21"/>
          <w:szCs w:val="21"/>
          <w:lang w:val="es-MX"/>
        </w:rPr>
      </w:pPr>
      <w:r w:rsidRPr="00E10347">
        <w:rPr>
          <w:rFonts w:ascii="Palatino Linotype" w:hAnsi="Palatino Linotype"/>
          <w:b/>
          <w:bCs/>
          <w:sz w:val="21"/>
          <w:szCs w:val="21"/>
          <w:lang w:val="es-MX"/>
        </w:rPr>
        <w:t>i</w:t>
      </w:r>
      <w:r w:rsidR="002014CA" w:rsidRPr="00E10347">
        <w:rPr>
          <w:rFonts w:ascii="Palatino Linotype" w:hAnsi="Palatino Linotype"/>
          <w:b/>
          <w:bCs/>
          <w:sz w:val="21"/>
          <w:szCs w:val="21"/>
          <w:lang w:val="es-MX"/>
        </w:rPr>
        <w:t>.- El medio de prueba ordenado de oficio debe ser idóneo:</w:t>
      </w:r>
    </w:p>
    <w:p w:rsidR="002014CA" w:rsidRPr="00E10347" w:rsidRDefault="002014CA" w:rsidP="00E10347">
      <w:pPr>
        <w:jc w:val="both"/>
        <w:rPr>
          <w:rFonts w:ascii="Palatino Linotype" w:hAnsi="Palatino Linotype"/>
          <w:sz w:val="21"/>
          <w:szCs w:val="21"/>
          <w:lang w:val="es-MX"/>
        </w:rPr>
      </w:pPr>
      <w:r w:rsidRPr="00E10347">
        <w:rPr>
          <w:rFonts w:ascii="Palatino Linotype" w:hAnsi="Palatino Linotype"/>
          <w:sz w:val="21"/>
          <w:szCs w:val="21"/>
          <w:lang w:val="es-MX"/>
        </w:rPr>
        <w:lastRenderedPageBreak/>
        <w:tab/>
        <w:t>La prueba de oficio debe dejar de ser una prueba para mejor “atrasar” como se le conoce en corrillos judiciales.  Si el Juez va a pedir una prueba, como vimos, debe ser tan relevante como para ser capaz dicho medio de sacarlo de una verdadera situación de no liquet.</w:t>
      </w:r>
      <w:r w:rsidRPr="00E10347">
        <w:rPr>
          <w:rStyle w:val="Refdenotaalpie"/>
          <w:rFonts w:ascii="Palatino Linotype" w:hAnsi="Palatino Linotype"/>
          <w:sz w:val="21"/>
          <w:szCs w:val="21"/>
          <w:lang w:val="es-MX"/>
        </w:rPr>
        <w:footnoteReference w:id="77"/>
      </w:r>
      <w:r w:rsidRPr="00E10347">
        <w:rPr>
          <w:rFonts w:ascii="Palatino Linotype" w:hAnsi="Palatino Linotype"/>
          <w:sz w:val="21"/>
          <w:szCs w:val="21"/>
          <w:lang w:val="es-MX"/>
        </w:rPr>
        <w:t xml:space="preserve">  No cabe sobre hechos superfluos. </w:t>
      </w:r>
      <w:r w:rsidRPr="00E10347">
        <w:rPr>
          <w:rFonts w:ascii="Palatino Linotype" w:hAnsi="Palatino Linotype"/>
          <w:sz w:val="21"/>
          <w:szCs w:val="21"/>
          <w:lang w:val="es-MX"/>
        </w:rPr>
        <w:tab/>
        <w:t>Pero a la vez, el medio de prueba ordenado debe ser útil, coherente con la naturaleza del hecho que es objeto de prueba.  No debe el Juez ordenar por ejemplo, confesional para un hecho no personal, o un testimonio de alguien que no ha presenciado los hechos para suplir un peritaje, pues no encaja en los supuestos del testigo técnico (testigo directo que tiene conocimiento técnico  o científico de lo sucedido).</w:t>
      </w:r>
    </w:p>
    <w:p w:rsidR="00A22DC1" w:rsidRPr="00E10347" w:rsidRDefault="00A22DC1" w:rsidP="00E10347">
      <w:pPr>
        <w:jc w:val="both"/>
        <w:rPr>
          <w:rFonts w:ascii="Palatino Linotype" w:hAnsi="Palatino Linotype"/>
          <w:b/>
          <w:bCs/>
          <w:sz w:val="21"/>
          <w:szCs w:val="21"/>
          <w:lang w:val="es-MX"/>
        </w:rPr>
      </w:pPr>
    </w:p>
    <w:p w:rsidR="002014CA" w:rsidRPr="00E10347" w:rsidRDefault="009C21BD" w:rsidP="00E10347">
      <w:pPr>
        <w:jc w:val="both"/>
        <w:rPr>
          <w:rFonts w:ascii="Palatino Linotype" w:hAnsi="Palatino Linotype"/>
          <w:b/>
          <w:bCs/>
          <w:sz w:val="21"/>
          <w:szCs w:val="21"/>
          <w:lang w:val="es-MX"/>
        </w:rPr>
      </w:pPr>
      <w:r w:rsidRPr="00E10347">
        <w:rPr>
          <w:rFonts w:ascii="Palatino Linotype" w:hAnsi="Palatino Linotype"/>
          <w:b/>
          <w:bCs/>
          <w:sz w:val="21"/>
          <w:szCs w:val="21"/>
          <w:lang w:val="es-MX"/>
        </w:rPr>
        <w:t>j</w:t>
      </w:r>
      <w:r w:rsidR="002014CA" w:rsidRPr="00E10347">
        <w:rPr>
          <w:rFonts w:ascii="Palatino Linotype" w:hAnsi="Palatino Linotype"/>
          <w:b/>
          <w:bCs/>
          <w:sz w:val="21"/>
          <w:szCs w:val="21"/>
          <w:lang w:val="es-MX"/>
        </w:rPr>
        <w:t>.-  La prueba oficiosa permite contraprueba de las partes:</w:t>
      </w:r>
    </w:p>
    <w:p w:rsidR="002014CA" w:rsidRPr="00E10347" w:rsidRDefault="002014CA" w:rsidP="00E10347">
      <w:pPr>
        <w:pStyle w:val="Sangra2detindependiente"/>
        <w:spacing w:after="0" w:line="240" w:lineRule="auto"/>
        <w:ind w:left="0" w:firstLine="708"/>
        <w:jc w:val="both"/>
        <w:rPr>
          <w:rFonts w:ascii="Palatino Linotype" w:hAnsi="Palatino Linotype"/>
          <w:bCs/>
          <w:sz w:val="21"/>
          <w:szCs w:val="21"/>
          <w:lang w:val="es-MX"/>
        </w:rPr>
      </w:pPr>
      <w:r w:rsidRPr="00E10347">
        <w:rPr>
          <w:rFonts w:ascii="Palatino Linotype" w:hAnsi="Palatino Linotype"/>
          <w:bCs/>
          <w:sz w:val="21"/>
          <w:szCs w:val="21"/>
          <w:lang w:val="es-MX"/>
        </w:rPr>
        <w:t>La prueba oficiosa no puede surgir en el proceso sin darle derecho al contradictorio (principio de bilateralidad de la audiencia) a las partes.  Si el Juez ordena e incorpora sorpresivamente una prueba al proceso, luego del alegato de conclusiones debe darle audiencia a las partes e inclusive, darles la oportunidad de ofrecer contraprueba.</w:t>
      </w:r>
      <w:r w:rsidRPr="00E10347">
        <w:rPr>
          <w:rStyle w:val="Refdenotaalpie"/>
          <w:rFonts w:ascii="Palatino Linotype" w:hAnsi="Palatino Linotype"/>
          <w:bCs/>
          <w:sz w:val="21"/>
          <w:szCs w:val="21"/>
          <w:lang w:val="es-MX"/>
        </w:rPr>
        <w:footnoteReference w:id="78"/>
      </w:r>
      <w:r w:rsidRPr="00E10347">
        <w:rPr>
          <w:rFonts w:ascii="Palatino Linotype" w:hAnsi="Palatino Linotype"/>
          <w:bCs/>
          <w:sz w:val="21"/>
          <w:szCs w:val="21"/>
          <w:lang w:val="es-MX"/>
        </w:rPr>
        <w:t xml:space="preserve"> Se ha dicho que la prueba oficiosa es prueba del Juez, pero también creo que las partes tienen el derecho a discernir sobre sus resultados, en aras del debido proceso. La reforma procesal laboral ha escuchado nuestra teoría al establecer en el artículo 486 este requerimiento.</w:t>
      </w:r>
    </w:p>
    <w:p w:rsidR="00A22DC1" w:rsidRPr="00E10347" w:rsidRDefault="00A22DC1" w:rsidP="00E10347">
      <w:pPr>
        <w:pStyle w:val="Sangra2detindependiente"/>
        <w:spacing w:after="0" w:line="240" w:lineRule="auto"/>
        <w:ind w:left="0"/>
        <w:rPr>
          <w:rFonts w:ascii="Palatino Linotype" w:hAnsi="Palatino Linotype"/>
          <w:b/>
          <w:sz w:val="21"/>
          <w:szCs w:val="21"/>
          <w:lang w:val="es-MX"/>
        </w:rPr>
      </w:pPr>
    </w:p>
    <w:p w:rsidR="002014CA" w:rsidRPr="00E10347" w:rsidRDefault="002014CA" w:rsidP="00E10347">
      <w:pPr>
        <w:pStyle w:val="Sangra2detindependiente"/>
        <w:spacing w:after="0" w:line="240" w:lineRule="auto"/>
        <w:ind w:left="0"/>
        <w:rPr>
          <w:rFonts w:ascii="Palatino Linotype" w:hAnsi="Palatino Linotype"/>
          <w:b/>
          <w:sz w:val="21"/>
          <w:szCs w:val="21"/>
          <w:lang w:val="es-MX"/>
        </w:rPr>
      </w:pPr>
      <w:r w:rsidRPr="00E10347">
        <w:rPr>
          <w:rFonts w:ascii="Palatino Linotype" w:hAnsi="Palatino Linotype"/>
          <w:b/>
          <w:sz w:val="21"/>
          <w:szCs w:val="21"/>
          <w:lang w:val="es-MX"/>
        </w:rPr>
        <w:t>6.- Conclusiones</w:t>
      </w:r>
    </w:p>
    <w:p w:rsidR="002014CA" w:rsidRPr="00E10347" w:rsidRDefault="002014CA" w:rsidP="00E10347">
      <w:pPr>
        <w:ind w:firstLine="708"/>
        <w:jc w:val="both"/>
        <w:rPr>
          <w:rFonts w:ascii="Palatino Linotype" w:hAnsi="Palatino Linotype"/>
          <w:sz w:val="21"/>
          <w:szCs w:val="21"/>
        </w:rPr>
      </w:pPr>
      <w:r w:rsidRPr="00E10347">
        <w:rPr>
          <w:rFonts w:ascii="Palatino Linotype" w:hAnsi="Palatino Linotype"/>
          <w:sz w:val="21"/>
          <w:szCs w:val="21"/>
        </w:rPr>
        <w:t>Bajo esta inteligencia, se plantean las siguientes conclusiones generales:</w:t>
      </w:r>
    </w:p>
    <w:p w:rsidR="002014CA" w:rsidRPr="00E10347" w:rsidRDefault="002014CA" w:rsidP="00E83320">
      <w:pPr>
        <w:widowControl/>
        <w:numPr>
          <w:ilvl w:val="0"/>
          <w:numId w:val="28"/>
        </w:numPr>
        <w:autoSpaceDE/>
        <w:autoSpaceDN/>
        <w:adjustRightInd/>
        <w:jc w:val="both"/>
        <w:rPr>
          <w:rFonts w:ascii="Palatino Linotype" w:hAnsi="Palatino Linotype"/>
          <w:sz w:val="21"/>
          <w:szCs w:val="21"/>
        </w:rPr>
      </w:pPr>
      <w:r w:rsidRPr="00E10347">
        <w:rPr>
          <w:rFonts w:ascii="Palatino Linotype" w:hAnsi="Palatino Linotype"/>
          <w:sz w:val="21"/>
          <w:szCs w:val="21"/>
        </w:rPr>
        <w:t xml:space="preserve">El proceso civil, laboral y agrario no son los mismos que hace dos décadas, pues la evolución jurisprudencial del concepto del debido proceso a la luz de los derechos humanos de tercera generación contenidos en la Constitución Política, los tratados e instrumentos internacionales en la materia, las leyes procesales y la jurisprudencia tanto de la Sala Constitucional como de los tribunales internacionales en derechos humanos, han redimensionado el proceso  y la función del </w:t>
      </w:r>
      <w:r w:rsidRPr="00E10347">
        <w:rPr>
          <w:rFonts w:ascii="Palatino Linotype" w:hAnsi="Palatino Linotype"/>
          <w:sz w:val="21"/>
          <w:szCs w:val="21"/>
        </w:rPr>
        <w:lastRenderedPageBreak/>
        <w:t>Juez más que un inquisidor en un juzgador garantista de los derechos de los ciudadanos.</w:t>
      </w:r>
    </w:p>
    <w:p w:rsidR="002014CA" w:rsidRPr="00E10347" w:rsidRDefault="002014CA" w:rsidP="00E83320">
      <w:pPr>
        <w:widowControl/>
        <w:numPr>
          <w:ilvl w:val="0"/>
          <w:numId w:val="28"/>
        </w:numPr>
        <w:autoSpaceDE/>
        <w:autoSpaceDN/>
        <w:adjustRightInd/>
        <w:jc w:val="both"/>
        <w:rPr>
          <w:rFonts w:ascii="Palatino Linotype" w:hAnsi="Palatino Linotype"/>
          <w:sz w:val="21"/>
          <w:szCs w:val="21"/>
        </w:rPr>
      </w:pPr>
      <w:r w:rsidRPr="00E10347">
        <w:rPr>
          <w:rFonts w:ascii="Palatino Linotype" w:hAnsi="Palatino Linotype"/>
          <w:sz w:val="21"/>
          <w:szCs w:val="21"/>
          <w:lang w:val="es-MX"/>
        </w:rPr>
        <w:t>Ser Juez, además de cumplir con los requisitos que la ley exige para desempeñar el cargo, comprende un perfil que incluye de elementos axiológicos (imparcialidad, sensibilidad social) y fácticos (excelencia académica, esfuerzo, planificación, buen manejo de las relaciones humanas, vocación científica en investigar, lucha efectiva contra la morosidad judicial) además de lo meramente normativo.</w:t>
      </w:r>
    </w:p>
    <w:p w:rsidR="002014CA" w:rsidRPr="00E10347" w:rsidRDefault="002014CA" w:rsidP="00E83320">
      <w:pPr>
        <w:widowControl/>
        <w:numPr>
          <w:ilvl w:val="0"/>
          <w:numId w:val="28"/>
        </w:numPr>
        <w:autoSpaceDE/>
        <w:autoSpaceDN/>
        <w:adjustRightInd/>
        <w:jc w:val="both"/>
        <w:rPr>
          <w:rFonts w:ascii="Palatino Linotype" w:hAnsi="Palatino Linotype"/>
          <w:sz w:val="21"/>
          <w:szCs w:val="21"/>
        </w:rPr>
      </w:pPr>
      <w:r w:rsidRPr="00E10347">
        <w:rPr>
          <w:rFonts w:ascii="Palatino Linotype" w:hAnsi="Palatino Linotype"/>
          <w:sz w:val="21"/>
          <w:szCs w:val="21"/>
        </w:rPr>
        <w:t>La función jurisdiccional no es un poder absoluto ni ilimitado en manos de los jueces, es un poder y un deber del Estado confiado a la figura del Juez, que en todo sentido debe dirigir el proceso garantizando en todo momento el debido proceso. Por ello, las mismas fuentes formales y materiales del Derecho Procesal son límites que justifican a la vez</w:t>
      </w:r>
      <w:r w:rsidR="009C21BD" w:rsidRPr="00E10347">
        <w:rPr>
          <w:rFonts w:ascii="Palatino Linotype" w:hAnsi="Palatino Linotype"/>
          <w:sz w:val="21"/>
          <w:szCs w:val="21"/>
        </w:rPr>
        <w:t>,</w:t>
      </w:r>
      <w:r w:rsidRPr="00E10347">
        <w:rPr>
          <w:rFonts w:ascii="Palatino Linotype" w:hAnsi="Palatino Linotype"/>
          <w:sz w:val="21"/>
          <w:szCs w:val="21"/>
        </w:rPr>
        <w:t xml:space="preserve"> los poderes del Juez.</w:t>
      </w:r>
    </w:p>
    <w:p w:rsidR="002014CA" w:rsidRPr="00E10347" w:rsidRDefault="002014CA" w:rsidP="00E83320">
      <w:pPr>
        <w:widowControl/>
        <w:numPr>
          <w:ilvl w:val="0"/>
          <w:numId w:val="28"/>
        </w:numPr>
        <w:autoSpaceDE/>
        <w:autoSpaceDN/>
        <w:adjustRightInd/>
        <w:jc w:val="both"/>
        <w:rPr>
          <w:rFonts w:ascii="Palatino Linotype" w:hAnsi="Palatino Linotype"/>
          <w:sz w:val="21"/>
          <w:szCs w:val="21"/>
        </w:rPr>
      </w:pPr>
      <w:r w:rsidRPr="00E10347">
        <w:rPr>
          <w:rFonts w:ascii="Palatino Linotype" w:hAnsi="Palatino Linotype"/>
          <w:sz w:val="21"/>
          <w:szCs w:val="21"/>
        </w:rPr>
        <w:t>El contenido mínimo del derecho constitucional al debido proceso y las garantías que lo conforman (defensa, juez natural, doble instancia, proceso sin dilaciones indebidas, imparcialidad), desarrollado por la jurisprudencia constitucional costarricense, implica necesariamente un cambio en la concepción de los poderes del Juez, donde dicho funcionario debe respetar el thema decidendum, el onus probandi y la causa petendi de las partes y sancionar y prevenir toda actuación disfuncional que implique abuso procesal.</w:t>
      </w:r>
    </w:p>
    <w:p w:rsidR="002014CA" w:rsidRPr="00E10347" w:rsidRDefault="002014CA" w:rsidP="00E83320">
      <w:pPr>
        <w:widowControl/>
        <w:numPr>
          <w:ilvl w:val="0"/>
          <w:numId w:val="28"/>
        </w:numPr>
        <w:autoSpaceDE/>
        <w:autoSpaceDN/>
        <w:adjustRightInd/>
        <w:jc w:val="both"/>
        <w:rPr>
          <w:rFonts w:ascii="Palatino Linotype" w:hAnsi="Palatino Linotype"/>
          <w:sz w:val="21"/>
          <w:szCs w:val="21"/>
        </w:rPr>
      </w:pPr>
      <w:r w:rsidRPr="00E10347">
        <w:rPr>
          <w:rFonts w:ascii="Palatino Linotype" w:hAnsi="Palatino Linotype"/>
          <w:sz w:val="21"/>
          <w:szCs w:val="21"/>
        </w:rPr>
        <w:t>Un ejercicio disfuncional o excesivo de las potestades procesales de parte de los Jueces en detrimento del derecho de defensa de las partes constituye abuso procesal donde el sujeto activo sería el mismo Juzgador, conllevando la aplicación del régimen de responsabilidad disciplinaria, patrimonial e incluso penal, en casos de mediar dolo de parte del juez abusador.</w:t>
      </w:r>
    </w:p>
    <w:p w:rsidR="002014CA" w:rsidRPr="00E10347" w:rsidRDefault="002014CA" w:rsidP="00E83320">
      <w:pPr>
        <w:widowControl/>
        <w:numPr>
          <w:ilvl w:val="0"/>
          <w:numId w:val="28"/>
        </w:numPr>
        <w:autoSpaceDE/>
        <w:autoSpaceDN/>
        <w:adjustRightInd/>
        <w:jc w:val="both"/>
        <w:rPr>
          <w:rFonts w:ascii="Palatino Linotype" w:hAnsi="Palatino Linotype"/>
          <w:sz w:val="21"/>
          <w:szCs w:val="21"/>
        </w:rPr>
      </w:pPr>
      <w:r w:rsidRPr="00E10347">
        <w:rPr>
          <w:rFonts w:ascii="Palatino Linotype" w:hAnsi="Palatino Linotype"/>
          <w:sz w:val="21"/>
          <w:szCs w:val="21"/>
        </w:rPr>
        <w:t>La iniciativa probatoria del Juez y la verdad real no es un asunto exclusivo de determinada materia jurídica. Nuestra Teoría de Presupuestos de Aplicación de la Prueba Oficiosa implica:</w:t>
      </w:r>
    </w:p>
    <w:p w:rsidR="002014CA" w:rsidRPr="00E10347" w:rsidRDefault="002014CA" w:rsidP="00E83320">
      <w:pPr>
        <w:widowControl/>
        <w:numPr>
          <w:ilvl w:val="0"/>
          <w:numId w:val="29"/>
        </w:numPr>
        <w:autoSpaceDE/>
        <w:autoSpaceDN/>
        <w:adjustRightInd/>
        <w:jc w:val="both"/>
        <w:rPr>
          <w:rFonts w:ascii="Palatino Linotype" w:hAnsi="Palatino Linotype"/>
          <w:sz w:val="21"/>
          <w:szCs w:val="21"/>
          <w:lang w:val="es-MX"/>
        </w:rPr>
      </w:pPr>
      <w:r w:rsidRPr="00E10347">
        <w:rPr>
          <w:rFonts w:ascii="Palatino Linotype" w:hAnsi="Palatino Linotype"/>
          <w:sz w:val="21"/>
          <w:szCs w:val="21"/>
          <w:lang w:val="es-MX"/>
        </w:rPr>
        <w:t>El juez debe ajustarse al thema decidendum delimitado por las partes (prueba pertinente), salvo cuando hay peligro de violación a intereses públicos o caso de fraude procesal.</w:t>
      </w:r>
    </w:p>
    <w:p w:rsidR="002014CA" w:rsidRPr="00E10347" w:rsidRDefault="002014CA" w:rsidP="00E83320">
      <w:pPr>
        <w:widowControl/>
        <w:numPr>
          <w:ilvl w:val="0"/>
          <w:numId w:val="29"/>
        </w:numPr>
        <w:autoSpaceDE/>
        <w:autoSpaceDN/>
        <w:adjustRightInd/>
        <w:jc w:val="both"/>
        <w:rPr>
          <w:rFonts w:ascii="Palatino Linotype" w:hAnsi="Palatino Linotype"/>
          <w:sz w:val="21"/>
          <w:szCs w:val="21"/>
        </w:rPr>
      </w:pPr>
      <w:r w:rsidRPr="00E10347">
        <w:rPr>
          <w:rFonts w:ascii="Palatino Linotype" w:hAnsi="Palatino Linotype"/>
          <w:sz w:val="21"/>
          <w:szCs w:val="21"/>
        </w:rPr>
        <w:lastRenderedPageBreak/>
        <w:t>La prueba de oficio debe ser relevante para sacar al Juez del “no liquet” (prueba útil). No cabe sobre hechos superfluos e inconducentes.</w:t>
      </w:r>
    </w:p>
    <w:p w:rsidR="002014CA" w:rsidRPr="00E10347" w:rsidRDefault="002014CA" w:rsidP="00E83320">
      <w:pPr>
        <w:widowControl/>
        <w:numPr>
          <w:ilvl w:val="0"/>
          <w:numId w:val="29"/>
        </w:numPr>
        <w:autoSpaceDE/>
        <w:autoSpaceDN/>
        <w:adjustRightInd/>
        <w:jc w:val="both"/>
        <w:rPr>
          <w:rFonts w:ascii="Palatino Linotype" w:hAnsi="Palatino Linotype"/>
          <w:sz w:val="21"/>
          <w:szCs w:val="21"/>
        </w:rPr>
      </w:pPr>
      <w:r w:rsidRPr="00E10347">
        <w:rPr>
          <w:rFonts w:ascii="Palatino Linotype" w:hAnsi="Palatino Linotype"/>
          <w:sz w:val="21"/>
          <w:szCs w:val="21"/>
          <w:lang w:val="es-MX"/>
        </w:rPr>
        <w:t>El medio de prueba ordenado de oficio debe ser idóneo respecto de la naturaleza ontológica del hecho objeto de prueba.</w:t>
      </w:r>
    </w:p>
    <w:p w:rsidR="002014CA" w:rsidRPr="00E10347" w:rsidRDefault="002014CA" w:rsidP="00E83320">
      <w:pPr>
        <w:widowControl/>
        <w:numPr>
          <w:ilvl w:val="0"/>
          <w:numId w:val="29"/>
        </w:numPr>
        <w:autoSpaceDE/>
        <w:autoSpaceDN/>
        <w:adjustRightInd/>
        <w:jc w:val="both"/>
        <w:rPr>
          <w:rFonts w:ascii="Palatino Linotype" w:hAnsi="Palatino Linotype"/>
          <w:sz w:val="21"/>
          <w:szCs w:val="21"/>
        </w:rPr>
      </w:pPr>
      <w:r w:rsidRPr="00E10347">
        <w:rPr>
          <w:rFonts w:ascii="Palatino Linotype" w:hAnsi="Palatino Linotype"/>
          <w:sz w:val="21"/>
          <w:szCs w:val="21"/>
        </w:rPr>
        <w:t>La prueba oficiosa debe permitir contraprueba de las partes.</w:t>
      </w:r>
    </w:p>
    <w:p w:rsidR="002014CA" w:rsidRPr="00E10347" w:rsidRDefault="002014CA" w:rsidP="00E10347">
      <w:pPr>
        <w:ind w:firstLine="708"/>
        <w:jc w:val="both"/>
        <w:rPr>
          <w:rFonts w:ascii="Palatino Linotype" w:hAnsi="Palatino Linotype"/>
          <w:sz w:val="21"/>
          <w:szCs w:val="21"/>
          <w:lang w:val="es-MX"/>
        </w:rPr>
        <w:sectPr w:rsidR="002014CA" w:rsidRPr="00E10347" w:rsidSect="00FC1DF6">
          <w:headerReference w:type="even" r:id="rId16"/>
          <w:headerReference w:type="default" r:id="rId17"/>
          <w:type w:val="oddPage"/>
          <w:pgSz w:w="12240" w:h="15840" w:code="1"/>
          <w:pgMar w:top="1667" w:right="851" w:bottom="4253" w:left="3686" w:header="1021" w:footer="3005" w:gutter="0"/>
          <w:cols w:space="708"/>
          <w:titlePg/>
          <w:docGrid w:linePitch="360"/>
        </w:sectPr>
      </w:pPr>
      <w:r w:rsidRPr="00E10347">
        <w:rPr>
          <w:rFonts w:ascii="Palatino Linotype" w:hAnsi="Palatino Linotype"/>
          <w:sz w:val="21"/>
          <w:szCs w:val="21"/>
          <w:lang w:val="es-MX"/>
        </w:rPr>
        <w:t xml:space="preserve">Por su carácter social, la función jurisdiccional no podría ser llevada a cabo de otra manera sin un papel activo del juez; lo que nos lleva a la erradicación de todo signo de pasividad y sedentariedad del juzgador; pues los principios de inmediatez y verdad real lo obligan a asistir al lugar de los hechos, a recibir personalmente la prueba, a solicitar la prueba pertinente aún si no es proporcionada por las partes y a dirigir el proceso eliminando todo vicio de nulidad que diera al traste con el desarrollo normal del proceso y la equidad de sus fallos.  Y para una tener equidad en sus resoluciones de fondo, el juzgador deberá tener una característica innata: </w:t>
      </w:r>
      <w:r w:rsidRPr="00E10347">
        <w:rPr>
          <w:rFonts w:ascii="Palatino Linotype" w:hAnsi="Palatino Linotype"/>
          <w:i/>
          <w:iCs/>
          <w:sz w:val="21"/>
          <w:szCs w:val="21"/>
          <w:lang w:val="es-MX"/>
        </w:rPr>
        <w:t>sensibilidad social</w:t>
      </w:r>
      <w:r w:rsidRPr="00E10347">
        <w:rPr>
          <w:rFonts w:ascii="Palatino Linotype" w:hAnsi="Palatino Linotype"/>
          <w:sz w:val="21"/>
          <w:szCs w:val="21"/>
          <w:lang w:val="es-MX"/>
        </w:rPr>
        <w:t>.</w:t>
      </w:r>
    </w:p>
    <w:p w:rsidR="00C4690B" w:rsidRDefault="00C4690B" w:rsidP="00E10347">
      <w:pPr>
        <w:rPr>
          <w:rFonts w:ascii="Palatino Linotype" w:hAnsi="Palatino Linotype"/>
          <w:sz w:val="21"/>
          <w:szCs w:val="21"/>
        </w:rPr>
      </w:pPr>
    </w:p>
    <w:p w:rsidR="005F65BE" w:rsidRDefault="005F65BE" w:rsidP="00E10347">
      <w:pPr>
        <w:rPr>
          <w:rFonts w:ascii="Palatino Linotype" w:hAnsi="Palatino Linotype"/>
          <w:sz w:val="21"/>
          <w:szCs w:val="21"/>
        </w:rPr>
      </w:pPr>
    </w:p>
    <w:p w:rsidR="005F65BE" w:rsidRDefault="005F65BE" w:rsidP="00E10347">
      <w:pPr>
        <w:rPr>
          <w:rFonts w:ascii="Palatino Linotype" w:hAnsi="Palatino Linotype"/>
          <w:sz w:val="21"/>
          <w:szCs w:val="21"/>
        </w:rPr>
      </w:pPr>
    </w:p>
    <w:p w:rsidR="005F65BE" w:rsidRDefault="005F65BE" w:rsidP="00E10347">
      <w:pPr>
        <w:rPr>
          <w:rFonts w:ascii="Palatino Linotype" w:hAnsi="Palatino Linotype"/>
          <w:sz w:val="21"/>
          <w:szCs w:val="21"/>
        </w:rPr>
      </w:pPr>
    </w:p>
    <w:p w:rsidR="005F65BE" w:rsidRDefault="005F65BE" w:rsidP="00E10347">
      <w:pPr>
        <w:rPr>
          <w:rFonts w:ascii="Palatino Linotype" w:hAnsi="Palatino Linotype"/>
          <w:sz w:val="21"/>
          <w:szCs w:val="21"/>
        </w:rPr>
      </w:pPr>
    </w:p>
    <w:p w:rsidR="005F65BE" w:rsidRDefault="005F65BE" w:rsidP="00E10347">
      <w:pPr>
        <w:rPr>
          <w:rFonts w:ascii="Palatino Linotype" w:hAnsi="Palatino Linotype"/>
          <w:sz w:val="21"/>
          <w:szCs w:val="21"/>
        </w:rPr>
      </w:pPr>
    </w:p>
    <w:p w:rsidR="005F65BE" w:rsidRDefault="005F65BE" w:rsidP="00E10347">
      <w:pPr>
        <w:rPr>
          <w:rFonts w:ascii="Palatino Linotype" w:hAnsi="Palatino Linotype"/>
          <w:sz w:val="21"/>
          <w:szCs w:val="21"/>
        </w:rPr>
      </w:pPr>
    </w:p>
    <w:p w:rsidR="005F65BE" w:rsidRDefault="005F65BE" w:rsidP="00E10347">
      <w:pPr>
        <w:rPr>
          <w:rFonts w:ascii="Palatino Linotype" w:hAnsi="Palatino Linotype"/>
          <w:sz w:val="21"/>
          <w:szCs w:val="21"/>
        </w:rPr>
      </w:pPr>
    </w:p>
    <w:p w:rsidR="005F65BE" w:rsidRDefault="005F65BE" w:rsidP="00E10347">
      <w:pPr>
        <w:rPr>
          <w:rFonts w:ascii="Palatino Linotype" w:hAnsi="Palatino Linotype"/>
          <w:sz w:val="21"/>
          <w:szCs w:val="21"/>
        </w:rPr>
      </w:pPr>
    </w:p>
    <w:p w:rsidR="005F65BE" w:rsidRDefault="005F65BE" w:rsidP="00E10347">
      <w:pPr>
        <w:rPr>
          <w:rFonts w:ascii="Palatino Linotype" w:hAnsi="Palatino Linotype"/>
          <w:sz w:val="21"/>
          <w:szCs w:val="21"/>
        </w:rPr>
      </w:pPr>
    </w:p>
    <w:p w:rsidR="005F65BE" w:rsidRDefault="005F65BE" w:rsidP="00E10347">
      <w:pPr>
        <w:rPr>
          <w:rFonts w:ascii="Palatino Linotype" w:hAnsi="Palatino Linotype"/>
          <w:sz w:val="21"/>
          <w:szCs w:val="21"/>
        </w:rPr>
      </w:pPr>
    </w:p>
    <w:p w:rsidR="005F65BE" w:rsidRDefault="005F65BE" w:rsidP="00E10347">
      <w:pPr>
        <w:rPr>
          <w:rFonts w:ascii="Palatino Linotype" w:hAnsi="Palatino Linotype"/>
          <w:sz w:val="21"/>
          <w:szCs w:val="21"/>
        </w:rPr>
      </w:pPr>
    </w:p>
    <w:p w:rsidR="005F65BE" w:rsidRDefault="005F65BE" w:rsidP="00E10347">
      <w:pPr>
        <w:rPr>
          <w:rFonts w:ascii="Palatino Linotype" w:hAnsi="Palatino Linotype"/>
          <w:sz w:val="21"/>
          <w:szCs w:val="21"/>
        </w:rPr>
      </w:pPr>
    </w:p>
    <w:p w:rsidR="005F65BE" w:rsidRDefault="005F65BE" w:rsidP="00E10347">
      <w:pPr>
        <w:rPr>
          <w:rFonts w:ascii="Palatino Linotype" w:hAnsi="Palatino Linotype"/>
          <w:sz w:val="21"/>
          <w:szCs w:val="21"/>
        </w:rPr>
      </w:pPr>
    </w:p>
    <w:p w:rsidR="005F65BE" w:rsidRDefault="005F65BE" w:rsidP="00E10347">
      <w:pPr>
        <w:rPr>
          <w:rFonts w:ascii="Palatino Linotype" w:hAnsi="Palatino Linotype"/>
          <w:sz w:val="21"/>
          <w:szCs w:val="21"/>
        </w:rPr>
      </w:pPr>
    </w:p>
    <w:p w:rsidR="005F65BE" w:rsidRDefault="005F65BE" w:rsidP="00E10347">
      <w:pPr>
        <w:rPr>
          <w:rFonts w:ascii="Palatino Linotype" w:hAnsi="Palatino Linotype"/>
          <w:sz w:val="21"/>
          <w:szCs w:val="21"/>
        </w:rPr>
      </w:pPr>
    </w:p>
    <w:p w:rsidR="005F65BE" w:rsidRDefault="005F65BE" w:rsidP="00E10347">
      <w:pPr>
        <w:rPr>
          <w:rFonts w:ascii="Palatino Linotype" w:hAnsi="Palatino Linotype"/>
          <w:sz w:val="21"/>
          <w:szCs w:val="21"/>
        </w:rPr>
      </w:pPr>
    </w:p>
    <w:p w:rsidR="005F65BE" w:rsidRDefault="005F65BE" w:rsidP="00E10347">
      <w:pPr>
        <w:rPr>
          <w:rFonts w:ascii="Palatino Linotype" w:hAnsi="Palatino Linotype"/>
          <w:sz w:val="21"/>
          <w:szCs w:val="21"/>
        </w:rPr>
      </w:pPr>
    </w:p>
    <w:p w:rsidR="005F65BE" w:rsidRDefault="005F65BE" w:rsidP="00E10347">
      <w:pPr>
        <w:rPr>
          <w:rFonts w:ascii="Palatino Linotype" w:hAnsi="Palatino Linotype"/>
          <w:sz w:val="21"/>
          <w:szCs w:val="21"/>
        </w:rPr>
      </w:pPr>
    </w:p>
    <w:p w:rsidR="005F65BE" w:rsidRDefault="005F65BE" w:rsidP="00E10347">
      <w:pPr>
        <w:rPr>
          <w:rFonts w:ascii="Palatino Linotype" w:hAnsi="Palatino Linotype"/>
          <w:sz w:val="21"/>
          <w:szCs w:val="21"/>
        </w:rPr>
      </w:pPr>
    </w:p>
    <w:p w:rsidR="002014CA" w:rsidRPr="004B3229" w:rsidRDefault="002014CA" w:rsidP="00E10347">
      <w:pPr>
        <w:jc w:val="center"/>
        <w:rPr>
          <w:rFonts w:ascii="Palatino Linotype" w:hAnsi="Palatino Linotype"/>
          <w:b/>
          <w:sz w:val="40"/>
          <w:szCs w:val="40"/>
        </w:rPr>
      </w:pPr>
      <w:r w:rsidRPr="004B3229">
        <w:rPr>
          <w:rFonts w:ascii="Palatino Linotype" w:hAnsi="Palatino Linotype"/>
          <w:b/>
          <w:sz w:val="40"/>
          <w:szCs w:val="40"/>
        </w:rPr>
        <w:t>MATERIA CIVIL</w:t>
      </w:r>
    </w:p>
    <w:p w:rsidR="00C4690B" w:rsidRPr="00E10347" w:rsidRDefault="00C4690B" w:rsidP="00E10347">
      <w:pPr>
        <w:pStyle w:val="Ttulo1"/>
        <w:spacing w:before="0"/>
        <w:ind w:firstLine="709"/>
        <w:jc w:val="center"/>
        <w:rPr>
          <w:rFonts w:ascii="Palatino Linotype" w:eastAsia="Times New Roman" w:hAnsi="Palatino Linotype"/>
          <w:color w:val="auto"/>
          <w:sz w:val="21"/>
          <w:szCs w:val="21"/>
          <w:lang w:val="es-CR"/>
        </w:rPr>
      </w:pPr>
    </w:p>
    <w:p w:rsidR="002014CA" w:rsidRPr="00E10347" w:rsidRDefault="002014CA" w:rsidP="00E10347">
      <w:pPr>
        <w:rPr>
          <w:rFonts w:ascii="Palatino Linotype" w:hAnsi="Palatino Linotype"/>
          <w:sz w:val="21"/>
          <w:szCs w:val="21"/>
          <w:lang w:val="es-CR"/>
        </w:rPr>
      </w:pPr>
    </w:p>
    <w:p w:rsidR="005F65BE" w:rsidRDefault="005F65BE" w:rsidP="00E10347">
      <w:pPr>
        <w:rPr>
          <w:rFonts w:ascii="Palatino Linotype" w:hAnsi="Palatino Linotype"/>
          <w:sz w:val="21"/>
          <w:szCs w:val="21"/>
          <w:lang w:val="es-CR"/>
        </w:rPr>
      </w:pPr>
    </w:p>
    <w:p w:rsidR="005F65BE" w:rsidRPr="005F65BE" w:rsidRDefault="005F65BE" w:rsidP="005F65BE">
      <w:pPr>
        <w:rPr>
          <w:rFonts w:ascii="Palatino Linotype" w:hAnsi="Palatino Linotype"/>
          <w:sz w:val="21"/>
          <w:szCs w:val="21"/>
          <w:lang w:val="es-CR"/>
        </w:rPr>
      </w:pPr>
    </w:p>
    <w:p w:rsidR="005F65BE" w:rsidRPr="005F65BE" w:rsidRDefault="005F65BE" w:rsidP="005F65BE">
      <w:pPr>
        <w:rPr>
          <w:rFonts w:ascii="Palatino Linotype" w:hAnsi="Palatino Linotype"/>
          <w:sz w:val="21"/>
          <w:szCs w:val="21"/>
          <w:lang w:val="es-CR"/>
        </w:rPr>
      </w:pPr>
    </w:p>
    <w:p w:rsidR="005F65BE" w:rsidRPr="005F65BE" w:rsidRDefault="005F65BE" w:rsidP="005F65BE">
      <w:pPr>
        <w:rPr>
          <w:rFonts w:ascii="Palatino Linotype" w:hAnsi="Palatino Linotype"/>
          <w:sz w:val="21"/>
          <w:szCs w:val="21"/>
          <w:lang w:val="es-CR"/>
        </w:rPr>
      </w:pPr>
    </w:p>
    <w:p w:rsidR="005F65BE" w:rsidRPr="005F65BE" w:rsidRDefault="005F65BE" w:rsidP="005F65BE">
      <w:pPr>
        <w:rPr>
          <w:rFonts w:ascii="Palatino Linotype" w:hAnsi="Palatino Linotype"/>
          <w:sz w:val="21"/>
          <w:szCs w:val="21"/>
          <w:lang w:val="es-CR"/>
        </w:rPr>
      </w:pPr>
    </w:p>
    <w:p w:rsidR="005F65BE" w:rsidRPr="005F65BE" w:rsidRDefault="005F65BE" w:rsidP="005F65BE">
      <w:pPr>
        <w:rPr>
          <w:rFonts w:ascii="Palatino Linotype" w:hAnsi="Palatino Linotype"/>
          <w:sz w:val="21"/>
          <w:szCs w:val="21"/>
          <w:lang w:val="es-CR"/>
        </w:rPr>
      </w:pPr>
    </w:p>
    <w:p w:rsidR="005F65BE" w:rsidRPr="005F65BE" w:rsidRDefault="005F65BE" w:rsidP="005F65BE">
      <w:pPr>
        <w:rPr>
          <w:rFonts w:ascii="Palatino Linotype" w:hAnsi="Palatino Linotype"/>
          <w:sz w:val="21"/>
          <w:szCs w:val="21"/>
          <w:lang w:val="es-CR"/>
        </w:rPr>
      </w:pPr>
    </w:p>
    <w:p w:rsidR="005F65BE" w:rsidRPr="005F65BE" w:rsidRDefault="005F65BE" w:rsidP="005F65BE">
      <w:pPr>
        <w:rPr>
          <w:rFonts w:ascii="Palatino Linotype" w:hAnsi="Palatino Linotype"/>
          <w:sz w:val="21"/>
          <w:szCs w:val="21"/>
          <w:lang w:val="es-CR"/>
        </w:rPr>
      </w:pPr>
    </w:p>
    <w:p w:rsidR="005F65BE" w:rsidRPr="005F65BE" w:rsidRDefault="005F65BE" w:rsidP="005F65BE">
      <w:pPr>
        <w:rPr>
          <w:rFonts w:ascii="Palatino Linotype" w:hAnsi="Palatino Linotype"/>
          <w:sz w:val="21"/>
          <w:szCs w:val="21"/>
          <w:lang w:val="es-CR"/>
        </w:rPr>
      </w:pPr>
    </w:p>
    <w:p w:rsidR="005F65BE" w:rsidRDefault="005F65BE" w:rsidP="005F65BE">
      <w:pPr>
        <w:rPr>
          <w:rFonts w:ascii="Palatino Linotype" w:hAnsi="Palatino Linotype"/>
          <w:sz w:val="21"/>
          <w:szCs w:val="21"/>
          <w:lang w:val="es-CR"/>
        </w:rPr>
      </w:pPr>
    </w:p>
    <w:p w:rsidR="005F65BE" w:rsidRDefault="005F65BE" w:rsidP="005F65BE">
      <w:pPr>
        <w:tabs>
          <w:tab w:val="left" w:pos="4715"/>
        </w:tabs>
        <w:rPr>
          <w:rFonts w:ascii="Palatino Linotype" w:hAnsi="Palatino Linotype"/>
          <w:sz w:val="21"/>
          <w:szCs w:val="21"/>
          <w:lang w:val="es-CR"/>
        </w:rPr>
      </w:pPr>
      <w:r>
        <w:rPr>
          <w:rFonts w:ascii="Palatino Linotype" w:hAnsi="Palatino Linotype"/>
          <w:sz w:val="21"/>
          <w:szCs w:val="21"/>
          <w:lang w:val="es-CR"/>
        </w:rPr>
        <w:tab/>
      </w:r>
    </w:p>
    <w:p w:rsidR="005F65BE" w:rsidRDefault="005F65BE" w:rsidP="00E10347">
      <w:pPr>
        <w:pStyle w:val="Sinespaciado"/>
        <w:jc w:val="center"/>
        <w:rPr>
          <w:rFonts w:ascii="Palatino Linotype" w:hAnsi="Palatino Linotype"/>
          <w:b/>
          <w:sz w:val="21"/>
          <w:szCs w:val="21"/>
        </w:rPr>
        <w:sectPr w:rsidR="005F65BE" w:rsidSect="00FC1DF6">
          <w:headerReference w:type="even" r:id="rId18"/>
          <w:headerReference w:type="default" r:id="rId19"/>
          <w:type w:val="oddPage"/>
          <w:pgSz w:w="12240" w:h="15840" w:code="1"/>
          <w:pgMar w:top="1667" w:right="851" w:bottom="4253" w:left="3686" w:header="1021" w:footer="3005" w:gutter="0"/>
          <w:cols w:space="708"/>
          <w:titlePg/>
          <w:docGrid w:linePitch="360"/>
        </w:sectPr>
      </w:pPr>
    </w:p>
    <w:p w:rsidR="002014CA" w:rsidRPr="00E10347" w:rsidRDefault="00A22DC1" w:rsidP="00E10347">
      <w:pPr>
        <w:pStyle w:val="Sinespaciado"/>
        <w:jc w:val="center"/>
        <w:rPr>
          <w:rFonts w:ascii="Palatino Linotype" w:hAnsi="Palatino Linotype"/>
          <w:b/>
          <w:sz w:val="21"/>
          <w:szCs w:val="21"/>
        </w:rPr>
      </w:pPr>
      <w:bookmarkStart w:id="14" w:name="_Hlk479196088"/>
      <w:r w:rsidRPr="00E10347">
        <w:rPr>
          <w:rFonts w:ascii="Palatino Linotype" w:hAnsi="Palatino Linotype"/>
          <w:b/>
          <w:sz w:val="21"/>
          <w:szCs w:val="21"/>
        </w:rPr>
        <w:lastRenderedPageBreak/>
        <w:t>Los pecados del N</w:t>
      </w:r>
      <w:r w:rsidR="002014CA" w:rsidRPr="00E10347">
        <w:rPr>
          <w:rFonts w:ascii="Palatino Linotype" w:hAnsi="Palatino Linotype"/>
          <w:b/>
          <w:sz w:val="21"/>
          <w:szCs w:val="21"/>
        </w:rPr>
        <w:t xml:space="preserve">uevo </w:t>
      </w:r>
      <w:r w:rsidRPr="00E10347">
        <w:rPr>
          <w:rFonts w:ascii="Palatino Linotype" w:hAnsi="Palatino Linotype"/>
          <w:b/>
          <w:sz w:val="21"/>
          <w:szCs w:val="21"/>
        </w:rPr>
        <w:t>C</w:t>
      </w:r>
      <w:r w:rsidR="002014CA" w:rsidRPr="00E10347">
        <w:rPr>
          <w:rFonts w:ascii="Palatino Linotype" w:hAnsi="Palatino Linotype"/>
          <w:b/>
          <w:sz w:val="21"/>
          <w:szCs w:val="21"/>
        </w:rPr>
        <w:t xml:space="preserve">ódigo </w:t>
      </w:r>
      <w:r w:rsidRPr="00E10347">
        <w:rPr>
          <w:rFonts w:ascii="Palatino Linotype" w:hAnsi="Palatino Linotype"/>
          <w:b/>
          <w:sz w:val="21"/>
          <w:szCs w:val="21"/>
        </w:rPr>
        <w:t>P</w:t>
      </w:r>
      <w:r w:rsidR="002014CA" w:rsidRPr="00E10347">
        <w:rPr>
          <w:rFonts w:ascii="Palatino Linotype" w:hAnsi="Palatino Linotype"/>
          <w:b/>
          <w:sz w:val="21"/>
          <w:szCs w:val="21"/>
        </w:rPr>
        <w:t xml:space="preserve">rocesal </w:t>
      </w:r>
      <w:r w:rsidRPr="00E10347">
        <w:rPr>
          <w:rFonts w:ascii="Palatino Linotype" w:hAnsi="Palatino Linotype"/>
          <w:b/>
          <w:sz w:val="21"/>
          <w:szCs w:val="21"/>
        </w:rPr>
        <w:t>C</w:t>
      </w:r>
      <w:r w:rsidR="002014CA" w:rsidRPr="00E10347">
        <w:rPr>
          <w:rFonts w:ascii="Palatino Linotype" w:hAnsi="Palatino Linotype"/>
          <w:b/>
          <w:sz w:val="21"/>
          <w:szCs w:val="21"/>
        </w:rPr>
        <w:t>ivil</w:t>
      </w:r>
      <w:bookmarkEnd w:id="14"/>
      <w:r w:rsidR="002014CA" w:rsidRPr="00E10347">
        <w:rPr>
          <w:rFonts w:ascii="Palatino Linotype" w:hAnsi="Palatino Linotype"/>
          <w:b/>
          <w:sz w:val="21"/>
          <w:szCs w:val="21"/>
        </w:rPr>
        <w:t xml:space="preserve"> :  </w:t>
      </w:r>
    </w:p>
    <w:p w:rsidR="002014CA" w:rsidRPr="00E10347" w:rsidRDefault="002014CA" w:rsidP="00E10347">
      <w:pPr>
        <w:pStyle w:val="Sinespaciado"/>
        <w:jc w:val="center"/>
        <w:rPr>
          <w:rFonts w:ascii="Palatino Linotype" w:hAnsi="Palatino Linotype"/>
          <w:b/>
          <w:sz w:val="21"/>
          <w:szCs w:val="21"/>
        </w:rPr>
      </w:pPr>
      <w:r w:rsidRPr="00E10347">
        <w:rPr>
          <w:rFonts w:ascii="Palatino Linotype" w:hAnsi="Palatino Linotype"/>
          <w:b/>
          <w:sz w:val="21"/>
          <w:szCs w:val="21"/>
        </w:rPr>
        <w:t xml:space="preserve">anti </w:t>
      </w:r>
      <w:r w:rsidRPr="00E10347">
        <w:rPr>
          <w:rFonts w:ascii="Palatino Linotype" w:hAnsi="Palatino Linotype"/>
          <w:b/>
          <w:i/>
          <w:sz w:val="21"/>
          <w:szCs w:val="21"/>
        </w:rPr>
        <w:t>lex generalis</w:t>
      </w:r>
      <w:r w:rsidRPr="00E10347">
        <w:rPr>
          <w:rFonts w:ascii="Palatino Linotype" w:hAnsi="Palatino Linotype"/>
          <w:b/>
          <w:sz w:val="21"/>
          <w:szCs w:val="21"/>
        </w:rPr>
        <w:t xml:space="preserve">  y anti supletorio; </w:t>
      </w:r>
    </w:p>
    <w:p w:rsidR="002014CA" w:rsidRPr="00E10347" w:rsidRDefault="002014CA" w:rsidP="00E10347">
      <w:pPr>
        <w:pStyle w:val="Sinespaciado"/>
        <w:jc w:val="center"/>
        <w:rPr>
          <w:rFonts w:ascii="Palatino Linotype" w:hAnsi="Palatino Linotype"/>
          <w:b/>
          <w:sz w:val="21"/>
          <w:szCs w:val="21"/>
        </w:rPr>
      </w:pPr>
      <w:r w:rsidRPr="00E10347">
        <w:rPr>
          <w:rFonts w:ascii="Palatino Linotype" w:hAnsi="Palatino Linotype"/>
          <w:b/>
          <w:sz w:val="21"/>
          <w:szCs w:val="21"/>
        </w:rPr>
        <w:t xml:space="preserve">en falta de claridad con el sistema de la oralidad: en principios, audiencias, defensas previas, Casación, organización de tribunales. necesidad de una reforma, en su </w:t>
      </w:r>
      <w:r w:rsidRPr="00E10347">
        <w:rPr>
          <w:rFonts w:ascii="Palatino Linotype" w:hAnsi="Palatino Linotype"/>
          <w:b/>
          <w:i/>
          <w:sz w:val="21"/>
          <w:szCs w:val="21"/>
        </w:rPr>
        <w:t>vacatio legis</w:t>
      </w:r>
      <w:r w:rsidRPr="00E10347">
        <w:rPr>
          <w:rFonts w:ascii="Palatino Linotype" w:hAnsi="Palatino Linotype"/>
          <w:b/>
          <w:sz w:val="21"/>
          <w:szCs w:val="21"/>
        </w:rPr>
        <w:t>,</w:t>
      </w:r>
      <w:r w:rsidR="008C2BE0" w:rsidRPr="00E10347">
        <w:rPr>
          <w:rFonts w:ascii="Palatino Linotype" w:hAnsi="Palatino Linotype"/>
          <w:b/>
          <w:sz w:val="21"/>
          <w:szCs w:val="21"/>
        </w:rPr>
        <w:t xml:space="preserve">  </w:t>
      </w:r>
      <w:r w:rsidRPr="00E10347">
        <w:rPr>
          <w:rFonts w:ascii="Palatino Linotype" w:hAnsi="Palatino Linotype"/>
          <w:b/>
          <w:sz w:val="21"/>
          <w:szCs w:val="21"/>
        </w:rPr>
        <w:t>por  el derecho procesal científico</w:t>
      </w:r>
    </w:p>
    <w:p w:rsidR="002014CA" w:rsidRPr="00E10347" w:rsidRDefault="002014CA" w:rsidP="00E10347">
      <w:pPr>
        <w:pStyle w:val="Sinespaciado"/>
        <w:ind w:firstLine="709"/>
        <w:jc w:val="right"/>
        <w:rPr>
          <w:rFonts w:ascii="Palatino Linotype" w:hAnsi="Palatino Linotype" w:cs="Times New Roman"/>
          <w:b/>
          <w:sz w:val="21"/>
          <w:szCs w:val="21"/>
        </w:rPr>
      </w:pPr>
    </w:p>
    <w:p w:rsidR="002014CA" w:rsidRPr="00E10347" w:rsidRDefault="002014CA" w:rsidP="00E10347">
      <w:pPr>
        <w:pStyle w:val="Sinespaciado"/>
        <w:ind w:firstLine="709"/>
        <w:jc w:val="right"/>
        <w:rPr>
          <w:rFonts w:ascii="Palatino Linotype" w:hAnsi="Palatino Linotype" w:cs="Times New Roman"/>
          <w:b/>
          <w:sz w:val="21"/>
          <w:szCs w:val="21"/>
        </w:rPr>
      </w:pPr>
      <w:bookmarkStart w:id="15" w:name="_Hlk479196115"/>
      <w:r w:rsidRPr="00E10347">
        <w:rPr>
          <w:rFonts w:ascii="Palatino Linotype" w:hAnsi="Palatino Linotype" w:cs="Times New Roman"/>
          <w:b/>
          <w:sz w:val="21"/>
          <w:szCs w:val="21"/>
        </w:rPr>
        <w:t>Ricardo Zeledón Zeledón</w:t>
      </w:r>
      <w:bookmarkEnd w:id="15"/>
    </w:p>
    <w:p w:rsidR="002014CA" w:rsidRPr="00E10347" w:rsidRDefault="002014CA" w:rsidP="00E10347">
      <w:pPr>
        <w:pStyle w:val="Sinespaciado"/>
        <w:ind w:firstLine="709"/>
        <w:jc w:val="right"/>
        <w:rPr>
          <w:rFonts w:ascii="Palatino Linotype" w:hAnsi="Palatino Linotype" w:cs="Times New Roman"/>
          <w:sz w:val="21"/>
          <w:szCs w:val="21"/>
        </w:rPr>
      </w:pPr>
      <w:r w:rsidRPr="00E10347">
        <w:rPr>
          <w:rFonts w:ascii="Palatino Linotype" w:hAnsi="Palatino Linotype" w:cs="Times New Roman"/>
          <w:sz w:val="21"/>
          <w:szCs w:val="21"/>
        </w:rPr>
        <w:t>Presidente Emérito</w:t>
      </w:r>
      <w:r w:rsidR="008C2BE0" w:rsidRPr="00E10347">
        <w:rPr>
          <w:rFonts w:ascii="Palatino Linotype" w:hAnsi="Palatino Linotype" w:cs="Times New Roman"/>
          <w:sz w:val="21"/>
          <w:szCs w:val="21"/>
        </w:rPr>
        <w:t xml:space="preserve"> </w:t>
      </w:r>
      <w:r w:rsidRPr="00E10347">
        <w:rPr>
          <w:rFonts w:ascii="Palatino Linotype" w:hAnsi="Palatino Linotype" w:cs="Times New Roman"/>
          <w:sz w:val="21"/>
          <w:szCs w:val="21"/>
        </w:rPr>
        <w:t xml:space="preserve">Instituto Costarricense de </w:t>
      </w:r>
    </w:p>
    <w:p w:rsidR="002014CA" w:rsidRDefault="002014CA" w:rsidP="00E10347">
      <w:pPr>
        <w:pStyle w:val="Sinespaciado"/>
        <w:ind w:firstLine="709"/>
        <w:jc w:val="right"/>
        <w:rPr>
          <w:rFonts w:ascii="Palatino Linotype" w:hAnsi="Palatino Linotype" w:cs="Times New Roman"/>
          <w:sz w:val="21"/>
          <w:szCs w:val="21"/>
        </w:rPr>
      </w:pPr>
      <w:r w:rsidRPr="00E10347">
        <w:rPr>
          <w:rFonts w:ascii="Palatino Linotype" w:hAnsi="Palatino Linotype" w:cs="Times New Roman"/>
          <w:sz w:val="21"/>
          <w:szCs w:val="21"/>
        </w:rPr>
        <w:t>Derecho Procesal Científico</w:t>
      </w:r>
    </w:p>
    <w:p w:rsidR="008A0E38" w:rsidRDefault="008A0E38" w:rsidP="008A0E38">
      <w:pPr>
        <w:pStyle w:val="Sinespaciado"/>
        <w:rPr>
          <w:rFonts w:ascii="Palatino Linotype" w:hAnsi="Palatino Linotype" w:cs="Times New Roman"/>
          <w:sz w:val="21"/>
          <w:szCs w:val="21"/>
        </w:rPr>
      </w:pPr>
    </w:p>
    <w:p w:rsidR="008A0E38" w:rsidRPr="00206DF2" w:rsidRDefault="008A0E38" w:rsidP="00206DF2">
      <w:pPr>
        <w:pStyle w:val="Sinespaciado"/>
        <w:jc w:val="both"/>
        <w:rPr>
          <w:rFonts w:ascii="Palatino Linotype" w:hAnsi="Palatino Linotype" w:cs="Times New Roman"/>
          <w:sz w:val="21"/>
          <w:szCs w:val="21"/>
        </w:rPr>
      </w:pPr>
      <w:r w:rsidRPr="00D1279A">
        <w:rPr>
          <w:rFonts w:ascii="Palatino Linotype" w:hAnsi="Palatino Linotype" w:cs="Arial"/>
          <w:bCs/>
          <w:sz w:val="21"/>
          <w:szCs w:val="21"/>
        </w:rPr>
        <w:t xml:space="preserve">SUMARIO: </w:t>
      </w:r>
      <w:r w:rsidRPr="00D1279A">
        <w:rPr>
          <w:rFonts w:ascii="Palatino Linotype" w:hAnsi="Palatino Linotype"/>
          <w:sz w:val="21"/>
          <w:szCs w:val="21"/>
        </w:rPr>
        <w:t xml:space="preserve">1.-  El flamante Código Procesal Civil, del 2016, como expectativa para los diversos sistemas jurídicos procesales por su origen de normativa general, para superar los primitivos atavismos de la escritura a través de una respuesta original.  </w:t>
      </w:r>
      <w:r w:rsidRPr="00D1279A">
        <w:rPr>
          <w:rFonts w:ascii="Palatino Linotype" w:hAnsi="Palatino Linotype" w:cs="Times New Roman"/>
          <w:sz w:val="21"/>
          <w:szCs w:val="21"/>
        </w:rPr>
        <w:t xml:space="preserve">2.-   La pérdida de esperanzas al tropezarse con una normativa encapsulada en sí misma (para lo civil y comercial), ignorando su misión dentro del Derecho Procesal en general.  El pecado de los juristas forjados en la escritura escribiendo en oralidad.  La traición del pentagrama.  ¿Porqué se apartaron de la desiderata de la oralidad teniendo las fuentes suficientes para un Código Procesal Civil?  </w:t>
      </w:r>
      <w:r w:rsidRPr="00D1279A">
        <w:rPr>
          <w:rFonts w:ascii="Palatino Linotype" w:hAnsi="Palatino Linotype"/>
          <w:sz w:val="21"/>
          <w:szCs w:val="21"/>
        </w:rPr>
        <w:t xml:space="preserve">3.-  El grave pecado de la concepción anti </w:t>
      </w:r>
      <w:r w:rsidRPr="00D1279A">
        <w:rPr>
          <w:rFonts w:ascii="Palatino Linotype" w:hAnsi="Palatino Linotype"/>
          <w:i/>
          <w:sz w:val="21"/>
          <w:szCs w:val="21"/>
        </w:rPr>
        <w:t>lex generalis</w:t>
      </w:r>
      <w:r w:rsidRPr="00D1279A">
        <w:rPr>
          <w:rFonts w:ascii="Palatino Linotype" w:hAnsi="Palatino Linotype"/>
          <w:sz w:val="21"/>
          <w:szCs w:val="21"/>
        </w:rPr>
        <w:t xml:space="preserve"> y contraria a asumir su rol de supletoriedad de las otras disciplinas jurídicas:  problemas claves para reconducir el proceso ordinario oral a otros arcaicos, vetustos, primitivos, de la escritura.  a.-</w:t>
      </w:r>
      <w:r w:rsidRPr="00D1279A">
        <w:rPr>
          <w:rStyle w:val="Textoennegrita"/>
          <w:rFonts w:ascii="Palatino Linotype" w:hAnsi="Palatino Linotype"/>
          <w:sz w:val="21"/>
          <w:szCs w:val="21"/>
        </w:rPr>
        <w:t xml:space="preserve"> En cuanto al concepto mismo de  Lex generalis  el nuevo Código Procesal   </w:t>
      </w:r>
      <w:r w:rsidRPr="00D1279A">
        <w:rPr>
          <w:rFonts w:ascii="Palatino Linotype" w:hAnsi="Palatino Linotype"/>
          <w:sz w:val="21"/>
          <w:szCs w:val="21"/>
        </w:rPr>
        <w:t>no admitió ser general, superior e inspirador de ninguna materia, solo de sus procesos exclusivos: civil y el comerc</w:t>
      </w:r>
      <w:r w:rsidRPr="00206DF2">
        <w:rPr>
          <w:rFonts w:ascii="Palatino Linotype" w:hAnsi="Palatino Linotype"/>
          <w:sz w:val="21"/>
          <w:szCs w:val="21"/>
        </w:rPr>
        <w:t>ial, así como las disciplinas ausentes de normativa procesal.  a.-</w:t>
      </w:r>
      <w:r w:rsidRPr="00206DF2">
        <w:rPr>
          <w:rStyle w:val="Textoennegrita"/>
          <w:rFonts w:ascii="Palatino Linotype" w:hAnsi="Palatino Linotype"/>
          <w:sz w:val="21"/>
          <w:szCs w:val="21"/>
        </w:rPr>
        <w:t xml:space="preserve">   En cuanto a su concepto paralelo de la  supletoriedad, presente en todos los otros sistemas procesales, carece el Código de una explicación científica para eliminarla para el contencioso administrativo, el laboral y el agrario.  </w:t>
      </w:r>
      <w:r w:rsidRPr="00206DF2">
        <w:rPr>
          <w:rFonts w:ascii="Palatino Linotype" w:hAnsi="Palatino Linotype" w:cs="Times New Roman"/>
          <w:sz w:val="21"/>
          <w:szCs w:val="21"/>
        </w:rPr>
        <w:t xml:space="preserve">c.-  La infructuosa labor del Código consistente en NO poder eliminar su carácter de normativa supletoria porque no derogó todas las normas de otros cuerpos normativos donde se declara tal principio.  </w:t>
      </w:r>
      <w:r w:rsidRPr="00206DF2">
        <w:rPr>
          <w:rFonts w:ascii="Palatino Linotype" w:hAnsi="Palatino Linotype"/>
          <w:sz w:val="21"/>
          <w:szCs w:val="21"/>
        </w:rPr>
        <w:t xml:space="preserve">4.-  Los más graves pecados mortales del Nuevo Código Procesal Civil  contra el Sistema de la oralidad.  </w:t>
      </w:r>
      <w:r w:rsidRPr="00206DF2">
        <w:rPr>
          <w:rFonts w:ascii="Palatino Linotype" w:hAnsi="Palatino Linotype" w:cs="Times New Roman"/>
          <w:sz w:val="21"/>
          <w:szCs w:val="21"/>
        </w:rPr>
        <w:t xml:space="preserve">5.- (sigue).  El pecado de la degradación de los principios de la oralidad. Intercalación de principios de oralidad con los de la escritura. Eliminación de los principios antagónicos a la oralidad.  </w:t>
      </w:r>
      <w:r w:rsidRPr="00206DF2">
        <w:rPr>
          <w:rFonts w:ascii="Palatino Linotype" w:hAnsi="Palatino Linotype"/>
          <w:sz w:val="21"/>
          <w:szCs w:val="21"/>
        </w:rPr>
        <w:t xml:space="preserve">6. (sigue).  Los interrogantes sobre la incomprensible reducción exagerada de las defensas previas, eliminando algunas propias de la misma cultura jurídica, atentando contra la </w:t>
      </w:r>
      <w:r w:rsidRPr="00206DF2">
        <w:rPr>
          <w:rFonts w:ascii="Palatino Linotype" w:hAnsi="Palatino Linotype"/>
          <w:sz w:val="21"/>
          <w:szCs w:val="21"/>
        </w:rPr>
        <w:lastRenderedPageBreak/>
        <w:t xml:space="preserve">celeridad del proceso, y su abuso, en comparación con los demás cuerpos normativos.  7. (sigue).  La falta de técnica en el tratamiento jurídico del tema categórico del "proceso por audiencias" en el Sistema de la Oralidad.  8.  (sigue)  El Sistema de Oralidad por audiencias del Código Procesal General y el Código Procesal Contencioso Administrativo.  A)  </w:t>
      </w:r>
      <w:r w:rsidRPr="00206DF2">
        <w:rPr>
          <w:rFonts w:ascii="Palatino Linotype" w:hAnsi="Palatino Linotype"/>
          <w:sz w:val="21"/>
          <w:szCs w:val="21"/>
          <w:u w:color="000000"/>
        </w:rPr>
        <w:t xml:space="preserve">El Código Procesal General  y el Procesal Contencioso Administrativo incorporan una fórmula cercana a </w:t>
      </w:r>
      <w:r w:rsidRPr="00206DF2">
        <w:rPr>
          <w:rFonts w:ascii="Palatino Linotype" w:hAnsi="Palatino Linotype"/>
          <w:sz w:val="21"/>
          <w:szCs w:val="21"/>
        </w:rPr>
        <w:t xml:space="preserve">la propuesta de </w:t>
      </w:r>
      <w:r w:rsidRPr="00206DF2">
        <w:rPr>
          <w:rFonts w:ascii="Palatino Linotype" w:hAnsi="Palatino Linotype"/>
          <w:bCs/>
          <w:sz w:val="21"/>
          <w:szCs w:val="21"/>
        </w:rPr>
        <w:t xml:space="preserve">Código Tipo </w:t>
      </w:r>
      <w:r w:rsidRPr="00206DF2">
        <w:rPr>
          <w:rFonts w:ascii="Palatino Linotype" w:hAnsi="Palatino Linotype"/>
          <w:sz w:val="21"/>
          <w:szCs w:val="21"/>
        </w:rPr>
        <w:t xml:space="preserve">del Instituto Iberoamericano de Derecho Procesal.  </w:t>
      </w:r>
      <w:r w:rsidRPr="00206DF2">
        <w:rPr>
          <w:rFonts w:ascii="Palatino Linotype" w:hAnsi="Palatino Linotype"/>
          <w:bCs/>
          <w:sz w:val="21"/>
          <w:szCs w:val="21"/>
          <w:u w:color="000000"/>
        </w:rPr>
        <w:t xml:space="preserve">B)  Las actividades de la audiencia preliminar.  </w:t>
      </w:r>
      <w:r w:rsidRPr="00206DF2">
        <w:rPr>
          <w:rFonts w:ascii="Palatino Linotype" w:hAnsi="Palatino Linotype"/>
          <w:sz w:val="21"/>
          <w:szCs w:val="21"/>
          <w:u w:color="000000"/>
        </w:rPr>
        <w:t xml:space="preserve">C)  Actividades susceptibles de ser previas a la audiencia preliminar.  1. </w:t>
      </w:r>
      <w:r w:rsidRPr="00206DF2">
        <w:rPr>
          <w:rFonts w:ascii="Palatino Linotype" w:hAnsi="Palatino Linotype"/>
          <w:bCs/>
          <w:sz w:val="21"/>
          <w:szCs w:val="21"/>
          <w:u w:color="000000"/>
        </w:rPr>
        <w:t xml:space="preserve">Tentativa de conciliación.  </w:t>
      </w:r>
      <w:r w:rsidRPr="00206DF2">
        <w:rPr>
          <w:rFonts w:ascii="Palatino Linotype" w:hAnsi="Palatino Linotype"/>
          <w:sz w:val="21"/>
          <w:szCs w:val="21"/>
          <w:u w:color="000000"/>
        </w:rPr>
        <w:t xml:space="preserve">2. </w:t>
      </w:r>
      <w:r w:rsidRPr="00206DF2">
        <w:rPr>
          <w:rFonts w:ascii="Palatino Linotype" w:hAnsi="Palatino Linotype"/>
          <w:bCs/>
          <w:sz w:val="21"/>
          <w:szCs w:val="21"/>
          <w:u w:color="000000"/>
        </w:rPr>
        <w:t xml:space="preserve">Resolver las medidas cautelares anticipadas.  </w:t>
      </w:r>
      <w:r w:rsidRPr="00206DF2">
        <w:rPr>
          <w:rFonts w:ascii="Palatino Linotype" w:hAnsi="Palatino Linotype"/>
          <w:sz w:val="21"/>
          <w:szCs w:val="21"/>
          <w:u w:color="000000"/>
        </w:rPr>
        <w:t xml:space="preserve">D) Las actividades propias de la audiencia preliminar.  3. </w:t>
      </w:r>
      <w:r w:rsidRPr="00206DF2">
        <w:rPr>
          <w:rFonts w:ascii="Palatino Linotype" w:hAnsi="Palatino Linotype"/>
          <w:bCs/>
          <w:sz w:val="21"/>
          <w:szCs w:val="21"/>
          <w:u w:color="000000"/>
        </w:rPr>
        <w:t xml:space="preserve">Resumen del objeto de la audiencia.  </w:t>
      </w:r>
      <w:r w:rsidRPr="00206DF2">
        <w:rPr>
          <w:rFonts w:ascii="Palatino Linotype" w:hAnsi="Palatino Linotype"/>
          <w:sz w:val="21"/>
          <w:szCs w:val="21"/>
          <w:u w:color="000000"/>
        </w:rPr>
        <w:t>4.</w:t>
      </w:r>
      <w:r w:rsidRPr="00206DF2">
        <w:rPr>
          <w:rFonts w:ascii="Palatino Linotype" w:hAnsi="Palatino Linotype"/>
          <w:sz w:val="21"/>
          <w:szCs w:val="21"/>
          <w:u w:color="000000"/>
        </w:rPr>
        <w:tab/>
      </w:r>
      <w:r w:rsidRPr="00206DF2">
        <w:rPr>
          <w:rFonts w:ascii="Palatino Linotype" w:hAnsi="Palatino Linotype"/>
          <w:bCs/>
          <w:sz w:val="21"/>
          <w:szCs w:val="21"/>
          <w:u w:color="000000"/>
        </w:rPr>
        <w:t xml:space="preserve">Saneamiento del proceso. </w:t>
      </w:r>
      <w:r w:rsidRPr="00206DF2">
        <w:rPr>
          <w:rFonts w:ascii="Palatino Linotype" w:hAnsi="Palatino Linotype"/>
          <w:sz w:val="21"/>
          <w:szCs w:val="21"/>
          <w:u w:color="000000"/>
        </w:rPr>
        <w:t xml:space="preserve">5. </w:t>
      </w:r>
      <w:r w:rsidRPr="00206DF2">
        <w:rPr>
          <w:rFonts w:ascii="Palatino Linotype" w:hAnsi="Palatino Linotype"/>
          <w:bCs/>
          <w:sz w:val="21"/>
          <w:szCs w:val="21"/>
          <w:u w:color="000000"/>
        </w:rPr>
        <w:t xml:space="preserve">Recepción de prueba sobre defensas previas.  </w:t>
      </w:r>
      <w:r w:rsidRPr="00206DF2">
        <w:rPr>
          <w:rFonts w:ascii="Palatino Linotype" w:hAnsi="Palatino Linotype"/>
          <w:sz w:val="21"/>
          <w:szCs w:val="21"/>
          <w:u w:color="000000"/>
        </w:rPr>
        <w:t>6.</w:t>
      </w:r>
      <w:r w:rsidRPr="00206DF2">
        <w:rPr>
          <w:rFonts w:ascii="Palatino Linotype" w:hAnsi="Palatino Linotype"/>
          <w:bCs/>
          <w:sz w:val="21"/>
          <w:szCs w:val="21"/>
          <w:u w:color="000000"/>
        </w:rPr>
        <w:tab/>
        <w:t xml:space="preserve">Contestación de las defensas previas.  </w:t>
      </w:r>
      <w:r w:rsidRPr="00206DF2">
        <w:rPr>
          <w:rFonts w:ascii="Palatino Linotype" w:hAnsi="Palatino Linotype"/>
          <w:sz w:val="21"/>
          <w:szCs w:val="21"/>
          <w:u w:color="000000"/>
        </w:rPr>
        <w:t>7.</w:t>
      </w:r>
      <w:r w:rsidRPr="00206DF2">
        <w:rPr>
          <w:rFonts w:ascii="Palatino Linotype" w:hAnsi="Palatino Linotype"/>
          <w:bCs/>
          <w:sz w:val="21"/>
          <w:szCs w:val="21"/>
          <w:u w:color="000000"/>
        </w:rPr>
        <w:tab/>
        <w:t xml:space="preserve">Sentencia anticipada.  </w:t>
      </w:r>
      <w:r w:rsidRPr="00206DF2">
        <w:rPr>
          <w:rFonts w:ascii="Palatino Linotype" w:hAnsi="Palatino Linotype"/>
          <w:sz w:val="21"/>
          <w:szCs w:val="21"/>
          <w:u w:color="000000"/>
        </w:rPr>
        <w:t xml:space="preserve">8.  </w:t>
      </w:r>
      <w:r w:rsidRPr="00206DF2">
        <w:rPr>
          <w:rFonts w:ascii="Palatino Linotype" w:hAnsi="Palatino Linotype"/>
          <w:bCs/>
          <w:sz w:val="21"/>
          <w:szCs w:val="21"/>
          <w:u w:color="000000"/>
        </w:rPr>
        <w:t xml:space="preserve">Definición de la cuantía del asunto.  </w:t>
      </w:r>
      <w:r w:rsidRPr="00206DF2">
        <w:rPr>
          <w:rFonts w:ascii="Palatino Linotype" w:hAnsi="Palatino Linotype"/>
          <w:sz w:val="21"/>
          <w:szCs w:val="21"/>
          <w:u w:color="000000"/>
        </w:rPr>
        <w:t xml:space="preserve">9.     Otorgamiento o modificación de medidas cautelares.  10.  Determinación de los hechos controvertidos  y los alcances de la pretensión: </w:t>
      </w:r>
      <w:r w:rsidRPr="00206DF2">
        <w:rPr>
          <w:rFonts w:ascii="Palatino Linotype" w:hAnsi="Palatino Linotype"/>
          <w:bCs/>
          <w:sz w:val="21"/>
          <w:szCs w:val="21"/>
          <w:u w:color="000000"/>
        </w:rPr>
        <w:t xml:space="preserve">fijación definitiva del objeto principal del proceso.  </w:t>
      </w:r>
      <w:r w:rsidRPr="00206DF2">
        <w:rPr>
          <w:rFonts w:ascii="Palatino Linotype" w:hAnsi="Palatino Linotype"/>
          <w:sz w:val="21"/>
          <w:szCs w:val="21"/>
          <w:u w:color="000000"/>
        </w:rPr>
        <w:t>11.  Admisibilidad de la prueba.  12.</w:t>
      </w:r>
      <w:r w:rsidRPr="00206DF2">
        <w:rPr>
          <w:rFonts w:ascii="Palatino Linotype" w:hAnsi="Palatino Linotype"/>
          <w:bCs/>
          <w:sz w:val="21"/>
          <w:szCs w:val="21"/>
          <w:u w:color="000000"/>
        </w:rPr>
        <w:t xml:space="preserve">  </w:t>
      </w:r>
      <w:r w:rsidRPr="00206DF2">
        <w:rPr>
          <w:rFonts w:ascii="Palatino Linotype" w:hAnsi="Palatino Linotype"/>
          <w:sz w:val="21"/>
          <w:szCs w:val="21"/>
          <w:u w:color="000000"/>
        </w:rPr>
        <w:t xml:space="preserve">Fijación de fecha para la audiencia complementaria.  </w:t>
      </w:r>
      <w:r w:rsidRPr="00206DF2">
        <w:rPr>
          <w:rFonts w:ascii="Palatino Linotype" w:hAnsi="Palatino Linotype"/>
          <w:bCs/>
          <w:sz w:val="21"/>
          <w:szCs w:val="21"/>
          <w:u w:color="000000"/>
        </w:rPr>
        <w:t xml:space="preserve">E)  Las actividades de la audiencia complementaria.  </w:t>
      </w:r>
      <w:r w:rsidRPr="00206DF2">
        <w:rPr>
          <w:rFonts w:ascii="Palatino Linotype" w:hAnsi="Palatino Linotype"/>
          <w:sz w:val="21"/>
          <w:szCs w:val="21"/>
          <w:u w:color="000000"/>
        </w:rPr>
        <w:t xml:space="preserve">13.  La apertura de la audiencia.  14. La exposición sucinta de las partes en relación con los hechos y las pretensiones.  15. Recepción de las pruebas.  16. Conclusiones. 17.  Deliberación.  18. Dictado de la sentencia oral.  </w:t>
      </w:r>
      <w:r w:rsidRPr="00206DF2">
        <w:rPr>
          <w:rFonts w:ascii="Palatino Linotype" w:hAnsi="Palatino Linotype"/>
          <w:sz w:val="21"/>
          <w:szCs w:val="21"/>
        </w:rPr>
        <w:t xml:space="preserve">9 (sigue).   Los graves pecados de omisiones en el tratamiento de las actividades del Sistema de la Oralidad en el Nuevo Código Procesal Civil: abuso de la simplicidad con falta de técnica, con omisiones serias e incomprensión de la importancia de la casación por violación de las normas del procedimiento.  10. (sigue).  Pecados contra las causales de  Casación por infracción de las normas procesales en el Sistema de la Oralidad.  Desmantelamiento, por falta de  dominio técnico, de estas causales en tanto garantes de la protección de los derechos fundamentales de las partes en el proceso.  11.  (sigue).  Pecados contra las causales de  Casación por infracción de las normas de fondo en el Sistema de la Oralidad. Peligro del regreso al Sistema de la Escritura por la inclusión de esas causales.  12.  (sigue).  El pecado de la falta de comprensión sobre la organización de Tribunales.  Porque el cambio de sistema y mentalidad obliga a tener claridad de la forma como serán tramitados los diferentes tipos de procesos, por medio de los jueces en  funciones disímiles, en un sistema organizativo eficiente, de fácil acceso a ´las partes y los jueces, transparente.  </w:t>
      </w:r>
    </w:p>
    <w:p w:rsidR="002014CA" w:rsidRPr="00E10347" w:rsidRDefault="002014CA" w:rsidP="00E10347">
      <w:pPr>
        <w:pStyle w:val="Sinespaciado"/>
        <w:ind w:firstLine="709"/>
        <w:jc w:val="right"/>
        <w:rPr>
          <w:rFonts w:ascii="Palatino Linotype" w:hAnsi="Palatino Linotype" w:cs="Times New Roman"/>
          <w:sz w:val="21"/>
          <w:szCs w:val="21"/>
        </w:rPr>
      </w:pPr>
    </w:p>
    <w:p w:rsidR="002014CA" w:rsidRPr="00E10347" w:rsidRDefault="002014CA" w:rsidP="00E10347">
      <w:pPr>
        <w:pStyle w:val="NormalWeb"/>
        <w:shd w:val="clear" w:color="auto" w:fill="FFFFFF"/>
        <w:spacing w:before="0" w:beforeAutospacing="0" w:after="0" w:afterAutospacing="0"/>
        <w:jc w:val="both"/>
        <w:rPr>
          <w:rFonts w:ascii="Palatino Linotype" w:hAnsi="Palatino Linotype"/>
          <w:sz w:val="21"/>
          <w:szCs w:val="21"/>
        </w:rPr>
      </w:pPr>
      <w:r w:rsidRPr="00E10347">
        <w:rPr>
          <w:rFonts w:ascii="Palatino Linotype" w:hAnsi="Palatino Linotype"/>
          <w:b/>
          <w:sz w:val="21"/>
          <w:szCs w:val="21"/>
        </w:rPr>
        <w:lastRenderedPageBreak/>
        <w:t>1</w:t>
      </w:r>
      <w:r w:rsidR="008C2BE0" w:rsidRPr="00E10347">
        <w:rPr>
          <w:rFonts w:ascii="Palatino Linotype" w:hAnsi="Palatino Linotype"/>
          <w:b/>
          <w:sz w:val="21"/>
          <w:szCs w:val="21"/>
        </w:rPr>
        <w:t>.-</w:t>
      </w:r>
      <w:r w:rsidRPr="00E10347">
        <w:rPr>
          <w:rFonts w:ascii="Palatino Linotype" w:hAnsi="Palatino Linotype"/>
          <w:b/>
          <w:sz w:val="21"/>
          <w:szCs w:val="21"/>
        </w:rPr>
        <w:t xml:space="preserve">  El flamante Código Procesal Civil, del 2016, como expectativa para los diversos sistemas jurídicos procesales por su origen de normativa general, para superar los primitivos atavismos de la escritura a través de una respuesta original.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La expectativa creada a la Sociedad, y muy particularmente a la Sociedad Jurídica, con  la promulgación de cualquier normativa procesal general, fundada en la oralidad, aplicable a todo el sistema procesal general el ideal de ampliar el horizonte del ordenamiento jurídico, introduciéndole a todos los procesos signos conocidos de avance:  esto es de oralidad, inmediatez, concentración, sobre todo, celeridad permitiendo acercar cada vez más la demanda a la sentencia  (positivos).  Y a su vez eliminando formalismos, nulidades e incidentes, limitando tanto los recursos ordinarios como los extraordinarios  (negativos).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Porque la misión de una novel normativa procesal general, como ha sido siempre, debe orientare siempre hacia la superación institucional e histórica de tantas otras ramas procesales.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Pues casi todas las demás están aún encarceladas en el olvido.  Por un legislador insensible hacia la urgencia de los ciudadanos de superar las antiguas ideologías y filosofía del Siglo XVIII para pasar el umbral del Siglo y el Milenio y para crear una verdadera revolución en el ámbito procesal con una nueva ideología para la Sociedad hodierna.</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Esta fue la esperanza de todas las ramas jurídicas.  La confianza de poder desarrollar aún más sus normativas procesales arcaicas, superadas, aún dictadas recientemente, como fue el reclamo contra el Código Procesal Civil de 1989, como de otras jurisdicciones nacidas incluso vergonzosamente viejas por tantos años de parálisis parlamentaria, cuyo resultado fue la aprobación de sistemas procesales mal concebidos,  añejos, deslucidos y deteriorados porque muchas personas  (o más concretamente muchas manos de políticos abogados) los ajaron sin tener la debida competencia de ser parte del Derecho Procesal Científico,  introduciendo ocurrencias o folklorismos de sus experiencias judiciales.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La tramitación legislativa de estos temas tan técnicos</w:t>
      </w:r>
      <w:r w:rsidR="008C2BE0" w:rsidRPr="00E10347">
        <w:rPr>
          <w:rFonts w:ascii="Palatino Linotype" w:hAnsi="Palatino Linotype"/>
          <w:sz w:val="21"/>
          <w:szCs w:val="21"/>
        </w:rPr>
        <w:t>,</w:t>
      </w:r>
      <w:r w:rsidRPr="00E10347">
        <w:rPr>
          <w:rFonts w:ascii="Palatino Linotype" w:hAnsi="Palatino Linotype"/>
          <w:sz w:val="21"/>
          <w:szCs w:val="21"/>
        </w:rPr>
        <w:t xml:space="preserve"> exige necesariamente un paso más expedido en el Parlamento.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Porque hay muchos aspectos, no comprendidos sino son tratados y conducidos por especialistas de reconocimiento científico,  con visión profunda para concebir, entre tantos temas, un proceso bien estructurado caracterizado por la agilidad, a través de audiencias orales bien concebidas donde se indiquen con claridad y precisión las diversas  actividades a cumplir entre tres:  el Juez y las dos  </w:t>
      </w:r>
      <w:r w:rsidRPr="00E10347">
        <w:rPr>
          <w:rFonts w:ascii="Palatino Linotype" w:hAnsi="Palatino Linotype"/>
          <w:sz w:val="21"/>
          <w:szCs w:val="21"/>
        </w:rPr>
        <w:lastRenderedPageBreak/>
        <w:t>partes contendientes, así como  la incorporación de los principios procesales característicos de un sistema fundado en la oralidad (con sus principios consustanciales de inmediatez, concentración y el debido proceso en todo momento), lo mismo que su  humanización a través suyo para la obligada relación entre el Juez y las partes, muy especialmente entre Juzgadores y las pruebas dentro del contradictorio.</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La creencia sincera de la inclusión de todos estos institutos bien estudiados, reflexionados,  documentados, y redactados con pulcritud jurídica (es decir precisos, con lenguaje jurídico claro, comprensible, inteligible, transparente, jamás con fórmulas ajenas con obscuridad, imprecisión, confusión), conforme deba caracterizar a un cuerpo normativo procesal nuevo pero fundado en  las mejores experiencias mundiales de reconocido renombre internacional.</w:t>
      </w:r>
    </w:p>
    <w:p w:rsidR="00A22DC1" w:rsidRPr="00E10347" w:rsidRDefault="00A22DC1" w:rsidP="00E10347">
      <w:pPr>
        <w:pStyle w:val="Sinespaciado"/>
        <w:jc w:val="both"/>
        <w:rPr>
          <w:rFonts w:ascii="Palatino Linotype" w:hAnsi="Palatino Linotype" w:cs="Times New Roman"/>
          <w:b/>
          <w:sz w:val="21"/>
          <w:szCs w:val="21"/>
        </w:rPr>
      </w:pPr>
    </w:p>
    <w:p w:rsidR="002014CA" w:rsidRPr="00E10347" w:rsidRDefault="002014CA" w:rsidP="00E10347">
      <w:pPr>
        <w:pStyle w:val="Sinespaciado"/>
        <w:jc w:val="both"/>
        <w:rPr>
          <w:rFonts w:ascii="Palatino Linotype" w:hAnsi="Palatino Linotype" w:cs="Times New Roman"/>
          <w:b/>
          <w:sz w:val="21"/>
          <w:szCs w:val="21"/>
        </w:rPr>
      </w:pPr>
      <w:r w:rsidRPr="00E10347">
        <w:rPr>
          <w:rFonts w:ascii="Palatino Linotype" w:hAnsi="Palatino Linotype" w:cs="Times New Roman"/>
          <w:b/>
          <w:sz w:val="21"/>
          <w:szCs w:val="21"/>
        </w:rPr>
        <w:t>2</w:t>
      </w:r>
      <w:r w:rsidR="008C2BE0" w:rsidRPr="00E10347">
        <w:rPr>
          <w:rFonts w:ascii="Palatino Linotype" w:hAnsi="Palatino Linotype" w:cs="Times New Roman"/>
          <w:b/>
          <w:sz w:val="21"/>
          <w:szCs w:val="21"/>
        </w:rPr>
        <w:t>.-</w:t>
      </w:r>
      <w:r w:rsidRPr="00E10347">
        <w:rPr>
          <w:rFonts w:ascii="Palatino Linotype" w:hAnsi="Palatino Linotype" w:cs="Times New Roman"/>
          <w:b/>
          <w:sz w:val="21"/>
          <w:szCs w:val="21"/>
        </w:rPr>
        <w:t xml:space="preserve">   La pérdida de esperanzas al tropezarse con una normativa encapsulada en sí misma (para lo civil y comercial), ignorando su misión dentro del Derecho Procesal en general.  El pecado de los juristas forjados en la escritura escribiendo en oralidad.  La traición del pentagrama.  ¿Porqué se apartaron de la desiderata  de la oralidad teniendo las fuentes suficientes para un Código Procesal Civil?</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Tristemente estas esperanzas cifradas con el reciente Código, debidamente estudiado aún, suspendido en el periodo de la </w:t>
      </w:r>
      <w:r w:rsidRPr="00E10347">
        <w:rPr>
          <w:rFonts w:ascii="Palatino Linotype" w:hAnsi="Palatino Linotype"/>
          <w:b/>
          <w:i/>
          <w:sz w:val="21"/>
          <w:szCs w:val="21"/>
        </w:rPr>
        <w:t>vacatio leggis</w:t>
      </w:r>
      <w:r w:rsidRPr="00E10347">
        <w:rPr>
          <w:rFonts w:ascii="Palatino Linotype" w:hAnsi="Palatino Linotype"/>
          <w:sz w:val="21"/>
          <w:szCs w:val="21"/>
        </w:rPr>
        <w:t xml:space="preserve">,  mientras se profundiza en sus estudio,  se reflexiona, se le compara con fuentes similares, como el vigente Código Procesal Civil, de 1990, el Proyecto de Código Procesal General: de donde se desprendió,  es difícil asimilar  la ingrata conclusión cuando, al alzarle el velo de misterio, como si fuere intocable, pronto se ha de convertir en un triste sentimiento de engaño.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La nueva normativa procesal, según destacan algunos al proclamarlo como una extraordinaria solución histórica dirigiéndose a neófitos o  a quienes no lo conocen (o quizá sus conocimientos son más intuidos que pensados o estudiados), más pronto que tarde se encontrarán con la falta de los institutos fundamentales del Derecho Procesal, como los ampliamente difundidos.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Pero las esperanzas forjadas en la reciente normativa procesal casi inmediatamente muestran una marcada decepción con solo leer sus primeras líneas porque, como se acusa para todo su sistema, se muestra como una estructura procesal negadora de lo general para concebir un sistema exclusivo de lo civil y comercial.</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lastRenderedPageBreak/>
        <w:t xml:space="preserve">El engaño mayor se descubre, </w:t>
      </w:r>
      <w:r w:rsidRPr="00E10347">
        <w:rPr>
          <w:rFonts w:ascii="Palatino Linotype" w:hAnsi="Palatino Linotype"/>
          <w:b/>
          <w:i/>
          <w:sz w:val="21"/>
          <w:szCs w:val="21"/>
        </w:rPr>
        <w:t>a for</w:t>
      </w:r>
      <w:r w:rsidRPr="00E10347">
        <w:rPr>
          <w:rFonts w:ascii="Palatino Linotype" w:hAnsi="Palatino Linotype"/>
          <w:sz w:val="21"/>
          <w:szCs w:val="21"/>
        </w:rPr>
        <w:t xml:space="preserve"> de leerlo y leerlo en la parte de "</w:t>
      </w:r>
      <w:r w:rsidRPr="00E10347">
        <w:rPr>
          <w:rFonts w:ascii="Palatino Linotype" w:hAnsi="Palatino Linotype"/>
          <w:b/>
          <w:sz w:val="21"/>
          <w:szCs w:val="21"/>
        </w:rPr>
        <w:t>las normas aplicables a todos los procesos</w:t>
      </w:r>
      <w:r w:rsidRPr="00E10347">
        <w:rPr>
          <w:rFonts w:ascii="Palatino Linotype" w:hAnsi="Palatino Linotype"/>
          <w:sz w:val="21"/>
          <w:szCs w:val="21"/>
        </w:rPr>
        <w:t xml:space="preserve">"  por su separación abismal con los lineamientos de la normativa supuestamente inspiradora  (el Código Procesal General),  cuando se descubre la revelación contra aquél, en su naturaleza, contra el Sueño, porque se subleva contra los principios, y todas las hipótesis, de la oralidad, para asumir al mismo tiempo los de la escritura en tantos y tantos aspectos del Código Procesal Civil de 1990.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En los oscuros senderos de las fuentes orales y  escritas, no de unos procesos orales y otros escritos,  también hay una mayor confusión en torno a  la organización de los órganos judiciales, porque este cuerpo normativo solo menciona a los Tribunales (comprensible como órgano colegiado) como si todos los Jueces se transformaran en Superiores, cuando solo excepcionalmente estos existirán para tramitar "la audiencia de pruebas" y la Casación al tenor de lo dispuesto en la Ley Orgánica del Poder Judicial, únicamente para los ordinarios.</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Mi posición ha sido la de impulsar todo tipo de reformas procesales y sustantivas, muy independientemente si en ellas confluye mi trabajo intelectual, coincida o no con lo aprobado, pero no por ello debo renunciar a señalar conscientemente, y con respeto, las marcadas limitaciones o pecados del Nuevo Código Procesal Civil.</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Dichas expresiones van a ser referidas donde la cientificidad no puede ceder ante un elogioso trato hipócrita si sus alcances no son suficientes:  porque la honradez y rectitud en el análisis de los temas exige también estructurar una visión objetiva, producto de la evolución procesal y de los alcances o impacto del Código.</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Quienes recuerden cómo los nuevos redactores fueron nombrados para revisar y actualizar un Código Procesal General, invirtieron su misión para proclamar un Código Procesal Civil reduciendo exageradamente la rica temática a su alcance para cambiar la ideología del Procesal General, a uno Civil, con un replanteamiento conservador, atrasado jurídica y políticamente (en cuanto a las garantías de los usuarios del sistema judicial), y si se quiere hasta combativa con todo lo general para destruir su  filosofía, y volver a un Código ajeno a infinidad de avances de actualidad para desecharlos, y  concebirse para un mal entendido Derecho Privado constituido por el Civil y el Comercial.</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El punto no está solo en la imperdonable pérdida de una oportunidad histórica sabiendo del tiempo necesario para una reforma de estas magnitudes:  traducidas en décadas,  sino en la osadía de asumir una responsabilidad histórica </w:t>
      </w:r>
      <w:r w:rsidRPr="00E10347">
        <w:rPr>
          <w:rFonts w:ascii="Palatino Linotype" w:hAnsi="Palatino Linotype"/>
          <w:sz w:val="21"/>
          <w:szCs w:val="21"/>
        </w:rPr>
        <w:lastRenderedPageBreak/>
        <w:t>careciendo de una visión institucional y científica de la oralidad y de la generalidad pretendidamente buscada para resolver muchos problemas procesales.</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b/>
          <w:i/>
          <w:sz w:val="21"/>
          <w:szCs w:val="21"/>
        </w:rPr>
        <w:t>A for</w:t>
      </w:r>
      <w:r w:rsidRPr="00E10347">
        <w:rPr>
          <w:rFonts w:ascii="Palatino Linotype" w:hAnsi="Palatino Linotype"/>
          <w:sz w:val="21"/>
          <w:szCs w:val="21"/>
        </w:rPr>
        <w:t xml:space="preserve"> de honestidad científica, quienes no están familiarizados en la práctica cotidiana de la oralidad, con  un verdadero cambio cerebral para estudiarla, conocerla y creerla, habiéndola interiorizado hasta la médula, profundamente consciente de todos los factores a incorporar, y la concepción real de los personajes llamados a debutar en el proceso:  jueces  (mejor dicho los diferentes tipos de jueces) con sus cualidades, derechos y deberes, así como de las partes  (actores y demandados), a quienes se suman coadyuvantes, terceros convocados para la integración de la </w:t>
      </w:r>
      <w:r w:rsidRPr="00E10347">
        <w:rPr>
          <w:rFonts w:ascii="Palatino Linotype" w:hAnsi="Palatino Linotype"/>
          <w:b/>
          <w:i/>
          <w:sz w:val="21"/>
          <w:szCs w:val="21"/>
        </w:rPr>
        <w:t>litis</w:t>
      </w:r>
      <w:r w:rsidRPr="00E10347">
        <w:rPr>
          <w:rFonts w:ascii="Palatino Linotype" w:hAnsi="Palatino Linotype"/>
          <w:sz w:val="21"/>
          <w:szCs w:val="21"/>
        </w:rPr>
        <w:t xml:space="preserve"> consorcio necesaria, y naturalmente los derechos, deberes, exigencias y probidad de los abogados, personajes también protagónicos dentro de un ámbito original   (autoritario de conducción y dirección absoluta de los jueces, o de un proceso a tres, como mencionaba Adolfo Gelsi Bidart, conducido por el Juez y las partes) en tanto participantes conscientes y activos en y dentro  de esta tarea titánica.</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En aquella época del Código Procesal General, aparte de nuestra cultura jurídica y conociendo del Derecho comparado no nos bastaba para no ser traicionados cuando se trataba de escribir de oralidad y el producto era de la escritura.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Los conflictos surgen en todo tipo de manifestación.  Una de las traiciones más sentidas proviene de leer en el tradicional pentagrama de la escritura creyendo producir la sublime obra musical de la oralidad.  En tanto se continua leyendo del traidor pentagrama las melodías seguían el Norte del viejo estilo.</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Por ello, o por razones aún no explicadas, el pretendidamente Nuevo Código Procesal Civil efectivamente NO logró ser el Código de la oralidad, cuando sus modelos, por mandato, estaban mucho mejor concebidos en relación  al producto anunciado con tanta efusividad por quienes contribuyeron en su aprobación.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Si la intención fue concebir un "original" cuerpo procesal pretendidamente más equilibrado entre la escritura y la oralidad, su intento fue desmantelar la oralidad para concebirla menos acabada como jamás se esperó de un trabajo de tantísimos años con toda la documentación a su disposición.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Aquí será necesario determinar históricamente cuál de las siguientes hipótesis se pueda acercar a esta lamentable mutación.</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lastRenderedPageBreak/>
        <w:t xml:space="preserve">¿Será que el trabajo de la comisión no estuvo de acuerdo con la oralidad y por esa razón cercenó conscientemente sus aspectos más relevantes en unas audiencias desprovistas de los elementos técnicos para su éxito?   ¿Sería que convencidos de la escritura y no de la oralidad socavaron el modelo para verlo fracasar y regresar en esa forma a la escritura?   ¿Sería, y esto es tan peligrosa como la anterior, que los redactores proclamaron la oralidad como solución no conocieran ni dominaran el sistema de oralidad por audiencias?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¿Cómo pudo el Código apartarse de la desiderata procesal si contaba con las fuentes latinoamericanas y costarricenses para la concepción de un fresco cuerpo normativo para un Código Procesal Civil?</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Me atrevo a formular una hipótesis.  Mientras el estudio del Derecho Procesal hoy, como nunca, tiene una infinita gama de textos en todos los idiomas, con tradiciones jurídicas conocidas, riqueza en la producción jurídica desde 1990 hasta la fecha  (solo para tomar como punto de partida la entrada en vigencia del anterior Cuerpo del proceso civil costarricense), pues en estos años, como en ninguna época,  se puso en duda el buen funcionamiento, y especialmente, la eficacia de los sistema judiciales en los diversos sistemas del continente, la Comisión encargada de su redacción se encargó únicamente de cambiarle la ideología al Código Procesal General, siguiéndolo paso a paso para ir negándolo, para crearle excepciones, imponer límites, en fin degradarlo, sin un conocimiento profundo de Derecho Procesal Comparado, fundada solo en "la práctica" judicial, o mentalidad de jueces, transgrediendo  al sistema encargado de posesionar al ciudadano, al justiciable, con todos sus derechos fundamentales, como centro del sistema, para sustituirlo por el viejo esquema de un conjunto de actos jurídicos concatenados y  dispuestos en un cierto orden, para ser abordados por los jueces a instancia judicial o de las partes, siguiendo el  viejo principio de la preclusión  (pues cuando el proceso saltare cualquiera de los actos, entraba en escena la nulidad, cuya determinación se declaraba por medio de incidentes, atrasándolo, impidiendo su correcto camino, permitiendo así convertir al proceso en un verdadero "juego" entre litigantes, con un Juez como árbitro, para beneficiar al culpable con la lentitud del proceso, obstaculizando acercar la sentencia a la demanda. o impidiéndola en forma absoluta, para perjudicar al inocente quien al ir a los Tribunales a buscar Justicia difícilmente la alcanza porque el sistema se lo impide.</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Entonces pudo ser ignorancia, falta de un compromiso con la Ciencia del Proceso, sus institutos válidos, o cualquier tipo de culpabilidad, pero </w:t>
      </w:r>
      <w:r w:rsidRPr="00E10347">
        <w:rPr>
          <w:rFonts w:ascii="Palatino Linotype" w:hAnsi="Palatino Linotype"/>
          <w:sz w:val="21"/>
          <w:szCs w:val="21"/>
        </w:rPr>
        <w:lastRenderedPageBreak/>
        <w:t>conscientemente su labor se concentró en romper con una nueva ideología, una nueva forma de comprender el proceso, para impulsar un sistema procesal  más  atrasado al de 1990, anunciando altas pretensiones del sueño de un Código verdaderamente nuevo, pero la proclamación se refiere a un Código traicionado.</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Como conclusión adelantada de todo cuanto se ha estudiado, y  escribo, respetuoso formulo una propuesta a los procesalistas científicos, de prestar su servicio de cualidad a la Patria para idear los meditar y fraguar los ajustes indispensables, aprovechado la </w:t>
      </w:r>
      <w:r w:rsidRPr="00E10347">
        <w:rPr>
          <w:rFonts w:ascii="Palatino Linotype" w:hAnsi="Palatino Linotype"/>
          <w:b/>
          <w:i/>
          <w:sz w:val="21"/>
          <w:szCs w:val="21"/>
        </w:rPr>
        <w:t xml:space="preserve">vacatio legis </w:t>
      </w:r>
      <w:r w:rsidRPr="00E10347">
        <w:rPr>
          <w:rFonts w:ascii="Palatino Linotype" w:hAnsi="Palatino Linotype"/>
          <w:sz w:val="21"/>
          <w:szCs w:val="21"/>
        </w:rPr>
        <w:t>del</w:t>
      </w:r>
      <w:r w:rsidRPr="00E10347">
        <w:rPr>
          <w:rFonts w:ascii="Palatino Linotype" w:hAnsi="Palatino Linotype"/>
          <w:b/>
          <w:sz w:val="21"/>
          <w:szCs w:val="21"/>
        </w:rPr>
        <w:t xml:space="preserve"> Nuevo Código  (c</w:t>
      </w:r>
      <w:r w:rsidRPr="00E10347">
        <w:rPr>
          <w:rFonts w:ascii="Palatino Linotype" w:hAnsi="Palatino Linotype"/>
          <w:sz w:val="21"/>
          <w:szCs w:val="21"/>
        </w:rPr>
        <w:t>omo suele ser siempre su fin), para inspirar una reforma correctiva presagi</w:t>
      </w:r>
      <w:r w:rsidR="008C2BE0" w:rsidRPr="00E10347">
        <w:rPr>
          <w:rFonts w:ascii="Palatino Linotype" w:hAnsi="Palatino Linotype"/>
          <w:sz w:val="21"/>
          <w:szCs w:val="21"/>
        </w:rPr>
        <w:t>ando acoplar y rectificar, lo má</w:t>
      </w:r>
      <w:r w:rsidRPr="00E10347">
        <w:rPr>
          <w:rFonts w:ascii="Palatino Linotype" w:hAnsi="Palatino Linotype"/>
          <w:sz w:val="21"/>
          <w:szCs w:val="21"/>
        </w:rPr>
        <w:t>s moderadamente posible, sus instituciones para contar con una  urgente normativa procesal idónea para nuestro flamante Sistema de la Oralidad.</w:t>
      </w:r>
    </w:p>
    <w:p w:rsidR="002014CA"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Esta respetuosa instancia no es contra nadie.  Menos contra los últimos redactores que formularon, con gran esfuerzo y sacrificio, una propuesta para convertirse en Ley de la República, en un Código cuya autoría ahora es del Poder Legislativo, y los ciudadanos conscientes (porque esta normativa es para los sujetos de Derecho Privado)  debemos asumir este reto histórico.</w:t>
      </w:r>
    </w:p>
    <w:p w:rsidR="007818DC" w:rsidRPr="00E10347" w:rsidRDefault="007818DC" w:rsidP="00E10347">
      <w:pPr>
        <w:pStyle w:val="NormalWeb"/>
        <w:shd w:val="clear" w:color="auto" w:fill="FFFFFF"/>
        <w:spacing w:before="0" w:beforeAutospacing="0" w:after="0" w:afterAutospacing="0"/>
        <w:ind w:firstLine="709"/>
        <w:jc w:val="both"/>
        <w:rPr>
          <w:rFonts w:ascii="Palatino Linotype" w:hAnsi="Palatino Linotype"/>
          <w:sz w:val="21"/>
          <w:szCs w:val="21"/>
        </w:rPr>
      </w:pPr>
    </w:p>
    <w:p w:rsidR="002014CA" w:rsidRPr="00E10347" w:rsidRDefault="002014CA" w:rsidP="00E10347">
      <w:pPr>
        <w:pStyle w:val="NormalWeb"/>
        <w:shd w:val="clear" w:color="auto" w:fill="FFFFFF"/>
        <w:spacing w:before="0" w:beforeAutospacing="0" w:after="0" w:afterAutospacing="0"/>
        <w:jc w:val="both"/>
        <w:rPr>
          <w:rStyle w:val="Textoennegrita"/>
          <w:rFonts w:ascii="Palatino Linotype" w:hAnsi="Palatino Linotype"/>
          <w:sz w:val="21"/>
          <w:szCs w:val="21"/>
        </w:rPr>
      </w:pPr>
      <w:r w:rsidRPr="00E10347">
        <w:rPr>
          <w:rFonts w:ascii="Palatino Linotype" w:hAnsi="Palatino Linotype"/>
          <w:b/>
          <w:sz w:val="21"/>
          <w:szCs w:val="21"/>
        </w:rPr>
        <w:t>3</w:t>
      </w:r>
      <w:r w:rsidR="008C2BE0" w:rsidRPr="00E10347">
        <w:rPr>
          <w:rFonts w:ascii="Palatino Linotype" w:hAnsi="Palatino Linotype"/>
          <w:b/>
          <w:sz w:val="21"/>
          <w:szCs w:val="21"/>
        </w:rPr>
        <w:t>.-</w:t>
      </w:r>
      <w:r w:rsidRPr="00E10347">
        <w:rPr>
          <w:rFonts w:ascii="Palatino Linotype" w:hAnsi="Palatino Linotype"/>
          <w:b/>
          <w:sz w:val="21"/>
          <w:szCs w:val="21"/>
        </w:rPr>
        <w:t xml:space="preserve">  El grave pecado de la concepción anti </w:t>
      </w:r>
      <w:r w:rsidRPr="00E10347">
        <w:rPr>
          <w:rFonts w:ascii="Palatino Linotype" w:hAnsi="Palatino Linotype"/>
          <w:b/>
          <w:i/>
          <w:sz w:val="21"/>
          <w:szCs w:val="21"/>
        </w:rPr>
        <w:t>lex generalis</w:t>
      </w:r>
      <w:r w:rsidRPr="00E10347">
        <w:rPr>
          <w:rFonts w:ascii="Palatino Linotype" w:hAnsi="Palatino Linotype"/>
          <w:b/>
          <w:sz w:val="21"/>
          <w:szCs w:val="21"/>
        </w:rPr>
        <w:t xml:space="preserve"> y contraria a asumir su rol de supletoriedad de las otras disciplinas jurídicas:  problemas claves para reconducir el proceso ordinario oral a otros arcaicos, vetustos, primitivos, de la escritura.  </w:t>
      </w:r>
      <w:r w:rsidRPr="00E10347">
        <w:rPr>
          <w:rStyle w:val="Textoennegrita"/>
          <w:rFonts w:ascii="Palatino Linotype" w:hAnsi="Palatino Linotype"/>
          <w:sz w:val="21"/>
          <w:szCs w:val="21"/>
        </w:rPr>
        <w:t xml:space="preserve">A)   En cuanto al concepto mismo de  </w:t>
      </w:r>
      <w:r w:rsidRPr="00E10347">
        <w:rPr>
          <w:rStyle w:val="Textoennegrita"/>
          <w:rFonts w:ascii="Palatino Linotype" w:hAnsi="Palatino Linotype"/>
          <w:i/>
          <w:sz w:val="21"/>
          <w:szCs w:val="21"/>
        </w:rPr>
        <w:t>Lex generalis</w:t>
      </w:r>
      <w:r w:rsidRPr="00E10347">
        <w:rPr>
          <w:rStyle w:val="Textoennegrita"/>
          <w:rFonts w:ascii="Palatino Linotype" w:hAnsi="Palatino Linotype"/>
          <w:sz w:val="21"/>
          <w:szCs w:val="21"/>
        </w:rPr>
        <w:t xml:space="preserve">  el nuevo Código Procesal   </w:t>
      </w:r>
      <w:r w:rsidRPr="00E10347">
        <w:rPr>
          <w:rFonts w:ascii="Palatino Linotype" w:hAnsi="Palatino Linotype"/>
          <w:b/>
          <w:sz w:val="21"/>
          <w:szCs w:val="21"/>
        </w:rPr>
        <w:t xml:space="preserve">no admitió ser general, superior e inspirador de ninguna materia, solo de sus procesos exclusivos: civil y el comercial, así como las disciplinas ausentes de normativa procesal.  </w:t>
      </w:r>
      <w:r w:rsidRPr="00E10347">
        <w:rPr>
          <w:rStyle w:val="Textoennegrita"/>
          <w:rFonts w:ascii="Palatino Linotype" w:hAnsi="Palatino Linotype"/>
          <w:sz w:val="21"/>
          <w:szCs w:val="21"/>
        </w:rPr>
        <w:t xml:space="preserve">B)   En cuanto a su concepto paralelo de la  supletoriedad, presente en todos los otros sistemas procesales, carece el Código de una explicación científica para eliminarla para el contencioso administrativo, el laboral y el agrario.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La idea primigenia fue lograr, por medio de una normativa procesal de avanzada y de carácter general, trasladar hacia todas las demás especialidades judiciales mínimamente el ordinario concebido bajo la filosofía de un proceso oral por audiencias, en una primera parte con las actividades a cumplir en la preliminar para el saneamiento y ordenación del proceso  y la  otra audiencia: de juicio o debate probatorio cuya culminación está en el dictado de la sentencia contra la cual no cabe ningún recuso de apelación, porque desapareció la segunda instancia, sino exclusivamente el Recurso de Casación.</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lastRenderedPageBreak/>
        <w:t xml:space="preserve">Pero todo lo contrario fue la ideología adoptada por el recién aprobado Código Procesal Civil. Porque se rebeló contra esa concepción introduciendo normas limitativas o prohibitivas para cumplir su rol con las diferentes disciplinas procesales.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Esto constituye todo un pecado contra el Derecho Procesal Científico porque, muy a pesar de una definición contra aquél proyecto que debía ser su obligada inspiración, un Código Procesal Civil no puede renunciar de su característica clave de servir de inspiración de todas las disciplinas procesales en  tanto le ha sido asignado el rol de </w:t>
      </w:r>
      <w:r w:rsidRPr="00E10347">
        <w:rPr>
          <w:rFonts w:ascii="Palatino Linotype" w:hAnsi="Palatino Linotype"/>
          <w:b/>
          <w:i/>
          <w:sz w:val="21"/>
          <w:szCs w:val="21"/>
        </w:rPr>
        <w:t>lex generalis</w:t>
      </w:r>
      <w:r w:rsidRPr="00E10347">
        <w:rPr>
          <w:rFonts w:ascii="Palatino Linotype" w:hAnsi="Palatino Linotype"/>
          <w:sz w:val="21"/>
          <w:szCs w:val="21"/>
        </w:rPr>
        <w:t>, aquella con normas generales susceptibles de ser aplicadas en sistemas procesales de derecho privado, público, penal e incluso en procesos administrativos.</w:t>
      </w:r>
    </w:p>
    <w:p w:rsidR="002014CA" w:rsidRPr="00E10347" w:rsidRDefault="002014CA" w:rsidP="00E10347">
      <w:pPr>
        <w:pStyle w:val="NormalWeb"/>
        <w:shd w:val="clear" w:color="auto" w:fill="FFFFFF"/>
        <w:spacing w:before="0" w:beforeAutospacing="0" w:after="0" w:afterAutospacing="0"/>
        <w:ind w:firstLine="708"/>
        <w:jc w:val="both"/>
        <w:rPr>
          <w:rFonts w:ascii="Palatino Linotype" w:hAnsi="Palatino Linotype"/>
          <w:sz w:val="21"/>
          <w:szCs w:val="21"/>
        </w:rPr>
      </w:pPr>
      <w:r w:rsidRPr="00E10347">
        <w:rPr>
          <w:rFonts w:ascii="Palatino Linotype" w:hAnsi="Palatino Linotype"/>
          <w:sz w:val="21"/>
          <w:szCs w:val="21"/>
        </w:rPr>
        <w:t xml:space="preserve">La ideología del sistema procesal, en </w:t>
      </w:r>
      <w:r w:rsidRPr="00E10347">
        <w:rPr>
          <w:rFonts w:ascii="Palatino Linotype" w:hAnsi="Palatino Linotype"/>
          <w:b/>
          <w:i/>
          <w:sz w:val="21"/>
          <w:szCs w:val="21"/>
        </w:rPr>
        <w:t>vacatio legis</w:t>
      </w:r>
      <w:r w:rsidRPr="00E10347">
        <w:rPr>
          <w:rFonts w:ascii="Palatino Linotype" w:hAnsi="Palatino Linotype"/>
          <w:sz w:val="21"/>
          <w:szCs w:val="21"/>
        </w:rPr>
        <w:t>, difiere absolutamente con el Código Procesal General cuyo fin consistía en crear un horizonte fabuloso para todas las demás disciplinas procesales tanto de Derecho Privado como Derecho Público.</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La ideología del Código Procesal General en cuanto a su condición de </w:t>
      </w:r>
      <w:r w:rsidRPr="00E10347">
        <w:rPr>
          <w:rFonts w:ascii="Palatino Linotype" w:hAnsi="Palatino Linotype"/>
          <w:b/>
          <w:i/>
          <w:sz w:val="21"/>
          <w:szCs w:val="21"/>
        </w:rPr>
        <w:t xml:space="preserve">lex generalis  </w:t>
      </w:r>
      <w:r w:rsidRPr="00E10347">
        <w:rPr>
          <w:rFonts w:ascii="Palatino Linotype" w:hAnsi="Palatino Linotype"/>
          <w:sz w:val="21"/>
          <w:szCs w:val="21"/>
        </w:rPr>
        <w:t>y del uso supletorio de sus normas es más ambiciosa, más democrática, pretende una concepción de aplicabilidad procesal a todos los sistemas sobre principios similares:</w:t>
      </w:r>
    </w:p>
    <w:p w:rsidR="002014CA" w:rsidRPr="00E10347" w:rsidRDefault="002014CA" w:rsidP="007818DC">
      <w:pPr>
        <w:pStyle w:val="NormalWeb"/>
        <w:shd w:val="clear" w:color="auto" w:fill="FFFFFF"/>
        <w:spacing w:before="0" w:beforeAutospacing="0" w:after="0" w:afterAutospacing="0"/>
        <w:ind w:left="851" w:right="851"/>
        <w:jc w:val="both"/>
        <w:rPr>
          <w:rFonts w:ascii="Palatino Linotype" w:hAnsi="Palatino Linotype"/>
          <w:sz w:val="21"/>
          <w:szCs w:val="21"/>
        </w:rPr>
      </w:pPr>
      <w:r w:rsidRPr="00E10347">
        <w:rPr>
          <w:rFonts w:ascii="Palatino Linotype" w:hAnsi="Palatino Linotype"/>
          <w:sz w:val="21"/>
          <w:szCs w:val="21"/>
        </w:rPr>
        <w:t>"</w:t>
      </w:r>
      <w:r w:rsidRPr="00E10347">
        <w:rPr>
          <w:rFonts w:ascii="Palatino Linotype" w:hAnsi="Palatino Linotype"/>
          <w:b/>
          <w:sz w:val="21"/>
          <w:szCs w:val="21"/>
          <w:u w:val="single"/>
        </w:rPr>
        <w:t>Artículo 1.1.  Reglas</w:t>
      </w:r>
      <w:r w:rsidRPr="00E10347">
        <w:rPr>
          <w:rFonts w:ascii="Palatino Linotype" w:hAnsi="Palatino Linotype"/>
          <w:sz w:val="21"/>
          <w:szCs w:val="21"/>
        </w:rPr>
        <w:t xml:space="preserve">.  Los procesos de las materias civil, comercial,  familiar, agrario, concursal y ambiental y los de naturaleza jurídica similar, se regirán por los principios propios y consustanciales del sistema de la oralidad procesal previstos en este Código. En defecto de disposiciones en las leyes que regulan los procesos laborales </w:t>
      </w:r>
      <w:r w:rsidRPr="00E10347">
        <w:rPr>
          <w:rFonts w:ascii="Palatino Linotype" w:hAnsi="Palatino Linotype"/>
          <w:b/>
          <w:sz w:val="21"/>
          <w:szCs w:val="21"/>
        </w:rPr>
        <w:t>y</w:t>
      </w:r>
      <w:r w:rsidRPr="00E10347">
        <w:rPr>
          <w:rFonts w:ascii="Palatino Linotype" w:hAnsi="Palatino Linotype"/>
          <w:sz w:val="21"/>
          <w:szCs w:val="21"/>
        </w:rPr>
        <w:t xml:space="preserve"> contencioso administrativo</w:t>
      </w:r>
      <w:r w:rsidRPr="00E10347">
        <w:rPr>
          <w:rFonts w:ascii="Palatino Linotype" w:hAnsi="Palatino Linotype"/>
          <w:b/>
          <w:sz w:val="21"/>
          <w:szCs w:val="21"/>
        </w:rPr>
        <w:t>,</w:t>
      </w:r>
      <w:r w:rsidRPr="00E10347">
        <w:rPr>
          <w:rFonts w:ascii="Palatino Linotype" w:hAnsi="Palatino Linotype"/>
          <w:sz w:val="21"/>
          <w:szCs w:val="21"/>
        </w:rPr>
        <w:t xml:space="preserve">  se aplicará este Código de manera supletoria".</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Por el contrario la ideología del Nuevo Código Procesal Civil nos sorprende en cuanto asume una posición absolutamente diferentes, primero, como se profundizará más adelante, en una visión reductiva, no se abre hacia el Derecho Procesal en general sino a un sistema procesal limitado a lo civil y comercial, e indirectamente a la materia familiar en cuanto no tiene normativa procesal,  imponiéndole obstáculos al uso de sus normas a los demás sistemas procesales:</w:t>
      </w:r>
    </w:p>
    <w:p w:rsidR="002014CA" w:rsidRPr="007818DC" w:rsidRDefault="002014CA" w:rsidP="007818DC">
      <w:pPr>
        <w:pStyle w:val="NormalWeb"/>
        <w:shd w:val="clear" w:color="auto" w:fill="FFFFFF"/>
        <w:spacing w:before="0" w:beforeAutospacing="0" w:after="0" w:afterAutospacing="0"/>
        <w:ind w:left="851" w:right="851"/>
        <w:jc w:val="both"/>
        <w:rPr>
          <w:rFonts w:ascii="Palatino Linotype" w:hAnsi="Palatino Linotype"/>
          <w:b/>
          <w:sz w:val="21"/>
          <w:szCs w:val="21"/>
        </w:rPr>
      </w:pPr>
      <w:r w:rsidRPr="007818DC">
        <w:rPr>
          <w:rStyle w:val="Textoennegrita"/>
          <w:rFonts w:ascii="Palatino Linotype" w:hAnsi="Palatino Linotype"/>
          <w:b w:val="0"/>
          <w:sz w:val="21"/>
          <w:szCs w:val="21"/>
        </w:rPr>
        <w:t>"</w:t>
      </w:r>
      <w:r w:rsidRPr="007818DC">
        <w:rPr>
          <w:rStyle w:val="Textoennegrita"/>
          <w:rFonts w:ascii="Palatino Linotype" w:hAnsi="Palatino Linotype"/>
          <w:b w:val="0"/>
          <w:sz w:val="21"/>
          <w:szCs w:val="21"/>
          <w:u w:val="single"/>
        </w:rPr>
        <w:t>Artículo 1.    Ámbito de aplicación.</w:t>
      </w:r>
      <w:r w:rsidRPr="007818DC">
        <w:rPr>
          <w:rStyle w:val="Textoennegrita"/>
          <w:rFonts w:ascii="Palatino Linotype" w:hAnsi="Palatino Linotype"/>
          <w:b w:val="0"/>
          <w:sz w:val="21"/>
          <w:szCs w:val="21"/>
        </w:rPr>
        <w:t xml:space="preserve">  Los procesos de naturaleza civil y comercial y aquellos que no tengan legislación procesal especial se regirán por las disposiciones de este Código."</w:t>
      </w:r>
    </w:p>
    <w:p w:rsidR="002014CA" w:rsidRPr="008A02E9" w:rsidRDefault="002014CA" w:rsidP="00E10347">
      <w:pPr>
        <w:pStyle w:val="NormalWeb"/>
        <w:shd w:val="clear" w:color="auto" w:fill="FFFFFF"/>
        <w:spacing w:before="0" w:beforeAutospacing="0" w:after="0" w:afterAutospacing="0"/>
        <w:ind w:firstLine="709"/>
        <w:jc w:val="both"/>
        <w:rPr>
          <w:rStyle w:val="Textoennegrita"/>
          <w:rFonts w:ascii="Palatino Linotype" w:hAnsi="Palatino Linotype"/>
          <w:b w:val="0"/>
          <w:sz w:val="21"/>
          <w:szCs w:val="21"/>
        </w:rPr>
      </w:pPr>
      <w:r w:rsidRPr="00E10347">
        <w:rPr>
          <w:rFonts w:ascii="Palatino Linotype" w:hAnsi="Palatino Linotype"/>
          <w:sz w:val="21"/>
          <w:szCs w:val="21"/>
        </w:rPr>
        <w:lastRenderedPageBreak/>
        <w:t xml:space="preserve">En ella, se expresa con absoluta claridad para el firme creyente en el principio de legalidad procesal, sin ambages, ni con posibilidad de interpretar algo diferente, es decir cómo el nuevo Código impone el criterio de su normativa solo resulta aplicable para </w:t>
      </w:r>
      <w:r w:rsidRPr="008A02E9">
        <w:rPr>
          <w:rFonts w:ascii="Palatino Linotype" w:hAnsi="Palatino Linotype"/>
          <w:sz w:val="21"/>
          <w:szCs w:val="21"/>
        </w:rPr>
        <w:t>"</w:t>
      </w:r>
      <w:r w:rsidRPr="008A02E9">
        <w:rPr>
          <w:rStyle w:val="Textoennegrita"/>
          <w:rFonts w:ascii="Palatino Linotype" w:hAnsi="Palatino Linotype"/>
          <w:b w:val="0"/>
          <w:sz w:val="21"/>
          <w:szCs w:val="21"/>
        </w:rPr>
        <w:t xml:space="preserve">Los procesos de naturaleza civil y comercial y aquellos que no tengan legislación procesal especial". </w:t>
      </w:r>
    </w:p>
    <w:p w:rsidR="002014CA" w:rsidRPr="008A02E9" w:rsidRDefault="002014CA" w:rsidP="00E10347">
      <w:pPr>
        <w:pStyle w:val="NormalWeb"/>
        <w:shd w:val="clear" w:color="auto" w:fill="FFFFFF"/>
        <w:spacing w:before="0" w:beforeAutospacing="0" w:after="0" w:afterAutospacing="0"/>
        <w:ind w:firstLine="709"/>
        <w:jc w:val="both"/>
        <w:rPr>
          <w:rStyle w:val="Textoennegrita"/>
          <w:rFonts w:ascii="Palatino Linotype" w:hAnsi="Palatino Linotype"/>
          <w:b w:val="0"/>
          <w:sz w:val="21"/>
          <w:szCs w:val="21"/>
        </w:rPr>
      </w:pPr>
      <w:r w:rsidRPr="008A02E9">
        <w:rPr>
          <w:rStyle w:val="Textoennegrita"/>
          <w:rFonts w:ascii="Palatino Linotype" w:hAnsi="Palatino Linotype"/>
          <w:b w:val="0"/>
          <w:sz w:val="21"/>
          <w:szCs w:val="21"/>
        </w:rPr>
        <w:t>Este grosero pecado de intentar por todos los medios asumir un rol contrario a ser una normativa procesal general capaz de ser faro e ideal de los otros sistemas procesales, necesariamente genera otras consecuencias tanto en el plano de los conceptos como de la eficacia misma del Código.</w:t>
      </w:r>
    </w:p>
    <w:p w:rsidR="008A02E9" w:rsidRDefault="008A02E9" w:rsidP="00E10347">
      <w:pPr>
        <w:pStyle w:val="NormalWeb"/>
        <w:shd w:val="clear" w:color="auto" w:fill="FFFFFF"/>
        <w:spacing w:before="0" w:beforeAutospacing="0" w:after="0" w:afterAutospacing="0"/>
        <w:jc w:val="both"/>
        <w:rPr>
          <w:rStyle w:val="Textoennegrita"/>
          <w:rFonts w:ascii="Palatino Linotype" w:hAnsi="Palatino Linotype"/>
          <w:b w:val="0"/>
          <w:sz w:val="21"/>
          <w:szCs w:val="21"/>
        </w:rPr>
      </w:pPr>
    </w:p>
    <w:p w:rsidR="002014CA" w:rsidRPr="008A02E9" w:rsidRDefault="002014CA" w:rsidP="00E10347">
      <w:pPr>
        <w:pStyle w:val="NormalWeb"/>
        <w:shd w:val="clear" w:color="auto" w:fill="FFFFFF"/>
        <w:spacing w:before="0" w:beforeAutospacing="0" w:after="0" w:afterAutospacing="0"/>
        <w:jc w:val="both"/>
        <w:rPr>
          <w:rFonts w:ascii="Palatino Linotype" w:hAnsi="Palatino Linotype"/>
          <w:b/>
          <w:sz w:val="21"/>
          <w:szCs w:val="21"/>
        </w:rPr>
      </w:pPr>
      <w:r w:rsidRPr="008A02E9">
        <w:rPr>
          <w:rStyle w:val="Textoennegrita"/>
          <w:rFonts w:ascii="Palatino Linotype" w:hAnsi="Palatino Linotype"/>
          <w:sz w:val="21"/>
          <w:szCs w:val="21"/>
        </w:rPr>
        <w:t xml:space="preserve">A)   En cuanto al concepto mismo de  </w:t>
      </w:r>
      <w:r w:rsidRPr="008A02E9">
        <w:rPr>
          <w:rStyle w:val="Textoennegrita"/>
          <w:rFonts w:ascii="Palatino Linotype" w:hAnsi="Palatino Linotype"/>
          <w:i/>
          <w:sz w:val="21"/>
          <w:szCs w:val="21"/>
        </w:rPr>
        <w:t>Lex generalis</w:t>
      </w:r>
      <w:r w:rsidRPr="008A02E9">
        <w:rPr>
          <w:rStyle w:val="Textoennegrita"/>
          <w:rFonts w:ascii="Palatino Linotype" w:hAnsi="Palatino Linotype"/>
          <w:sz w:val="21"/>
          <w:szCs w:val="21"/>
        </w:rPr>
        <w:t xml:space="preserve">  el nuevo Código Procesal   </w:t>
      </w:r>
      <w:r w:rsidRPr="008A02E9">
        <w:rPr>
          <w:rFonts w:ascii="Palatino Linotype" w:hAnsi="Palatino Linotype"/>
          <w:b/>
          <w:sz w:val="21"/>
          <w:szCs w:val="21"/>
        </w:rPr>
        <w:t>no admitió ser general, superior e inspirador de ninguna materia, solo de sus procesos exclusivos: civil y el comercial, así como las disciplinas ausentes de normativa procesal.</w:t>
      </w:r>
    </w:p>
    <w:p w:rsidR="002014CA" w:rsidRPr="008A02E9" w:rsidRDefault="002014CA" w:rsidP="00E10347">
      <w:pPr>
        <w:pStyle w:val="NormalWeb"/>
        <w:shd w:val="clear" w:color="auto" w:fill="FFFFFF"/>
        <w:spacing w:before="0" w:beforeAutospacing="0" w:after="0" w:afterAutospacing="0"/>
        <w:ind w:firstLine="709"/>
        <w:jc w:val="both"/>
        <w:rPr>
          <w:rStyle w:val="Textoennegrita"/>
          <w:rFonts w:ascii="Palatino Linotype" w:hAnsi="Palatino Linotype"/>
          <w:b w:val="0"/>
          <w:sz w:val="21"/>
          <w:szCs w:val="21"/>
        </w:rPr>
      </w:pPr>
      <w:r w:rsidRPr="008A02E9">
        <w:rPr>
          <w:rStyle w:val="Textoennegrita"/>
          <w:rFonts w:ascii="Palatino Linotype" w:hAnsi="Palatino Linotype"/>
          <w:b w:val="0"/>
          <w:sz w:val="21"/>
          <w:szCs w:val="21"/>
        </w:rPr>
        <w:t>En esta forma  se consagra su concepción acomplejada, e incomprensible de negarse a su legítimo e histórico carácter de normativa procesal general inspiradora de las otras, por su  propia determinación  de auto limitarse para conocer, por su medio,  solo de los otros procesos civiles, comerciales y el de familia, esta última por no tener una legislación procesal especial.</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En consecuencia, parafraseando a CALAMANDREI, siendo el Código Procesal Civil,  como la sombra que sigue al cuerpo del Derecho Privado, o mejor dicho del Derecho en general, tanto de orden privado como público, en tanto</w:t>
      </w:r>
      <w:r w:rsidRPr="00E10347">
        <w:rPr>
          <w:rStyle w:val="apple-converted-space"/>
          <w:rFonts w:ascii="Palatino Linotype" w:eastAsiaTheme="minorEastAsia" w:hAnsi="Palatino Linotype"/>
          <w:b/>
          <w:bCs/>
          <w:i/>
          <w:iCs/>
          <w:sz w:val="21"/>
          <w:szCs w:val="21"/>
        </w:rPr>
        <w:t> </w:t>
      </w:r>
      <w:r w:rsidRPr="00E10347">
        <w:rPr>
          <w:rStyle w:val="Textoennegrita"/>
          <w:rFonts w:ascii="Palatino Linotype" w:hAnsi="Palatino Linotype"/>
          <w:i/>
          <w:iCs/>
          <w:sz w:val="21"/>
          <w:szCs w:val="21"/>
        </w:rPr>
        <w:t>lex generalis</w:t>
      </w:r>
      <w:r w:rsidRPr="00E10347">
        <w:rPr>
          <w:rFonts w:ascii="Palatino Linotype" w:hAnsi="Palatino Linotype"/>
          <w:sz w:val="21"/>
          <w:szCs w:val="21"/>
        </w:rPr>
        <w:t>, lamentablemente se restringió para negarse a cumplir su misión.</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Porque el proceso civil siempre ha sido la norma supletoria para el uso de las demás disciplinas jurídicas procesales.  Esto es el Código Procesal Civil se convierte en norma supletoria de todas las disciplinas del Derecho Privado:  Familia, Laboral, Agrario, en nuestro Derecho Procesal Público según se desprende del Código Procesal Contencioso Administrativo, del 2008, e incluso en el procesal penal, porque todas estas disciplinas han dispuesto el recurso al uso de  las normas generales del Código Procesal Civil, pero, literalmente, el nuevo declinó tal carácter porque no admitió ser general, superior e inspirador de ninguna materia, solo procesos exclusivos del civil y el comercial, así como las disciplinas ausentes de normativa procesal.</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Esta actitud del novel sistema procesal civil no concuerda con una visión científica del Derecho Procesal.  Más bien parece el producto de una concepción </w:t>
      </w:r>
      <w:r w:rsidRPr="00E10347">
        <w:rPr>
          <w:rFonts w:ascii="Palatino Linotype" w:hAnsi="Palatino Linotype"/>
          <w:sz w:val="21"/>
          <w:szCs w:val="21"/>
        </w:rPr>
        <w:lastRenderedPageBreak/>
        <w:t xml:space="preserve">ayuna de conocimiento  (didáctico, científico y sin la mínima experiencia legislativa).  </w:t>
      </w:r>
    </w:p>
    <w:p w:rsidR="008A02E9" w:rsidRDefault="008A02E9" w:rsidP="00E10347">
      <w:pPr>
        <w:pStyle w:val="NormalWeb"/>
        <w:shd w:val="clear" w:color="auto" w:fill="FFFFFF"/>
        <w:spacing w:before="0" w:beforeAutospacing="0" w:after="0" w:afterAutospacing="0"/>
        <w:jc w:val="both"/>
        <w:rPr>
          <w:rStyle w:val="Textoennegrita"/>
          <w:rFonts w:ascii="Palatino Linotype" w:hAnsi="Palatino Linotype"/>
          <w:sz w:val="21"/>
          <w:szCs w:val="21"/>
        </w:rPr>
      </w:pPr>
    </w:p>
    <w:p w:rsidR="002014CA" w:rsidRPr="00E10347" w:rsidRDefault="002014CA" w:rsidP="00E10347">
      <w:pPr>
        <w:pStyle w:val="NormalWeb"/>
        <w:shd w:val="clear" w:color="auto" w:fill="FFFFFF"/>
        <w:spacing w:before="0" w:beforeAutospacing="0" w:after="0" w:afterAutospacing="0"/>
        <w:jc w:val="both"/>
        <w:rPr>
          <w:rStyle w:val="Textoennegrita"/>
          <w:rFonts w:ascii="Palatino Linotype" w:hAnsi="Palatino Linotype"/>
          <w:sz w:val="21"/>
          <w:szCs w:val="21"/>
        </w:rPr>
      </w:pPr>
      <w:r w:rsidRPr="00E10347">
        <w:rPr>
          <w:rStyle w:val="Textoennegrita"/>
          <w:rFonts w:ascii="Palatino Linotype" w:hAnsi="Palatino Linotype"/>
          <w:sz w:val="21"/>
          <w:szCs w:val="21"/>
        </w:rPr>
        <w:t xml:space="preserve">B)   En cuanto a su concepto paralelo de la  supletoriedad, presente en todos los otros sistemas procesales, carece el Código de una explicación científica para eliminarla para el contencioso administrativo, el laboral y el agrario.   </w:t>
      </w:r>
    </w:p>
    <w:p w:rsidR="002014CA" w:rsidRPr="008A02E9" w:rsidRDefault="002014CA" w:rsidP="00E10347">
      <w:pPr>
        <w:pStyle w:val="NormalWeb"/>
        <w:shd w:val="clear" w:color="auto" w:fill="FFFFFF"/>
        <w:spacing w:before="0" w:beforeAutospacing="0" w:after="0" w:afterAutospacing="0"/>
        <w:ind w:firstLine="709"/>
        <w:jc w:val="both"/>
        <w:rPr>
          <w:rStyle w:val="Textoennegrita"/>
          <w:rFonts w:ascii="Palatino Linotype" w:hAnsi="Palatino Linotype"/>
          <w:b w:val="0"/>
          <w:sz w:val="21"/>
          <w:szCs w:val="21"/>
        </w:rPr>
      </w:pPr>
      <w:r w:rsidRPr="008A02E9">
        <w:rPr>
          <w:rStyle w:val="Textoennegrita"/>
          <w:rFonts w:ascii="Palatino Linotype" w:hAnsi="Palatino Linotype"/>
          <w:b w:val="0"/>
          <w:sz w:val="21"/>
          <w:szCs w:val="21"/>
        </w:rPr>
        <w:t>Sería igualmente necesario volver a preguntarles el porqué,</w:t>
      </w:r>
      <w:r w:rsidRPr="008A02E9">
        <w:rPr>
          <w:rFonts w:ascii="Palatino Linotype" w:hAnsi="Palatino Linotype"/>
          <w:b/>
          <w:sz w:val="21"/>
          <w:szCs w:val="21"/>
        </w:rPr>
        <w:t xml:space="preserve"> </w:t>
      </w:r>
      <w:r w:rsidRPr="008A02E9">
        <w:rPr>
          <w:rFonts w:ascii="Palatino Linotype" w:hAnsi="Palatino Linotype"/>
          <w:sz w:val="21"/>
          <w:szCs w:val="21"/>
        </w:rPr>
        <w:t>quién o quiénes, y porqué motivos en su</w:t>
      </w:r>
      <w:r w:rsidRPr="008A02E9">
        <w:rPr>
          <w:rFonts w:ascii="Palatino Linotype" w:hAnsi="Palatino Linotype"/>
          <w:b/>
          <w:sz w:val="21"/>
          <w:szCs w:val="21"/>
        </w:rPr>
        <w:t xml:space="preserve"> </w:t>
      </w:r>
      <w:r w:rsidRPr="008A02E9">
        <w:rPr>
          <w:rStyle w:val="Textoennegrita"/>
          <w:rFonts w:ascii="Palatino Linotype" w:hAnsi="Palatino Linotype"/>
          <w:b w:val="0"/>
          <w:sz w:val="21"/>
          <w:szCs w:val="21"/>
        </w:rPr>
        <w:t>en su definición se excluye a todos los demás sistemas procesales a encontrar algún tipo de supletoriedad en ese ordenamiento.</w:t>
      </w:r>
    </w:p>
    <w:p w:rsidR="002014CA" w:rsidRPr="008A02E9"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8A02E9">
        <w:rPr>
          <w:rStyle w:val="Textoennegrita"/>
          <w:rFonts w:ascii="Palatino Linotype" w:hAnsi="Palatino Linotype"/>
          <w:b w:val="0"/>
          <w:sz w:val="21"/>
          <w:szCs w:val="21"/>
        </w:rPr>
        <w:t xml:space="preserve">Lo más complejo, e incomprensible, como antes fue la renuncia al carácter de </w:t>
      </w:r>
      <w:r w:rsidRPr="008A02E9">
        <w:rPr>
          <w:rStyle w:val="Textoennegrita"/>
          <w:rFonts w:ascii="Palatino Linotype" w:hAnsi="Palatino Linotype"/>
          <w:b w:val="0"/>
          <w:i/>
          <w:sz w:val="21"/>
          <w:szCs w:val="21"/>
        </w:rPr>
        <w:t xml:space="preserve">lex generalis </w:t>
      </w:r>
      <w:r w:rsidRPr="008A02E9">
        <w:rPr>
          <w:rStyle w:val="Textoennegrita"/>
          <w:rFonts w:ascii="Palatino Linotype" w:hAnsi="Palatino Linotype"/>
          <w:b w:val="0"/>
          <w:sz w:val="21"/>
          <w:szCs w:val="21"/>
        </w:rPr>
        <w:t xml:space="preserve">obliga a preguntarle  a los mismos legisladores, y a quienes contribuyeron en el proceso legislativo </w:t>
      </w:r>
      <w:r w:rsidRPr="008A02E9">
        <w:rPr>
          <w:rFonts w:ascii="Palatino Linotype" w:hAnsi="Palatino Linotype"/>
          <w:sz w:val="21"/>
          <w:szCs w:val="21"/>
        </w:rPr>
        <w:t xml:space="preserve">el porqué se condujo hacia la exclusión de los sistemas de contencioso administrativos y civiles de hacienda, laborales  y agrarios.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Sin la menor duda la explicación posible, cuando estos hechos ocurren  (sumados a muchos otros) puede identificarse con un cambio de ideología.  Porque el Código, para sus impulsores, no debe ser general sino otra normativa especial.  </w:t>
      </w:r>
    </w:p>
    <w:p w:rsidR="002014CA" w:rsidRPr="00E10347" w:rsidRDefault="002014CA" w:rsidP="00E10347">
      <w:pPr>
        <w:ind w:firstLine="709"/>
        <w:jc w:val="both"/>
        <w:rPr>
          <w:rFonts w:ascii="Palatino Linotype" w:hAnsi="Palatino Linotype" w:cs="Times New Roman"/>
          <w:sz w:val="21"/>
          <w:szCs w:val="21"/>
          <w:lang w:val="es-MX"/>
        </w:rPr>
      </w:pPr>
      <w:r w:rsidRPr="00E10347">
        <w:rPr>
          <w:rFonts w:ascii="Palatino Linotype" w:hAnsi="Palatino Linotype" w:cs="Times New Roman"/>
          <w:sz w:val="21"/>
          <w:szCs w:val="21"/>
        </w:rPr>
        <w:t xml:space="preserve">Prueba de ello lo constituye la solución dada para el mismo Código al concebir la </w:t>
      </w:r>
      <w:r w:rsidRPr="008A02E9">
        <w:rPr>
          <w:rFonts w:ascii="Palatino Linotype" w:hAnsi="Palatino Linotype" w:cs="Times New Roman"/>
          <w:sz w:val="21"/>
          <w:szCs w:val="21"/>
        </w:rPr>
        <w:t>integración</w:t>
      </w:r>
      <w:r w:rsidRPr="00E10347">
        <w:rPr>
          <w:rFonts w:ascii="Palatino Linotype" w:hAnsi="Palatino Linotype" w:cs="Times New Roman"/>
          <w:sz w:val="21"/>
          <w:szCs w:val="21"/>
        </w:rPr>
        <w:t xml:space="preserve"> como forma de resolver los vacíos de sus normas procesales.  En primer lugar para resolverlo se ha de recurrir a la analogía, o al sentido contrario, y si ello no se pudiere "</w:t>
      </w:r>
      <w:r w:rsidRPr="00E10347">
        <w:rPr>
          <w:rFonts w:ascii="Palatino Linotype" w:hAnsi="Palatino Linotype" w:cs="Times New Roman"/>
          <w:sz w:val="21"/>
          <w:szCs w:val="21"/>
          <w:lang w:val="es-MX"/>
        </w:rPr>
        <w:t>se acudirá a los principios constitucionales, a los principios generales del derecho procesal". En segundo lugar si  media omisión, oscuridad o contradicción la integración tomará en cuenta el entero sistema donde la norma funciona, sin perjuicio de recurrir a los criterios del vacío legal.</w:t>
      </w:r>
    </w:p>
    <w:p w:rsidR="002014CA" w:rsidRPr="00E10347" w:rsidRDefault="002014CA" w:rsidP="008A02E9">
      <w:pPr>
        <w:ind w:left="851" w:right="851"/>
        <w:jc w:val="both"/>
        <w:rPr>
          <w:rFonts w:ascii="Palatino Linotype" w:hAnsi="Palatino Linotype" w:cs="Times New Roman"/>
          <w:b/>
          <w:sz w:val="21"/>
          <w:szCs w:val="21"/>
          <w:lang w:val="es-MX"/>
        </w:rPr>
      </w:pPr>
      <w:r w:rsidRPr="00E10347">
        <w:rPr>
          <w:rFonts w:ascii="Palatino Linotype" w:hAnsi="Palatino Linotype" w:cs="Times New Roman"/>
          <w:b/>
          <w:sz w:val="21"/>
          <w:szCs w:val="21"/>
          <w:lang w:val="es-MX"/>
        </w:rPr>
        <w:t xml:space="preserve">"5.4 </w:t>
      </w:r>
      <w:r w:rsidRPr="00E10347">
        <w:rPr>
          <w:rFonts w:ascii="Palatino Linotype" w:hAnsi="Palatino Linotype" w:cs="Times New Roman"/>
          <w:b/>
          <w:sz w:val="21"/>
          <w:szCs w:val="21"/>
          <w:lang w:val="es-MX"/>
        </w:rPr>
        <w:tab/>
        <w:t xml:space="preserve">Integración. Ante un vacío de norma procesal las existentes se integrarán por analogía o en sentido contrario.  Si no se pudieran integrar las normas procesales en esta forma se acudirá a los principios constitucionales, a los principios generales del derecho procesal. </w:t>
      </w:r>
    </w:p>
    <w:p w:rsidR="002014CA" w:rsidRPr="00E10347" w:rsidRDefault="002014CA" w:rsidP="008A02E9">
      <w:pPr>
        <w:ind w:left="851" w:right="851" w:firstLine="709"/>
        <w:jc w:val="both"/>
        <w:rPr>
          <w:rFonts w:ascii="Palatino Linotype" w:hAnsi="Palatino Linotype" w:cs="Times New Roman"/>
          <w:b/>
          <w:sz w:val="21"/>
          <w:szCs w:val="21"/>
          <w:lang w:val="es-MX"/>
        </w:rPr>
      </w:pPr>
      <w:r w:rsidRPr="00E10347">
        <w:rPr>
          <w:rFonts w:ascii="Palatino Linotype" w:hAnsi="Palatino Linotype" w:cs="Times New Roman"/>
          <w:b/>
          <w:sz w:val="21"/>
          <w:szCs w:val="21"/>
          <w:lang w:val="es-MX"/>
        </w:rPr>
        <w:t>En caso de omisión, oscuridad o contradicción, la integración tomará en cuenta el entero sistema donde la norma funciona, sin perjuicio de recurrir a los criterios establecidos para el vacío legal".</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eastAsiaTheme="minorHAnsi" w:hAnsi="Palatino Linotype"/>
          <w:sz w:val="21"/>
          <w:szCs w:val="21"/>
          <w:lang w:val="es-MX" w:eastAsia="en-US"/>
        </w:rPr>
      </w:pPr>
      <w:r w:rsidRPr="00E10347">
        <w:rPr>
          <w:rFonts w:ascii="Palatino Linotype" w:eastAsiaTheme="minorHAnsi" w:hAnsi="Palatino Linotype"/>
          <w:sz w:val="21"/>
          <w:szCs w:val="21"/>
          <w:lang w:val="es-MX" w:eastAsia="en-US"/>
        </w:rPr>
        <w:t xml:space="preserve">Esta norma corresponde exactamente al Artículo 5.4 del Código Procesal General.  Pero su aplicabilidad tiene doble carácter si se trata de una normativa </w:t>
      </w:r>
      <w:r w:rsidRPr="00E10347">
        <w:rPr>
          <w:rFonts w:ascii="Palatino Linotype" w:eastAsiaTheme="minorHAnsi" w:hAnsi="Palatino Linotype"/>
          <w:sz w:val="21"/>
          <w:szCs w:val="21"/>
          <w:lang w:val="es-MX" w:eastAsia="en-US"/>
        </w:rPr>
        <w:lastRenderedPageBreak/>
        <w:t xml:space="preserve">general para todas las disciplinas procesales, y otro solo para un proceso limitado a lo civil y comercial.  Porque en el cuerpo procesal originario, si se concibió como </w:t>
      </w:r>
      <w:r w:rsidRPr="00E10347">
        <w:rPr>
          <w:rFonts w:ascii="Palatino Linotype" w:eastAsiaTheme="minorHAnsi" w:hAnsi="Palatino Linotype"/>
          <w:b/>
          <w:i/>
          <w:sz w:val="21"/>
          <w:szCs w:val="21"/>
          <w:lang w:val="es-MX" w:eastAsia="en-US"/>
        </w:rPr>
        <w:t>lex generalis</w:t>
      </w:r>
      <w:r w:rsidRPr="00E10347">
        <w:rPr>
          <w:rFonts w:ascii="Palatino Linotype" w:eastAsiaTheme="minorHAnsi" w:hAnsi="Palatino Linotype"/>
          <w:sz w:val="21"/>
          <w:szCs w:val="21"/>
          <w:lang w:val="es-MX" w:eastAsia="en-US"/>
        </w:rPr>
        <w:t xml:space="preserve"> y abierta para servir a todas las especialidades procesales.  En el engendro procesal civil no existe esa apertura.</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Tan especial, y no general, como sería la diferencia de ideología entre lo estrictamente privado, del civil y comercial, incongruente e incompatible con disciplinas como la agraria y laboral porque en estas debe tomarse en consideración fenómenos distintos a los de la igualdad absoluta de las partes, es decir un tratamiento en principio también de Derecho privado con el recurso a algunos principios de su normativa sustantiva y luego procesal como la </w:t>
      </w:r>
      <w:r w:rsidRPr="00E10347">
        <w:rPr>
          <w:rFonts w:ascii="Palatino Linotype" w:hAnsi="Palatino Linotype"/>
          <w:b/>
          <w:i/>
          <w:sz w:val="21"/>
          <w:szCs w:val="21"/>
        </w:rPr>
        <w:t>publicización</w:t>
      </w:r>
      <w:r w:rsidRPr="00E10347">
        <w:rPr>
          <w:rFonts w:ascii="Palatino Linotype" w:hAnsi="Palatino Linotype"/>
          <w:sz w:val="21"/>
          <w:szCs w:val="21"/>
        </w:rPr>
        <w:t xml:space="preserve"> o </w:t>
      </w:r>
      <w:r w:rsidRPr="00E10347">
        <w:rPr>
          <w:rFonts w:ascii="Palatino Linotype" w:hAnsi="Palatino Linotype"/>
          <w:b/>
          <w:i/>
          <w:sz w:val="21"/>
          <w:szCs w:val="21"/>
        </w:rPr>
        <w:t>socialización</w:t>
      </w:r>
      <w:r w:rsidRPr="00E10347">
        <w:rPr>
          <w:rFonts w:ascii="Palatino Linotype" w:hAnsi="Palatino Linotype"/>
          <w:sz w:val="21"/>
          <w:szCs w:val="21"/>
        </w:rPr>
        <w:t xml:space="preserve"> de ellas.</w:t>
      </w:r>
    </w:p>
    <w:p w:rsidR="002014CA" w:rsidRPr="00E10347" w:rsidRDefault="002014CA" w:rsidP="00E10347">
      <w:pPr>
        <w:pStyle w:val="NormalWeb"/>
        <w:shd w:val="clear" w:color="auto" w:fill="FFFFFF"/>
        <w:spacing w:before="0" w:beforeAutospacing="0" w:after="0" w:afterAutospacing="0"/>
        <w:ind w:firstLine="709"/>
        <w:jc w:val="both"/>
        <w:rPr>
          <w:rStyle w:val="Textoennegrita"/>
          <w:rFonts w:ascii="Palatino Linotype" w:hAnsi="Palatino Linotype"/>
          <w:b w:val="0"/>
          <w:sz w:val="21"/>
          <w:szCs w:val="21"/>
        </w:rPr>
      </w:pPr>
      <w:r w:rsidRPr="00E10347">
        <w:rPr>
          <w:rFonts w:ascii="Palatino Linotype" w:hAnsi="Palatino Linotype"/>
          <w:sz w:val="21"/>
          <w:szCs w:val="21"/>
        </w:rPr>
        <w:t>Y en cuanto al contencioso administrativo pudieron pensar en una cierta autonomía de una disciplina de Derecho Público, con principios totalmente diferentes a los del Derecho Privado.  Pero ello no es cierto. En la práctica al resolver cualquier asunto,, sea por medio de las resoluciones escritas, pero principalmente por medio de las orales en el contradictorio, los Jueces Tramitadores en la audiencia preliminar, como los Jueces de Juicio en la audiencia de pruebas y sentencia, siempre se resuelve concita de normas del Código Procesal Contencioso y el Código Procesal civil.</w:t>
      </w:r>
    </w:p>
    <w:p w:rsidR="002014CA" w:rsidRPr="008A02E9" w:rsidRDefault="002014CA" w:rsidP="00E10347">
      <w:pPr>
        <w:pStyle w:val="NormalWeb"/>
        <w:shd w:val="clear" w:color="auto" w:fill="FFFFFF"/>
        <w:spacing w:before="0" w:beforeAutospacing="0" w:after="0" w:afterAutospacing="0"/>
        <w:ind w:firstLine="709"/>
        <w:jc w:val="both"/>
        <w:rPr>
          <w:rStyle w:val="Textoennegrita"/>
          <w:rFonts w:ascii="Palatino Linotype" w:hAnsi="Palatino Linotype"/>
          <w:b w:val="0"/>
          <w:sz w:val="21"/>
          <w:szCs w:val="21"/>
        </w:rPr>
      </w:pPr>
      <w:r w:rsidRPr="008A02E9">
        <w:rPr>
          <w:rStyle w:val="Textoennegrita"/>
          <w:rFonts w:ascii="Palatino Linotype" w:hAnsi="Palatino Linotype"/>
          <w:b w:val="0"/>
          <w:sz w:val="21"/>
          <w:szCs w:val="21"/>
        </w:rPr>
        <w:t xml:space="preserve">Volviendo a los interrogantes, nadie, con el mínimo conocimiento de Derecho Procesal, pudiere argumentar la falta de asumir la supletoriedad del Código Procesal Civil sobre toda la normativa procesal del ordenamiento jurídico nacional.  </w:t>
      </w:r>
    </w:p>
    <w:p w:rsidR="002014CA" w:rsidRPr="008A02E9" w:rsidRDefault="002014CA" w:rsidP="00E10347">
      <w:pPr>
        <w:pStyle w:val="NormalWeb"/>
        <w:shd w:val="clear" w:color="auto" w:fill="FFFFFF"/>
        <w:spacing w:before="0" w:beforeAutospacing="0" w:after="0" w:afterAutospacing="0"/>
        <w:ind w:firstLine="709"/>
        <w:jc w:val="both"/>
        <w:rPr>
          <w:rFonts w:ascii="Palatino Linotype" w:hAnsi="Palatino Linotype"/>
          <w:b/>
          <w:bCs/>
          <w:sz w:val="21"/>
          <w:szCs w:val="21"/>
        </w:rPr>
      </w:pPr>
      <w:r w:rsidRPr="008A02E9">
        <w:rPr>
          <w:rStyle w:val="Textoennegrita"/>
          <w:rFonts w:ascii="Palatino Linotype" w:hAnsi="Palatino Linotype"/>
          <w:b w:val="0"/>
          <w:sz w:val="21"/>
          <w:szCs w:val="21"/>
        </w:rPr>
        <w:t>Esa respuesta sería inaceptable porque en cualquier caso, aunque todas las disciplinas tuvieren su propio Código, el Procesal Civil debió concebirse con normas generales para ubicarse sobre los demás en cuanto a la ausencia de ellos de normas, así como de aplicar las del nuevo Código en cuanto fuere compatible.</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Como corolario de ambos hitos el nuevo código muestra toda su vejez y anacronismo, con el tratamiento elemental de comprender su misión en tanto </w:t>
      </w:r>
      <w:r w:rsidRPr="00E10347">
        <w:rPr>
          <w:rFonts w:ascii="Palatino Linotype" w:hAnsi="Palatino Linotype"/>
          <w:b/>
          <w:i/>
          <w:sz w:val="21"/>
          <w:szCs w:val="21"/>
        </w:rPr>
        <w:t>lex generalis</w:t>
      </w:r>
      <w:r w:rsidRPr="00E10347">
        <w:rPr>
          <w:rFonts w:ascii="Palatino Linotype" w:hAnsi="Palatino Linotype"/>
          <w:sz w:val="21"/>
          <w:szCs w:val="21"/>
        </w:rPr>
        <w:t xml:space="preserve"> e incapaz para cumplir con la supletoriedad para las ramas donde siempre se ha empeñado en dedicar una norma respetable consistente en autorizar el uso de la normativa general del Código Procesal civil en caso de ausencia de norma específica de la disciplina que se trate, en cuanto sea compatible.</w:t>
      </w:r>
    </w:p>
    <w:p w:rsidR="008A02E9" w:rsidRDefault="008A02E9" w:rsidP="00E10347">
      <w:pPr>
        <w:shd w:val="clear" w:color="auto" w:fill="FFFFFF"/>
        <w:jc w:val="both"/>
        <w:rPr>
          <w:rFonts w:ascii="Palatino Linotype" w:hAnsi="Palatino Linotype" w:cs="Times New Roman"/>
          <w:b/>
          <w:sz w:val="21"/>
          <w:szCs w:val="21"/>
        </w:rPr>
      </w:pPr>
    </w:p>
    <w:p w:rsidR="002014CA" w:rsidRPr="00E10347" w:rsidRDefault="002014CA" w:rsidP="00E10347">
      <w:pPr>
        <w:shd w:val="clear" w:color="auto" w:fill="FFFFFF"/>
        <w:jc w:val="both"/>
        <w:rPr>
          <w:rFonts w:ascii="Palatino Linotype" w:hAnsi="Palatino Linotype" w:cs="Times New Roman"/>
          <w:b/>
          <w:sz w:val="21"/>
          <w:szCs w:val="21"/>
        </w:rPr>
      </w:pPr>
      <w:r w:rsidRPr="00E10347">
        <w:rPr>
          <w:rFonts w:ascii="Palatino Linotype" w:hAnsi="Palatino Linotype" w:cs="Times New Roman"/>
          <w:b/>
          <w:sz w:val="21"/>
          <w:szCs w:val="21"/>
        </w:rPr>
        <w:t xml:space="preserve">C)  La infructuosa labor del Código consistente en NO poder eliminar su carácter </w:t>
      </w:r>
      <w:r w:rsidRPr="00E10347">
        <w:rPr>
          <w:rFonts w:ascii="Palatino Linotype" w:hAnsi="Palatino Linotype" w:cs="Times New Roman"/>
          <w:b/>
          <w:sz w:val="21"/>
          <w:szCs w:val="21"/>
        </w:rPr>
        <w:lastRenderedPageBreak/>
        <w:t>de normativa supletoria porque no derogó todas las normas de otros cuerpos normativos donde se declara tal principio.</w:t>
      </w:r>
    </w:p>
    <w:p w:rsidR="002014CA" w:rsidRPr="00E10347" w:rsidRDefault="002014CA" w:rsidP="00E10347">
      <w:pPr>
        <w:shd w:val="clear" w:color="auto" w:fill="FFFFFF"/>
        <w:ind w:firstLine="709"/>
        <w:jc w:val="both"/>
        <w:rPr>
          <w:rFonts w:ascii="Palatino Linotype" w:eastAsia="Times New Roman" w:hAnsi="Palatino Linotype" w:cs="Times New Roman"/>
          <w:sz w:val="21"/>
          <w:szCs w:val="21"/>
          <w:lang w:eastAsia="es-CR"/>
        </w:rPr>
      </w:pPr>
      <w:r w:rsidRPr="00E10347">
        <w:rPr>
          <w:rFonts w:ascii="Palatino Linotype" w:hAnsi="Palatino Linotype" w:cs="Times New Roman"/>
          <w:sz w:val="21"/>
          <w:szCs w:val="21"/>
        </w:rPr>
        <w:t>En efecto l</w:t>
      </w:r>
      <w:r w:rsidRPr="00E10347">
        <w:rPr>
          <w:rFonts w:ascii="Palatino Linotype" w:eastAsia="Times New Roman" w:hAnsi="Palatino Linotype" w:cs="Times New Roman"/>
          <w:sz w:val="21"/>
          <w:szCs w:val="21"/>
          <w:lang w:eastAsia="es-CR"/>
        </w:rPr>
        <w:t xml:space="preserve">a </w:t>
      </w:r>
      <w:r w:rsidRPr="00E10347">
        <w:rPr>
          <w:rFonts w:ascii="Palatino Linotype" w:eastAsia="Times New Roman" w:hAnsi="Palatino Linotype" w:cs="Times New Roman"/>
          <w:b/>
          <w:bCs/>
          <w:sz w:val="21"/>
          <w:szCs w:val="21"/>
          <w:lang w:eastAsia="es-CR"/>
        </w:rPr>
        <w:t>soberbia</w:t>
      </w:r>
      <w:r w:rsidRPr="00E10347">
        <w:rPr>
          <w:rFonts w:ascii="Palatino Linotype" w:eastAsia="Times New Roman" w:hAnsi="Palatino Linotype" w:cs="Times New Roman"/>
          <w:sz w:val="21"/>
          <w:szCs w:val="21"/>
          <w:lang w:eastAsia="es-CR"/>
        </w:rPr>
        <w:t xml:space="preserve"> del recién publicado Código, en </w:t>
      </w:r>
      <w:r w:rsidRPr="00E10347">
        <w:rPr>
          <w:rFonts w:ascii="Palatino Linotype" w:eastAsia="Times New Roman" w:hAnsi="Palatino Linotype" w:cs="Times New Roman"/>
          <w:b/>
          <w:bCs/>
          <w:i/>
          <w:iCs/>
          <w:sz w:val="21"/>
          <w:szCs w:val="21"/>
          <w:lang w:eastAsia="es-CR"/>
        </w:rPr>
        <w:t>vacatio legis</w:t>
      </w:r>
      <w:r w:rsidRPr="00E10347">
        <w:rPr>
          <w:rFonts w:ascii="Palatino Linotype" w:eastAsia="Times New Roman" w:hAnsi="Palatino Linotype" w:cs="Times New Roman"/>
          <w:sz w:val="21"/>
          <w:szCs w:val="21"/>
          <w:lang w:eastAsia="es-CR"/>
        </w:rPr>
        <w:t xml:space="preserve">, de negarse a ser la cúspide del sistema procesal del Derecho Privado, Derecho Público e incluso del Derecho Penal en tanto </w:t>
      </w:r>
      <w:r w:rsidRPr="00E10347">
        <w:rPr>
          <w:rFonts w:ascii="Palatino Linotype" w:eastAsia="Times New Roman" w:hAnsi="Palatino Linotype" w:cs="Times New Roman"/>
          <w:b/>
          <w:bCs/>
          <w:i/>
          <w:iCs/>
          <w:sz w:val="21"/>
          <w:szCs w:val="21"/>
          <w:lang w:eastAsia="es-CR"/>
        </w:rPr>
        <w:t>lex generalis</w:t>
      </w:r>
      <w:r w:rsidRPr="00E10347">
        <w:rPr>
          <w:rFonts w:ascii="Palatino Linotype" w:eastAsia="Times New Roman" w:hAnsi="Palatino Linotype" w:cs="Times New Roman"/>
          <w:sz w:val="21"/>
          <w:szCs w:val="21"/>
          <w:lang w:eastAsia="es-CR"/>
        </w:rPr>
        <w:t xml:space="preserve">, para concebirse únicamente como </w:t>
      </w:r>
      <w:r w:rsidRPr="00E10347">
        <w:rPr>
          <w:rFonts w:ascii="Palatino Linotype" w:eastAsia="Times New Roman" w:hAnsi="Palatino Linotype" w:cs="Times New Roman"/>
          <w:b/>
          <w:bCs/>
          <w:i/>
          <w:iCs/>
          <w:sz w:val="21"/>
          <w:szCs w:val="21"/>
          <w:lang w:eastAsia="es-CR"/>
        </w:rPr>
        <w:t>Codex</w:t>
      </w:r>
      <w:r w:rsidRPr="00E10347">
        <w:rPr>
          <w:rFonts w:ascii="Palatino Linotype" w:eastAsia="Times New Roman" w:hAnsi="Palatino Linotype" w:cs="Times New Roman"/>
          <w:sz w:val="21"/>
          <w:szCs w:val="21"/>
          <w:lang w:eastAsia="es-CR"/>
        </w:rPr>
        <w:t xml:space="preserve"> del proceso civil y comercial (más familia por carecer de normas adjetivas, y seguir aún encarcelado en el procesal civil), quedó exclusivamente en su texto. </w:t>
      </w:r>
    </w:p>
    <w:p w:rsidR="002014CA" w:rsidRPr="00E10347" w:rsidRDefault="002014CA" w:rsidP="00E10347">
      <w:pPr>
        <w:shd w:val="clear" w:color="auto" w:fill="FFFFFF"/>
        <w:ind w:firstLine="709"/>
        <w:jc w:val="both"/>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 xml:space="preserve">Porque sus impulsores no tuvieron la </w:t>
      </w:r>
      <w:r w:rsidRPr="00E10347">
        <w:rPr>
          <w:rFonts w:ascii="Palatino Linotype" w:eastAsia="Times New Roman" w:hAnsi="Palatino Linotype" w:cs="Times New Roman"/>
          <w:b/>
          <w:bCs/>
          <w:sz w:val="21"/>
          <w:szCs w:val="21"/>
          <w:lang w:eastAsia="es-CR"/>
        </w:rPr>
        <w:t xml:space="preserve">coherencia </w:t>
      </w:r>
      <w:r w:rsidRPr="00E10347">
        <w:rPr>
          <w:rFonts w:ascii="Palatino Linotype" w:eastAsia="Times New Roman" w:hAnsi="Palatino Linotype" w:cs="Times New Roman"/>
          <w:sz w:val="21"/>
          <w:szCs w:val="21"/>
          <w:lang w:eastAsia="es-CR"/>
        </w:rPr>
        <w:t xml:space="preserve">ni la </w:t>
      </w:r>
      <w:r w:rsidRPr="00E10347">
        <w:rPr>
          <w:rFonts w:ascii="Palatino Linotype" w:eastAsia="Times New Roman" w:hAnsi="Palatino Linotype" w:cs="Times New Roman"/>
          <w:b/>
          <w:bCs/>
          <w:sz w:val="21"/>
          <w:szCs w:val="21"/>
          <w:lang w:eastAsia="es-CR"/>
        </w:rPr>
        <w:t xml:space="preserve">valentía </w:t>
      </w:r>
      <w:r w:rsidRPr="00E10347">
        <w:rPr>
          <w:rFonts w:ascii="Palatino Linotype" w:eastAsia="Times New Roman" w:hAnsi="Palatino Linotype" w:cs="Times New Roman"/>
          <w:sz w:val="21"/>
          <w:szCs w:val="21"/>
          <w:lang w:eastAsia="es-CR"/>
        </w:rPr>
        <w:t xml:space="preserve">para derogar expresamente las normas de supletoriedad de otros Códigos y leyes procesales, para recurrir al Código Procesal Civil en ausencia de norma procesal específica para aplicarlas con las normas requirentes, en cuanto le fueren aplicables textualmente o en concordancia con su espíritu. </w:t>
      </w:r>
    </w:p>
    <w:p w:rsidR="002014CA" w:rsidRPr="00E10347" w:rsidRDefault="002014CA" w:rsidP="00E10347">
      <w:pPr>
        <w:shd w:val="clear" w:color="auto" w:fill="FFFFFF"/>
        <w:ind w:firstLine="709"/>
        <w:jc w:val="both"/>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 xml:space="preserve">Y tampoco pueden considerarse derogadas tácitamente las más antiguas, antecedentes y contrarias a la ideología del Código, aún cuando las del novo Código sean posteriores a la de la normativa construida sobre criterios de unidad del ordenamiento procesal nacional. </w:t>
      </w:r>
    </w:p>
    <w:p w:rsidR="002014CA" w:rsidRPr="00E10347" w:rsidRDefault="002014CA" w:rsidP="00E10347">
      <w:pPr>
        <w:shd w:val="clear" w:color="auto" w:fill="FFFFFF"/>
        <w:ind w:firstLine="709"/>
        <w:jc w:val="both"/>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 xml:space="preserve">La filosofía de la fragmentación procesal, de tantos procesos como disciplinas procesales autónomas, y no de un único Derecho Procesal científico, sucumben por su carácter arcaico y atrasado, aún cuando renieguen de ser </w:t>
      </w:r>
      <w:r w:rsidRPr="00E10347">
        <w:rPr>
          <w:rFonts w:ascii="Palatino Linotype" w:eastAsia="Times New Roman" w:hAnsi="Palatino Linotype" w:cs="Times New Roman"/>
          <w:b/>
          <w:bCs/>
          <w:i/>
          <w:iCs/>
          <w:sz w:val="21"/>
          <w:szCs w:val="21"/>
          <w:lang w:eastAsia="es-CR"/>
        </w:rPr>
        <w:t>lex generalis</w:t>
      </w:r>
      <w:r w:rsidRPr="00E10347">
        <w:rPr>
          <w:rFonts w:ascii="Palatino Linotype" w:eastAsia="Times New Roman" w:hAnsi="Palatino Linotype" w:cs="Times New Roman"/>
          <w:sz w:val="21"/>
          <w:szCs w:val="21"/>
          <w:lang w:eastAsia="es-CR"/>
        </w:rPr>
        <w:t xml:space="preserve"> y poder servir, como colaboración procesal, a otros sistemas individuales todos unidos por la organicidad y la completes de un único sistema con las particularidades propias para los sistemas normativos procesales aprobados. </w:t>
      </w:r>
    </w:p>
    <w:p w:rsidR="002014CA" w:rsidRPr="00E10347" w:rsidRDefault="002014CA" w:rsidP="00E10347">
      <w:pPr>
        <w:shd w:val="clear" w:color="auto" w:fill="FFFFFF"/>
        <w:ind w:firstLine="709"/>
        <w:jc w:val="both"/>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 xml:space="preserve">Se constata así, como sobrevive la unidad del sistema procesal, dentro de un determinado ordenamiento jurídico, muy a pesar de la promulgación de un Código menos general propulsor de las fragmentaciones. </w:t>
      </w:r>
    </w:p>
    <w:p w:rsidR="002014CA" w:rsidRPr="00E10347" w:rsidRDefault="002014CA" w:rsidP="00E10347">
      <w:pPr>
        <w:shd w:val="clear" w:color="auto" w:fill="FFFFFF"/>
        <w:ind w:firstLine="709"/>
        <w:jc w:val="both"/>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 xml:space="preserve">Este fenómeno se conoce indistintamente bajo varias nomenclaturas, una de ellas es la sobrevivencia del Derecho derogado. Porque la ideología del sistema tiene una raigambre cultural e histórica tan profunda, en el corazón del sistema, imposible de ser cambiado con otro fenómeno posterior, progresista o retrógrados, que quieran romper los muros levantados desde siglos atrás, aunque las bases se quieran socavar con fenómenos pretendidamente más sólidos a las normas conformadoras de las rocas de los cimientos. </w:t>
      </w:r>
    </w:p>
    <w:p w:rsidR="002014CA" w:rsidRPr="00E10347" w:rsidRDefault="002014CA" w:rsidP="00E10347">
      <w:pPr>
        <w:shd w:val="clear" w:color="auto" w:fill="FFFFFF"/>
        <w:ind w:firstLine="709"/>
        <w:jc w:val="both"/>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 xml:space="preserve">Cuando el fenómeno revolucionario o retrógrado impacta el sistema. Tal sería el golpe brusco contra sus estructuras jurídicas completas. Como la supresión de un sistema constitucional por un cambio de régimen, como fue la supresión de </w:t>
      </w:r>
      <w:r w:rsidRPr="00E10347">
        <w:rPr>
          <w:rFonts w:ascii="Palatino Linotype" w:eastAsia="Times New Roman" w:hAnsi="Palatino Linotype" w:cs="Times New Roman"/>
          <w:sz w:val="21"/>
          <w:szCs w:val="21"/>
          <w:lang w:eastAsia="es-CR"/>
        </w:rPr>
        <w:lastRenderedPageBreak/>
        <w:t xml:space="preserve">la monarquía por la revolución francesa, por más radical y profunda como se haya presentado también surge el fenómeno de la restauración: el regreso del péndulo al anterior con la caída del insurgente. </w:t>
      </w:r>
    </w:p>
    <w:p w:rsidR="002014CA" w:rsidRPr="00E10347" w:rsidRDefault="002014CA" w:rsidP="00E10347">
      <w:pPr>
        <w:shd w:val="clear" w:color="auto" w:fill="FFFFFF"/>
        <w:ind w:firstLine="709"/>
        <w:jc w:val="both"/>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 xml:space="preserve">Si ello ocurre a tan altas dimensiones resulta explicable cuando se trata de fenómenos como el de comentario, con una profundidad intanbible. Referido a la ruptura de la unidad del sistema procesal para ser sustituido por un sistema fragmentario. </w:t>
      </w:r>
    </w:p>
    <w:p w:rsidR="002014CA" w:rsidRPr="00E10347" w:rsidRDefault="002014CA" w:rsidP="00E10347">
      <w:pPr>
        <w:shd w:val="clear" w:color="auto" w:fill="FFFFFF"/>
        <w:ind w:firstLine="709"/>
        <w:jc w:val="both"/>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 xml:space="preserve">Porque la unidad del sistema no puede asesinarse con tanta facilidad, el cuerpo puede mantenerse groseramente golpeado, incluso en estado de profunda gravedad o hasta en paso de muerte, y, sin embargo puede surgir de las llamas como el </w:t>
      </w:r>
      <w:r w:rsidRPr="00E10347">
        <w:rPr>
          <w:rFonts w:ascii="Palatino Linotype" w:eastAsia="Times New Roman" w:hAnsi="Palatino Linotype" w:cs="Times New Roman"/>
          <w:b/>
          <w:sz w:val="21"/>
          <w:szCs w:val="21"/>
          <w:lang w:eastAsia="es-CR"/>
        </w:rPr>
        <w:t>Ave Fénix</w:t>
      </w:r>
      <w:r w:rsidRPr="00E10347">
        <w:rPr>
          <w:rFonts w:ascii="Palatino Linotype" w:eastAsia="Times New Roman" w:hAnsi="Palatino Linotype" w:cs="Times New Roman"/>
          <w:sz w:val="21"/>
          <w:szCs w:val="21"/>
          <w:lang w:eastAsia="es-CR"/>
        </w:rPr>
        <w:t xml:space="preserve"> para remontar el vuelo en la infinidad de la altura del Cielo. </w:t>
      </w:r>
    </w:p>
    <w:p w:rsidR="008A02E9" w:rsidRDefault="008A02E9" w:rsidP="00E10347">
      <w:pPr>
        <w:pStyle w:val="NormalWeb"/>
        <w:shd w:val="clear" w:color="auto" w:fill="FFFFFF"/>
        <w:spacing w:before="0" w:beforeAutospacing="0" w:after="0" w:afterAutospacing="0"/>
        <w:jc w:val="both"/>
        <w:rPr>
          <w:rFonts w:ascii="Palatino Linotype" w:hAnsi="Palatino Linotype"/>
          <w:b/>
          <w:sz w:val="21"/>
          <w:szCs w:val="21"/>
        </w:rPr>
      </w:pPr>
    </w:p>
    <w:p w:rsidR="002014CA" w:rsidRPr="00E10347" w:rsidRDefault="002014CA" w:rsidP="00E10347">
      <w:pPr>
        <w:pStyle w:val="NormalWeb"/>
        <w:shd w:val="clear" w:color="auto" w:fill="FFFFFF"/>
        <w:spacing w:before="0" w:beforeAutospacing="0" w:after="0" w:afterAutospacing="0"/>
        <w:jc w:val="both"/>
        <w:rPr>
          <w:rFonts w:ascii="Palatino Linotype" w:hAnsi="Palatino Linotype"/>
          <w:b/>
          <w:sz w:val="21"/>
          <w:szCs w:val="21"/>
        </w:rPr>
      </w:pPr>
      <w:r w:rsidRPr="00E10347">
        <w:rPr>
          <w:rFonts w:ascii="Palatino Linotype" w:hAnsi="Palatino Linotype"/>
          <w:b/>
          <w:sz w:val="21"/>
          <w:szCs w:val="21"/>
        </w:rPr>
        <w:t>4</w:t>
      </w:r>
      <w:r w:rsidR="008C2BE0" w:rsidRPr="00E10347">
        <w:rPr>
          <w:rFonts w:ascii="Palatino Linotype" w:hAnsi="Palatino Linotype"/>
          <w:b/>
          <w:sz w:val="21"/>
          <w:szCs w:val="21"/>
        </w:rPr>
        <w:t>.-</w:t>
      </w:r>
      <w:r w:rsidRPr="00E10347">
        <w:rPr>
          <w:rFonts w:ascii="Palatino Linotype" w:hAnsi="Palatino Linotype"/>
          <w:b/>
          <w:sz w:val="21"/>
          <w:szCs w:val="21"/>
        </w:rPr>
        <w:t xml:space="preserve">  Los más graves pecados mortales del Nuevo Código Procesal Civil  contra el Sistema de la oralidad.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En la oralidad, al igual como acontece con la escritura, es necesaria la creación de un Sistema susceptible de encontrar organicidad y completes.  Organicidad porque todos sus diversos institutos procesales deben tener una determinada coherencia sin ser posibles figuras ajenas dentro de su cuerpo normativo.  Completes para, aún en casos de ausencia de normas determinadas, el mismo sistema sepa responder como si el sistema fuere completo, sin ausencia de ninguno de sus elementos.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En el Sistema de la Oralidad todos sus  elementos deben conformarse y comportarse con una cierta lógica propia del sistema.  Estar colocados en un cierto orden correspondientes a su vivencia, a su funcionalidad.  Solo pueden ser sus órganos propios.  Si no reúnen estas exigencias, quizá con órganos ajenos, ubicados en un lugar equivocado o inadecuado, haber perdido su concatenación con otros cuya unión o acercamiento permiten determinadas funciones, y con extrema coherencia pues de lo contrario no se estaría contemplando los fines de la sistematización planteada.</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Igual acontece con sistemas no jurídicos.  Cada pieza, cada parte, no son nada en sí mismos sino conforman un todo.  Sus elementos solo podrían cumplir funciones si son sometidos a una cierta ordenación.  Por eso su exigencia primaria requiere un orden preestablecido en muchos años de experiencia y con un control mecánico permanente para ser orgánicos y completos.  Solo podría existir el sistema o el modelo del reloj tradicional si sus agujas están unidas o concatenadas a un </w:t>
      </w:r>
      <w:r w:rsidRPr="00E10347">
        <w:rPr>
          <w:rFonts w:ascii="Palatino Linotype" w:hAnsi="Palatino Linotype"/>
          <w:sz w:val="21"/>
          <w:szCs w:val="21"/>
        </w:rPr>
        <w:lastRenderedPageBreak/>
        <w:t xml:space="preserve">funcionamiento interior. Las piezas diminutas internas no pueden sustituirse por las  de otro sistema, por ejemplo un acordeón, o un mismo reloj de otra marca y tamaño: en ambos casos hay incompatibilidad con el Sistema propio.  Otro ejemplo basta para comprender la Teoría del Sistema. Al automóvil le corresponde un determinado orden de todas sus piezas, porque si se le introdujeren otras de mayor valor, de mejor o menor calidad, seguramente no podría desarrollar sus propias funciones. ¿De qué le serviría a un automóvil Toyota 2000 la incorporación de otro motor quizá 15.000?   No va a funcionar. Porque para desarrollar las funciones se requiere un cierto orden, una cierta coherencia desde todo el interior con el exterior y del exterior  en su dinámica, belleza, confort distinto de donde se encuentra viviendo en aquél ambiente, en aquella fábrica encargada de configurarlos todos bajo un único y exclusivo sistema.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Uno de los más sentidos lamentos de personajes llamados a construir el Sistema de la Oralidad radica en la gravísima atracción inconsciente de continuar los lineamientos de la escritura  (como si hubiera llegado a formar parte de su ADN).  Incluye elementos impropios.  Porque le resulta casi imposible adaptarse atinadamente al arte o al compás de oralidad.  Porque el Sistema no se limita a concebir un proceso en audiencias sino porque todos los institutos deben acompasarse  en el ritmo de la oralidad.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El señalamiento de un cuerpo procesal de seguir la oralidad, o encontrar internamente estructuradas las audiencias no basta para calificar el sistema como de oralidad.  Contrariamente es indispensable introducir todos los elementos suyos como si fuera un filarmónica:  todos los instrumentos son diferentes pero deben escribirse para interpretarse solo en conjunto.  Por ello  el Sistema de la Oralidad debe contener todos, y no solo algunos, de sus instrumentos inspiradores:  principios, contra principios, elaboración de un proceso basado en audiencias  (jamás en actos procesales: porque estos los característicos de la escritura), indicando para cada proceso las actividades a desarrollar en las diferentes audiencias orales, diferentes las de la preliminar a la complementaria o de juicio, con defensas previas y medidas cautelares adecuadas, y en igual forma la negación a los incidentes, evitar las instancias, contar con un criterio permanente de saneamiento, acceso de las partes y sus abogados a los jueces   (no solo en las audiencias), así como en todos los recursos, particularmente el de Casación pues ella debe ser más rica en las causales de infracción de las normas del procedimiento, y menos en las de la violación directa e indirecta de las normas de fondo propias de </w:t>
      </w:r>
      <w:r w:rsidRPr="00E10347">
        <w:rPr>
          <w:rFonts w:ascii="Palatino Linotype" w:hAnsi="Palatino Linotype"/>
          <w:sz w:val="21"/>
          <w:szCs w:val="21"/>
        </w:rPr>
        <w:lastRenderedPageBreak/>
        <w:t>la escritura. pese a que ambos motivos van en las dos casaciones, porque también en oralidad la infracción de las normas del ordenamiento jurídico  (y no solo la ley) son causales más amplias:  si no se tuviere suficiente cuidado en estos extremos se incurriría en el pecado de plasmar una casación desnaturalizada.</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Es por esta razón, además de la posible sistemática elaborada por el Derecho Procesal Científico, como el Sistema obedece a aquella organicidad y completes mencionadas, a su coherencia interna, pues su existencia resulta incompatible con otros institutos o elementos de la oralidad.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Establecidas estas reglas básicas del Sistema de la Oralidad, es como se obtiene una respuesta del análisis del entero cuerpo del Nuevo Código Procesal Civil si obedece o no a un Sistema procesal fundado en la Oralidad. Y frente a esta premisa es como se descubren huellas claras e indelebles en la misma letra del cuerpo normativo donde se adquiere cierto convencimiento, incluso certeza, de la presencia de serias fracturas, consecuencia de echar de menos muchos elementos propios de la oralidad suplidos con por los de la escritura, ocurrido cuando de la revisión del Código Procesal General se pasó a concebir un Código procesal Civil y Comercial.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Estos pecados cometidos contra el Sistema de la Oralidad, puede obedecer a serias omisiones de desconocimiento o de imaginación.  Además no deja de reflejar una furiosa violencia ejercida para desmembrar elementos o tratar de mutilar órganos fundamentales del sistema oral, porque no hubo una entrega consciente hacia  ella sino un encadenamiento atávico a la escritura porque no creyeron en el nuevo Sistema Oral. </w:t>
      </w:r>
      <w:r w:rsidRPr="00E10347">
        <w:rPr>
          <w:rFonts w:ascii="Palatino Linotype" w:hAnsi="Palatino Linotype"/>
          <w:sz w:val="21"/>
          <w:szCs w:val="21"/>
        </w:rPr>
        <w:tab/>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Ejemplos elementales se descubren fácilmente cuando  del Código Procesal General  (en la misma forma como el Código Procesal Contencioso Administrativo) se eliminaron todos los incidentes, y en la nueva versión, del Procesal Civil y Comercial, se les encuentra nuevamente incluidos cuando ellos son típicos de la escritura, o cuando, como cualquier experto debe dominar la diferencia entre la escritura y la oralidad porque el primero se basa en la concatenación preclusiva de actos procesales a diferencia de la oralidad fundada en audiencias sin un orden tan estricto sino flexible.  </w:t>
      </w:r>
      <w:r w:rsidRPr="00E10347">
        <w:rPr>
          <w:rFonts w:ascii="Palatino Linotype" w:hAnsi="Palatino Linotype"/>
          <w:sz w:val="21"/>
          <w:szCs w:val="21"/>
        </w:rPr>
        <w:tab/>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El Nuevo Código se separa del Modelo eliminando y disminuyendo los principios generales de la oralidad, ponderando otros contrarios al sistema y reduciendo los de la oralidad a últimos lugares,  ocultando la ideología de la </w:t>
      </w:r>
      <w:r w:rsidRPr="00E10347">
        <w:rPr>
          <w:rFonts w:ascii="Palatino Linotype" w:hAnsi="Palatino Linotype"/>
          <w:sz w:val="21"/>
          <w:szCs w:val="21"/>
        </w:rPr>
        <w:lastRenderedPageBreak/>
        <w:t xml:space="preserve">oralidad así como reduciendo los propios y negándole valor a los denominados antagónicos, como forma de resguardar el nuevo sistema procesal.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En el Código se encuentras imperdonables mutilaciones de figuras ubicadas en el Código Modelo, cuya identificación causa cierta perplejidad por la alteración y cambio, no solo de su normativa sino muy concretamente de su ideología.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Porque el Modelo se fundó en la oralidad y la inmediatez para ser cada vez más humano, para contribuir a la paz social, disminuyendo  procesos, bajo la filosofía de ser una respuesta adecuada, que Costa Rica se merece, después de más de un siglo y medio del proceso escrito, fundado en vetusto, atávico, antiguo,  arcaico Código Procesal civil  de la escritura.  Pero el Nuevo Código no coincide plenamente con esta ideología.  Porque en algunas partes da la impresión de quedarse en el Código Procesal Civil de 1989, y aún peor en la Ley de Enjuiciamiento Civil, de España, del 2000.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En este último caso los procesalistas de derecha no comulgaban con el Proyecto impulsado por el Tribunal Supremo fundado en la oralidad, así que ante el cambio de Gobierno hacia el Partido Popular traicionaron el proyecto original y lo sustituyeron por otro de ideología antagónica confiado al Profesor Andrés De la Oliva Santos.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En fin un rutilante Código Procesal Civil caracterizado por promover grandes esperanzas  en un mundo jurídico ilusionado con el cambio y en un resplandeciente producto jurídico, si es cierto que solo innovó en un 25% del Modelo, resulta fundado en una serie de paradojas, cuya corrección solo podría verificarse reclamando una pronta intervención legislativa para reasumir el verdadero rol esperado por la Sociedad y nuestro mundo del Derecho.</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La primera paradoja  (en cuanto disparate, contradicción, exagerado)  deviene de la falta de cumplimiento de los fines acordados para  la Comisión revisora del Proyecto de Código Procesal General.  En efecto, originalmente  fue nombrada por la Corte Plena para revisar ese Proyecto.  Pero, en vez de ello,  presentó una propuesta de un Código Procesal Civil.  La Corte rechazó la versión por haber cambiado la Comisión su cometido.  Pero al fin se les admitió para no echar por la borda tantos años de trabajo, en vez de "revisar" y presentar terminado a la Corte un Código Procesal General.</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Sea como fuere, si se hubiere practicado un diagnóstico técnico y rechazado el mandamiento, porque guardaba falsas expectativas, los medios de comunicación </w:t>
      </w:r>
      <w:r w:rsidRPr="00E10347">
        <w:rPr>
          <w:rFonts w:ascii="Palatino Linotype" w:hAnsi="Palatino Linotype"/>
          <w:sz w:val="21"/>
          <w:szCs w:val="21"/>
        </w:rPr>
        <w:lastRenderedPageBreak/>
        <w:t xml:space="preserve">colectiva, el gremio vinculado al Derecho, el Pueblo costarricense, hubiere sancionado al Poder Judicial.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Lo paradójico del Nuevo Código (en tanto segunda paradoja) fue introducir cambios de escritura a contrapelo del Código Procesal General, en tanto modelo nacional de oralidad, y el segundo, quizá peor, consistente en desconocer la experiencia viviente del Código Procesal Contencioso administrativo, del 2006, vigente hasta el 2008, con extraordinarias experiencias no recogidas en el </w:t>
      </w:r>
      <w:r w:rsidRPr="00E10347">
        <w:rPr>
          <w:rFonts w:ascii="Palatino Linotype" w:hAnsi="Palatino Linotype"/>
          <w:b/>
          <w:i/>
          <w:sz w:val="21"/>
          <w:szCs w:val="21"/>
        </w:rPr>
        <w:t>Novo Codex</w:t>
      </w:r>
      <w:r w:rsidRPr="00E10347">
        <w:rPr>
          <w:rFonts w:ascii="Palatino Linotype" w:hAnsi="Palatino Linotype"/>
          <w:sz w:val="21"/>
          <w:szCs w:val="21"/>
        </w:rPr>
        <w:t xml:space="preserve">.  Porque los redactores jamás conocieron temas cardinales de la </w:t>
      </w:r>
      <w:r w:rsidRPr="00E10347">
        <w:rPr>
          <w:rFonts w:ascii="Palatino Linotype" w:hAnsi="Palatino Linotype"/>
          <w:b/>
          <w:i/>
          <w:sz w:val="21"/>
          <w:szCs w:val="21"/>
        </w:rPr>
        <w:t>mise en scene</w:t>
      </w:r>
      <w:r w:rsidRPr="00E10347">
        <w:rPr>
          <w:rFonts w:ascii="Palatino Linotype" w:hAnsi="Palatino Linotype"/>
          <w:sz w:val="21"/>
          <w:szCs w:val="21"/>
        </w:rPr>
        <w:t>.  Desconocieron aspectos fundamentales echados de menos.  Esto se constata de cómo abordaron comparando tantos temas comunes que quedaron muy mal en el Procesal Civil porque son evidentes las cicatrices de la castración desde el comienzo del proceso hasta la Casación o la ejecución.</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Aún cuando la comisión solo conocía la experiencia española en materia de oralidad, especialmente con la Ley de Enjuiciamiento Civil del 2000, debieron ampliar su cultura jurídica de más de un centenar de años producida especialmente en Alemania, Austria e Italia,  del </w:t>
      </w:r>
      <w:r w:rsidRPr="00E10347">
        <w:rPr>
          <w:rFonts w:ascii="Palatino Linotype" w:hAnsi="Palatino Linotype"/>
          <w:b/>
          <w:i/>
          <w:sz w:val="21"/>
          <w:szCs w:val="21"/>
        </w:rPr>
        <w:t>civil law</w:t>
      </w:r>
      <w:r w:rsidRPr="00E10347">
        <w:rPr>
          <w:rFonts w:ascii="Palatino Linotype" w:hAnsi="Palatino Linotype"/>
          <w:sz w:val="21"/>
          <w:szCs w:val="21"/>
        </w:rPr>
        <w:t xml:space="preserve">, </w:t>
      </w:r>
      <w:r w:rsidRPr="00E10347">
        <w:rPr>
          <w:rFonts w:ascii="Palatino Linotype" w:hAnsi="Palatino Linotype"/>
          <w:b/>
          <w:i/>
          <w:sz w:val="21"/>
          <w:szCs w:val="21"/>
        </w:rPr>
        <w:t xml:space="preserve"> </w:t>
      </w:r>
      <w:r w:rsidRPr="00E10347">
        <w:rPr>
          <w:rFonts w:ascii="Palatino Linotype" w:hAnsi="Palatino Linotype"/>
          <w:sz w:val="21"/>
          <w:szCs w:val="21"/>
        </w:rPr>
        <w:t xml:space="preserve">junto a Inglaterra y Estados Unidos, de un más acentuada definición del </w:t>
      </w:r>
      <w:r w:rsidRPr="00E10347">
        <w:rPr>
          <w:rFonts w:ascii="Palatino Linotype" w:hAnsi="Palatino Linotype"/>
          <w:b/>
          <w:i/>
          <w:sz w:val="21"/>
          <w:szCs w:val="21"/>
        </w:rPr>
        <w:t>commnon law</w:t>
      </w:r>
      <w:r w:rsidRPr="00E10347">
        <w:rPr>
          <w:rFonts w:ascii="Palatino Linotype" w:hAnsi="Palatino Linotype"/>
          <w:sz w:val="21"/>
          <w:szCs w:val="21"/>
        </w:rPr>
        <w:t>.</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Pero si nos quedáramos solo en la literatura publicada en español,  por la seria reticencia de los Jueces al dominio de los idiomas y por tal al cierre de las ventanas conducentes a un inmenso mundo de cultura, bien pudieron los redactores del Anteproyecto y el Proyecto recurrir al menos a los documentos profundamente conocidos en nuestro medio:  el Código Procesal Civil Modelo para Iberoamérica, 1988, redactado por los uruguayos Enrique Véscovi y Adolfo Gelsi Bidart, para el Instituto Iberoamericano de Derecho Procesal, y el mismo Código General del Proceso, de Uruguay, con una amplísima bibliografía de todos sus institutos adquiridos por la Biblioteca Judicial.  </w:t>
      </w:r>
      <w:r w:rsidRPr="00E10347">
        <w:rPr>
          <w:rFonts w:ascii="Palatino Linotype" w:hAnsi="Palatino Linotype"/>
          <w:sz w:val="21"/>
          <w:szCs w:val="21"/>
        </w:rPr>
        <w:tab/>
      </w:r>
      <w:r w:rsidRPr="00E10347">
        <w:rPr>
          <w:rFonts w:ascii="Palatino Linotype" w:hAnsi="Palatino Linotype"/>
          <w:sz w:val="21"/>
          <w:szCs w:val="21"/>
        </w:rPr>
        <w:tab/>
      </w:r>
    </w:p>
    <w:p w:rsidR="008A02E9" w:rsidRDefault="008A02E9" w:rsidP="00E10347">
      <w:pPr>
        <w:pStyle w:val="Sinespaciado"/>
        <w:jc w:val="both"/>
        <w:rPr>
          <w:rFonts w:ascii="Palatino Linotype" w:hAnsi="Palatino Linotype" w:cs="Times New Roman"/>
          <w:b/>
          <w:sz w:val="21"/>
          <w:szCs w:val="21"/>
        </w:rPr>
      </w:pPr>
    </w:p>
    <w:p w:rsidR="002014CA" w:rsidRPr="00E10347" w:rsidRDefault="002014CA" w:rsidP="00E10347">
      <w:pPr>
        <w:pStyle w:val="Sinespaciado"/>
        <w:jc w:val="both"/>
        <w:rPr>
          <w:rFonts w:ascii="Palatino Linotype" w:hAnsi="Palatino Linotype" w:cs="Times New Roman"/>
          <w:b/>
          <w:sz w:val="21"/>
          <w:szCs w:val="21"/>
        </w:rPr>
      </w:pPr>
      <w:r w:rsidRPr="00E10347">
        <w:rPr>
          <w:rFonts w:ascii="Palatino Linotype" w:hAnsi="Palatino Linotype" w:cs="Times New Roman"/>
          <w:b/>
          <w:sz w:val="21"/>
          <w:szCs w:val="21"/>
        </w:rPr>
        <w:t>5</w:t>
      </w:r>
      <w:r w:rsidR="008C2BE0" w:rsidRPr="00E10347">
        <w:rPr>
          <w:rFonts w:ascii="Palatino Linotype" w:hAnsi="Palatino Linotype" w:cs="Times New Roman"/>
          <w:b/>
          <w:sz w:val="21"/>
          <w:szCs w:val="21"/>
        </w:rPr>
        <w:t>.-</w:t>
      </w:r>
      <w:r w:rsidRPr="00E10347">
        <w:rPr>
          <w:rFonts w:ascii="Palatino Linotype" w:hAnsi="Palatino Linotype" w:cs="Times New Roman"/>
          <w:b/>
          <w:sz w:val="21"/>
          <w:szCs w:val="21"/>
        </w:rPr>
        <w:t xml:space="preserve"> (sigue).  El pecado de la degradación de los principios de la oralidad. Intercalación de principios de oralidad con los de la escritura. Eliminación de los principios antagónicos a la oralidad.  </w:t>
      </w:r>
    </w:p>
    <w:p w:rsidR="002014CA" w:rsidRPr="00E10347" w:rsidRDefault="002014CA" w:rsidP="00E10347">
      <w:pPr>
        <w:shd w:val="clear" w:color="auto" w:fill="FFFFFF"/>
        <w:ind w:firstLine="709"/>
        <w:jc w:val="both"/>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 xml:space="preserve">Un sistema concebido lo más completo y coherente posible, fundado y desarrollado en la oralidad, debe necesariamente estructurarse bajo sólidos principios de irreversibilidad. Solo así podría defenderse de los peligros de ser malogrado, por la </w:t>
      </w:r>
      <w:r w:rsidRPr="00E10347">
        <w:rPr>
          <w:rFonts w:ascii="Palatino Linotype" w:eastAsia="Times New Roman" w:hAnsi="Palatino Linotype" w:cs="Times New Roman"/>
          <w:b/>
          <w:i/>
          <w:sz w:val="21"/>
          <w:szCs w:val="21"/>
          <w:lang w:eastAsia="es-CR"/>
        </w:rPr>
        <w:t>praxis</w:t>
      </w:r>
      <w:r w:rsidRPr="00E10347">
        <w:rPr>
          <w:rFonts w:ascii="Palatino Linotype" w:eastAsia="Times New Roman" w:hAnsi="Palatino Linotype" w:cs="Times New Roman"/>
          <w:sz w:val="21"/>
          <w:szCs w:val="21"/>
          <w:lang w:eastAsia="es-CR"/>
        </w:rPr>
        <w:t xml:space="preserve"> y la tentación de los jueces, por el sistema arcaico de la escritura.</w:t>
      </w:r>
    </w:p>
    <w:p w:rsidR="002014CA" w:rsidRPr="00E10347" w:rsidRDefault="002014CA" w:rsidP="00E10347">
      <w:pPr>
        <w:shd w:val="clear" w:color="auto" w:fill="FFFFFF"/>
        <w:ind w:firstLine="709"/>
        <w:jc w:val="both"/>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lastRenderedPageBreak/>
        <w:t>Al profundizar alguno de los elementos del Sistema de la Oralidad bien puede calificarse de una conducta pecaminosa la de los redactores del Nuevo Código en tema de los principios porque, con plena conciencia de sus actuaciones, pecaron, y pecaron sin arrepentimiento, cuando contradijeron, combatieron, atacaron, replicaron la degradación de los principios procesales de la oralidad, ocultándolos, encubriéndolos, encerrándolos.  Todo ello contrario a su Misión de ponerlos en conocimiento de Juristas  y del Pueblo, explicándolos, difundiéndolos, defendiéndolos.</w:t>
      </w:r>
    </w:p>
    <w:p w:rsidR="002014CA" w:rsidRPr="00E10347" w:rsidRDefault="002014CA" w:rsidP="00E10347">
      <w:pPr>
        <w:shd w:val="clear" w:color="auto" w:fill="FFFFFF"/>
        <w:ind w:firstLine="709"/>
        <w:jc w:val="both"/>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 xml:space="preserve">La forma como invierte, y a su vez desdeña, el Nuevo Código  los principios y contraprincipios del Sistema de la Oralidad no tiene una explicación lógica.  En el Código Modelo se tuvo mucho cuidado de indicarlos muy claramente porque ellos deben servir para la adecuada interpretación de los actores del proceso, y en esta forma pronosticar cualquier tipo de peligro futuro para evitar una tragedia procesal. </w:t>
      </w:r>
    </w:p>
    <w:p w:rsidR="002014CA" w:rsidRPr="00E10347" w:rsidRDefault="002014CA" w:rsidP="00E10347">
      <w:pPr>
        <w:shd w:val="clear" w:color="auto" w:fill="FFFFFF"/>
        <w:ind w:firstLine="709"/>
        <w:jc w:val="both"/>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Solo así el Sistema de la Oralidad estaría preparado para contragolpear y hasta expulsar cualquier elemento u órgano extraño originado en la escritura.  Porque el cuerpo se protege a sí mismo de cualquier trasplante por medio de su propia ideología, de su filosofía traducida en principios claros y precisos.</w:t>
      </w:r>
    </w:p>
    <w:p w:rsidR="002014CA" w:rsidRPr="00E10347" w:rsidRDefault="002014CA" w:rsidP="00E10347">
      <w:pPr>
        <w:shd w:val="clear" w:color="auto" w:fill="FFFFFF"/>
        <w:ind w:firstLine="709"/>
        <w:jc w:val="both"/>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Bajo esa tesitura el Código Modelo estructuró los principios procesales referidos a la oralidad, bajo una inteligencia de orden descendente y hasta mencionó los incompatibles.</w:t>
      </w:r>
    </w:p>
    <w:p w:rsidR="002014CA" w:rsidRPr="00E10347" w:rsidRDefault="002014CA" w:rsidP="00E10347">
      <w:pPr>
        <w:shd w:val="clear" w:color="auto" w:fill="FFFFFF"/>
        <w:ind w:firstLine="709"/>
        <w:jc w:val="both"/>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 xml:space="preserve">Aún cuando para algunos el orden de la clasificación de los principios no muestra ningún impacto en su interpretación:  descendiente de los más importantes a los menos significativos, o estructurados sin grado, o en un mero desorden, porque esa es labor del intérprete y no del legislador.  Ese es un criterio que no comparto. Porque en todos los cuerpos codificados siempre se sigue una determinada armonía, articulación, organización, donde cada elemento o figura ocupa el puesto o lugar previsto para cada uno de ellos según su trascendencia. </w:t>
      </w:r>
    </w:p>
    <w:p w:rsidR="002014CA" w:rsidRPr="00E10347" w:rsidRDefault="002014CA" w:rsidP="00E10347">
      <w:pPr>
        <w:shd w:val="clear" w:color="auto" w:fill="FFFFFF"/>
        <w:ind w:firstLine="709"/>
        <w:jc w:val="both"/>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 xml:space="preserve">Para ratificar este criterio seguidamente se transcribe el texto del Código Procesal General para confrontarlos con la actitud del Nuevo Código cuya elenco más adelante censuraré  por diferentes razones. </w:t>
      </w:r>
    </w:p>
    <w:p w:rsidR="008A02E9" w:rsidRDefault="008A02E9" w:rsidP="00E10347">
      <w:pPr>
        <w:pStyle w:val="NormalWeb"/>
        <w:shd w:val="clear" w:color="auto" w:fill="FFFFFF"/>
        <w:spacing w:before="0" w:beforeAutospacing="0" w:after="0" w:afterAutospacing="0"/>
        <w:ind w:firstLine="709"/>
        <w:jc w:val="center"/>
        <w:rPr>
          <w:rFonts w:ascii="Palatino Linotype" w:hAnsi="Palatino Linotype"/>
          <w:b/>
          <w:sz w:val="21"/>
          <w:szCs w:val="21"/>
        </w:rPr>
      </w:pPr>
    </w:p>
    <w:p w:rsidR="002014CA" w:rsidRPr="00E10347" w:rsidRDefault="002014CA" w:rsidP="008A02E9">
      <w:pPr>
        <w:pStyle w:val="NormalWeb"/>
        <w:shd w:val="clear" w:color="auto" w:fill="FFFFFF"/>
        <w:spacing w:before="0" w:beforeAutospacing="0" w:after="0" w:afterAutospacing="0"/>
        <w:ind w:left="851" w:right="851" w:firstLine="709"/>
        <w:jc w:val="center"/>
        <w:rPr>
          <w:rFonts w:ascii="Palatino Linotype" w:hAnsi="Palatino Linotype"/>
          <w:b/>
          <w:sz w:val="21"/>
          <w:szCs w:val="21"/>
        </w:rPr>
      </w:pPr>
      <w:r w:rsidRPr="00E10347">
        <w:rPr>
          <w:rFonts w:ascii="Palatino Linotype" w:hAnsi="Palatino Linotype"/>
          <w:b/>
          <w:sz w:val="21"/>
          <w:szCs w:val="21"/>
        </w:rPr>
        <w:t>CÓDIGO PROCESAL GENERAL</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"1.3</w:t>
      </w:r>
      <w:r w:rsidRPr="00E10347">
        <w:rPr>
          <w:rFonts w:ascii="Palatino Linotype" w:hAnsi="Palatino Linotype" w:cs="Times New Roman"/>
          <w:b/>
          <w:sz w:val="21"/>
          <w:szCs w:val="21"/>
        </w:rPr>
        <w:t xml:space="preserve"> </w:t>
      </w:r>
      <w:r w:rsidRPr="00E10347">
        <w:rPr>
          <w:rFonts w:ascii="Palatino Linotype" w:hAnsi="Palatino Linotype" w:cs="Times New Roman"/>
          <w:b/>
          <w:sz w:val="21"/>
          <w:szCs w:val="21"/>
        </w:rPr>
        <w:tab/>
        <w:t xml:space="preserve">Principios del sistema.  </w:t>
      </w:r>
      <w:r w:rsidRPr="00E10347">
        <w:rPr>
          <w:rFonts w:ascii="Palatino Linotype" w:hAnsi="Palatino Linotype" w:cs="Times New Roman"/>
          <w:sz w:val="21"/>
          <w:szCs w:val="21"/>
        </w:rPr>
        <w:t>Serán fundamentalmente los siguientes:</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b/>
          <w:sz w:val="21"/>
          <w:szCs w:val="21"/>
        </w:rPr>
        <w:lastRenderedPageBreak/>
        <w:t>a)</w:t>
      </w:r>
      <w:r w:rsidRPr="00E10347">
        <w:rPr>
          <w:rFonts w:ascii="Palatino Linotype" w:hAnsi="Palatino Linotype" w:cs="Times New Roman"/>
          <w:b/>
          <w:sz w:val="21"/>
          <w:szCs w:val="21"/>
        </w:rPr>
        <w:tab/>
        <w:t>Oralidad</w:t>
      </w:r>
      <w:r w:rsidRPr="00E10347">
        <w:rPr>
          <w:rFonts w:ascii="Palatino Linotype" w:hAnsi="Palatino Linotype" w:cs="Times New Roman"/>
          <w:sz w:val="21"/>
          <w:szCs w:val="21"/>
        </w:rPr>
        <w:t xml:space="preserve">. El proceso se desarrollará a través  de audiencias orales y públicas.  La expresión oral será el modo natural de comunicarse las partes con los jueces, por sí o por medio de sus abogados.  En las audiencias, por medio de la oralidad, se deberá también sanear el proceso, impulsar la conciliación, recibir pruebas, ejercer el contradictorio, emitir conclusiones ante jueces.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En </w:t>
      </w:r>
      <w:r w:rsidRPr="00E10347">
        <w:rPr>
          <w:rFonts w:ascii="Palatino Linotype" w:hAnsi="Palatino Linotype" w:cs="Times New Roman"/>
          <w:bCs/>
          <w:sz w:val="21"/>
          <w:szCs w:val="21"/>
        </w:rPr>
        <w:t>el proceso</w:t>
      </w:r>
      <w:r w:rsidRPr="00E10347">
        <w:rPr>
          <w:rFonts w:ascii="Palatino Linotype" w:hAnsi="Palatino Linotype" w:cs="Times New Roman"/>
          <w:sz w:val="21"/>
          <w:szCs w:val="21"/>
        </w:rPr>
        <w:t xml:space="preserve"> solo serán escritos algunos actos como la interposición y la contestación de la demanda, la sentencia documento, los recursos contra la sentencia, documentos, peritajes e informes.</w:t>
      </w:r>
    </w:p>
    <w:p w:rsidR="002014CA" w:rsidRPr="00E10347" w:rsidRDefault="002014CA" w:rsidP="008A02E9">
      <w:pPr>
        <w:pStyle w:val="Sinespaciado"/>
        <w:ind w:left="851" w:right="851" w:firstLine="709"/>
        <w:jc w:val="both"/>
        <w:rPr>
          <w:rFonts w:ascii="Palatino Linotype" w:hAnsi="Palatino Linotype" w:cs="Times New Roman"/>
          <w:bCs/>
          <w:sz w:val="21"/>
          <w:szCs w:val="21"/>
        </w:rPr>
      </w:pPr>
      <w:r w:rsidRPr="00E10347">
        <w:rPr>
          <w:rFonts w:ascii="Palatino Linotype" w:hAnsi="Palatino Linotype" w:cs="Times New Roman"/>
          <w:bCs/>
          <w:sz w:val="21"/>
          <w:szCs w:val="21"/>
        </w:rPr>
        <w:t>Cuando exista duda entre la aplicación de la oralidad o la escritura, el juez siempre escogerá la primera.</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b/>
          <w:sz w:val="21"/>
          <w:szCs w:val="21"/>
        </w:rPr>
        <w:t>b)</w:t>
      </w:r>
      <w:r w:rsidRPr="00E10347">
        <w:rPr>
          <w:rFonts w:ascii="Palatino Linotype" w:hAnsi="Palatino Linotype" w:cs="Times New Roman"/>
          <w:b/>
          <w:sz w:val="21"/>
          <w:szCs w:val="21"/>
        </w:rPr>
        <w:tab/>
        <w:t>Inmediación</w:t>
      </w:r>
      <w:r w:rsidRPr="00E10347">
        <w:rPr>
          <w:rFonts w:ascii="Palatino Linotype" w:hAnsi="Palatino Linotype" w:cs="Times New Roman"/>
          <w:sz w:val="21"/>
          <w:szCs w:val="21"/>
        </w:rPr>
        <w:t xml:space="preserve">.  Siempre deberá haber en las audiencias una relación directa y personal de los jueces con las partes, con sus abogados, y principalmente con los medios de prueba y el objeto del proceso. Fuera de las audiencias los jueces </w:t>
      </w:r>
      <w:r w:rsidRPr="00E10347">
        <w:rPr>
          <w:rFonts w:ascii="Palatino Linotype" w:hAnsi="Palatino Linotype" w:cs="Times New Roman"/>
          <w:bCs/>
          <w:sz w:val="21"/>
          <w:szCs w:val="21"/>
        </w:rPr>
        <w:t>atenderán</w:t>
      </w:r>
      <w:r w:rsidRPr="00E10347">
        <w:rPr>
          <w:rFonts w:ascii="Palatino Linotype" w:hAnsi="Palatino Linotype" w:cs="Times New Roman"/>
          <w:b/>
          <w:sz w:val="21"/>
          <w:szCs w:val="21"/>
        </w:rPr>
        <w:t xml:space="preserve"> </w:t>
      </w:r>
      <w:r w:rsidRPr="00E10347">
        <w:rPr>
          <w:rFonts w:ascii="Palatino Linotype" w:hAnsi="Palatino Linotype" w:cs="Times New Roman"/>
          <w:bCs/>
          <w:sz w:val="21"/>
          <w:szCs w:val="21"/>
        </w:rPr>
        <w:t>a</w:t>
      </w:r>
      <w:r w:rsidRPr="00E10347">
        <w:rPr>
          <w:rFonts w:ascii="Palatino Linotype" w:hAnsi="Palatino Linotype" w:cs="Times New Roman"/>
          <w:sz w:val="21"/>
          <w:szCs w:val="21"/>
        </w:rPr>
        <w:t xml:space="preserve"> las partes para ser oídas sobre aspectos concretos.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b/>
          <w:sz w:val="21"/>
          <w:szCs w:val="21"/>
        </w:rPr>
        <w:t>c)</w:t>
      </w:r>
      <w:r w:rsidRPr="00E10347">
        <w:rPr>
          <w:rFonts w:ascii="Palatino Linotype" w:hAnsi="Palatino Linotype" w:cs="Times New Roman"/>
          <w:b/>
          <w:sz w:val="21"/>
          <w:szCs w:val="21"/>
        </w:rPr>
        <w:tab/>
        <w:t>Concentración</w:t>
      </w:r>
      <w:r w:rsidRPr="00E10347">
        <w:rPr>
          <w:rFonts w:ascii="Palatino Linotype" w:hAnsi="Palatino Linotype" w:cs="Times New Roman"/>
          <w:sz w:val="21"/>
          <w:szCs w:val="21"/>
        </w:rPr>
        <w:t xml:space="preserve">. Toda la actividad procesal deberá desarrollarse en el menor tiempo posible, en una o dos sesiones cuando así se prevea, en las mismas se respetará los derechos de las partes de alegar, probar y contradecir.  Se concentrarán en una sola resolución varios actos y gestiones </w:t>
      </w:r>
      <w:r w:rsidRPr="00E10347">
        <w:rPr>
          <w:rFonts w:ascii="Palatino Linotype" w:hAnsi="Palatino Linotype" w:cs="Times New Roman"/>
          <w:b/>
          <w:sz w:val="21"/>
          <w:szCs w:val="21"/>
        </w:rPr>
        <w:t>y</w:t>
      </w:r>
      <w:r w:rsidRPr="00E10347">
        <w:rPr>
          <w:rFonts w:ascii="Palatino Linotype" w:hAnsi="Palatino Linotype" w:cs="Times New Roman"/>
          <w:sz w:val="21"/>
          <w:szCs w:val="21"/>
        </w:rPr>
        <w:t xml:space="preserve"> no </w:t>
      </w:r>
      <w:r w:rsidRPr="00E10347">
        <w:rPr>
          <w:rFonts w:ascii="Palatino Linotype" w:hAnsi="Palatino Linotype" w:cs="Times New Roman"/>
          <w:b/>
          <w:sz w:val="21"/>
          <w:szCs w:val="21"/>
        </w:rPr>
        <w:t>le</w:t>
      </w:r>
      <w:r w:rsidRPr="00E10347">
        <w:rPr>
          <w:rFonts w:ascii="Palatino Linotype" w:hAnsi="Palatino Linotype" w:cs="Times New Roman"/>
          <w:sz w:val="21"/>
          <w:szCs w:val="21"/>
        </w:rPr>
        <w:t xml:space="preserve"> es permitido al juez dividir, suspender o interrumpir injustificadamente los señalamientos o las audiencias.</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b/>
          <w:sz w:val="21"/>
          <w:szCs w:val="21"/>
        </w:rPr>
        <w:t>d)</w:t>
      </w:r>
      <w:r w:rsidRPr="00E10347">
        <w:rPr>
          <w:rFonts w:ascii="Palatino Linotype" w:hAnsi="Palatino Linotype" w:cs="Times New Roman"/>
          <w:b/>
          <w:sz w:val="21"/>
          <w:szCs w:val="21"/>
        </w:rPr>
        <w:tab/>
        <w:t>Dispositivo</w:t>
      </w:r>
      <w:r w:rsidRPr="00E10347">
        <w:rPr>
          <w:rFonts w:ascii="Palatino Linotype" w:hAnsi="Palatino Linotype" w:cs="Times New Roman"/>
          <w:sz w:val="21"/>
          <w:szCs w:val="21"/>
        </w:rPr>
        <w:t xml:space="preserve">. Las partes inician el proceso,  ofrecen las pruebas y las presentan a los jueces para su evacuación, disponen de sus derechos salvo si son indisponibles, pueden terminarlo unilateral o bilateralmente, y en general están facultados para impulsar la actividad procesal.  A nadie se puede obligar a formular una demanda.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b/>
          <w:sz w:val="21"/>
          <w:szCs w:val="21"/>
        </w:rPr>
        <w:t>e)</w:t>
      </w:r>
      <w:r w:rsidRPr="00E10347">
        <w:rPr>
          <w:rFonts w:ascii="Palatino Linotype" w:hAnsi="Palatino Linotype" w:cs="Times New Roman"/>
          <w:b/>
          <w:sz w:val="21"/>
          <w:szCs w:val="21"/>
        </w:rPr>
        <w:tab/>
        <w:t>Impulso procesal</w:t>
      </w:r>
      <w:r w:rsidRPr="00E10347">
        <w:rPr>
          <w:rFonts w:ascii="Palatino Linotype" w:hAnsi="Palatino Linotype" w:cs="Times New Roman"/>
          <w:sz w:val="21"/>
          <w:szCs w:val="21"/>
        </w:rPr>
        <w:t xml:space="preserve">.  Promovido el proceso, los jueces dictarán de oficio, con amplias facultades,  todas las medidas dirigidas al avance y finalización del proceso, sin necesidad de gestión de parte.  Por todos los medios evitarán la </w:t>
      </w:r>
      <w:r w:rsidRPr="00E10347">
        <w:rPr>
          <w:rFonts w:ascii="Palatino Linotype" w:hAnsi="Palatino Linotype" w:cs="Times New Roman"/>
          <w:sz w:val="21"/>
          <w:szCs w:val="21"/>
        </w:rPr>
        <w:lastRenderedPageBreak/>
        <w:t>paralización e impulsarán el trámite con la mayor celeridad posible.</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b/>
          <w:sz w:val="21"/>
          <w:szCs w:val="21"/>
        </w:rPr>
        <w:t>f)</w:t>
      </w:r>
      <w:r w:rsidRPr="00E10347">
        <w:rPr>
          <w:rFonts w:ascii="Palatino Linotype" w:hAnsi="Palatino Linotype" w:cs="Times New Roman"/>
          <w:b/>
          <w:sz w:val="21"/>
          <w:szCs w:val="21"/>
        </w:rPr>
        <w:tab/>
        <w:t>Celeridad</w:t>
      </w:r>
      <w:r w:rsidRPr="00E10347">
        <w:rPr>
          <w:rFonts w:ascii="Palatino Linotype" w:hAnsi="Palatino Linotype" w:cs="Times New Roman"/>
          <w:sz w:val="21"/>
          <w:szCs w:val="21"/>
        </w:rPr>
        <w:t xml:space="preserve">. El proceso deberá tramitarse con prontitud y economía de tiempo para las partes y el sistema de administración de justicia.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b/>
          <w:sz w:val="21"/>
          <w:szCs w:val="21"/>
        </w:rPr>
        <w:t>g)</w:t>
      </w:r>
      <w:r w:rsidRPr="00E10347">
        <w:rPr>
          <w:rFonts w:ascii="Palatino Linotype" w:hAnsi="Palatino Linotype" w:cs="Times New Roman"/>
          <w:b/>
          <w:sz w:val="21"/>
          <w:szCs w:val="21"/>
        </w:rPr>
        <w:tab/>
        <w:t>Carga de la prueba</w:t>
      </w:r>
      <w:r w:rsidRPr="00E10347">
        <w:rPr>
          <w:rFonts w:ascii="Palatino Linotype" w:hAnsi="Palatino Linotype" w:cs="Times New Roman"/>
          <w:sz w:val="21"/>
          <w:szCs w:val="21"/>
        </w:rPr>
        <w:t>.  Quien formule una pretensión</w:t>
      </w:r>
      <w:r w:rsidRPr="00E10347">
        <w:rPr>
          <w:rFonts w:ascii="Palatino Linotype" w:hAnsi="Palatino Linotype" w:cs="Times New Roman"/>
          <w:b/>
          <w:sz w:val="21"/>
          <w:szCs w:val="21"/>
        </w:rPr>
        <w:t xml:space="preserve">, </w:t>
      </w:r>
      <w:r w:rsidRPr="00E10347">
        <w:rPr>
          <w:rFonts w:ascii="Palatino Linotype" w:hAnsi="Palatino Linotype" w:cs="Times New Roman"/>
          <w:bCs/>
          <w:sz w:val="21"/>
          <w:szCs w:val="21"/>
        </w:rPr>
        <w:t>defensa o</w:t>
      </w:r>
      <w:r w:rsidRPr="00E10347">
        <w:rPr>
          <w:rFonts w:ascii="Palatino Linotype" w:hAnsi="Palatino Linotype" w:cs="Times New Roman"/>
          <w:b/>
          <w:sz w:val="21"/>
          <w:szCs w:val="21"/>
        </w:rPr>
        <w:t xml:space="preserve"> </w:t>
      </w:r>
      <w:r w:rsidRPr="00E10347">
        <w:rPr>
          <w:rFonts w:ascii="Palatino Linotype" w:hAnsi="Palatino Linotype" w:cs="Times New Roman"/>
          <w:bCs/>
          <w:sz w:val="21"/>
          <w:szCs w:val="21"/>
        </w:rPr>
        <w:t>excepción</w:t>
      </w:r>
      <w:r w:rsidRPr="00E10347">
        <w:rPr>
          <w:rFonts w:ascii="Palatino Linotype" w:hAnsi="Palatino Linotype" w:cs="Times New Roman"/>
          <w:sz w:val="21"/>
          <w:szCs w:val="21"/>
        </w:rPr>
        <w:t xml:space="preserve"> tiene el deber de probar, ofreciendo </w:t>
      </w:r>
      <w:r w:rsidRPr="00E10347">
        <w:rPr>
          <w:rFonts w:ascii="Palatino Linotype" w:hAnsi="Palatino Linotype" w:cs="Times New Roman"/>
          <w:bCs/>
          <w:sz w:val="21"/>
          <w:szCs w:val="21"/>
        </w:rPr>
        <w:t>la prueba</w:t>
      </w:r>
      <w:r w:rsidRPr="00E10347">
        <w:rPr>
          <w:rFonts w:ascii="Palatino Linotype" w:hAnsi="Palatino Linotype" w:cs="Times New Roman"/>
          <w:sz w:val="21"/>
          <w:szCs w:val="21"/>
        </w:rPr>
        <w:t xml:space="preserve"> en su momento oportuno y preocupándose por la evacuación de sus pruebas.</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b/>
          <w:sz w:val="21"/>
          <w:szCs w:val="21"/>
        </w:rPr>
        <w:t>h)</w:t>
      </w:r>
      <w:r w:rsidRPr="00E10347">
        <w:rPr>
          <w:rFonts w:ascii="Palatino Linotype" w:hAnsi="Palatino Linotype" w:cs="Times New Roman"/>
          <w:b/>
          <w:sz w:val="21"/>
          <w:szCs w:val="21"/>
        </w:rPr>
        <w:tab/>
        <w:t>Contradicción</w:t>
      </w:r>
      <w:r w:rsidRPr="00E10347">
        <w:rPr>
          <w:rFonts w:ascii="Palatino Linotype" w:hAnsi="Palatino Linotype" w:cs="Times New Roman"/>
          <w:sz w:val="21"/>
          <w:szCs w:val="21"/>
        </w:rPr>
        <w:t xml:space="preserve">.  La garantía de igualdad procesal se ejercerá a través del contradictorio.  Las gestiones o pruebas podrán ser inmediatamente combatidas, contradichas o contrastadas  por la contraria, se exceptúan aquellos casos de urgencia </w:t>
      </w:r>
      <w:r w:rsidRPr="00E10347">
        <w:rPr>
          <w:rFonts w:ascii="Palatino Linotype" w:hAnsi="Palatino Linotype" w:cs="Times New Roman"/>
          <w:bCs/>
          <w:sz w:val="21"/>
          <w:szCs w:val="21"/>
        </w:rPr>
        <w:t>cuando</w:t>
      </w:r>
      <w:r w:rsidRPr="00E10347">
        <w:rPr>
          <w:rFonts w:ascii="Palatino Linotype" w:hAnsi="Palatino Linotype" w:cs="Times New Roman"/>
          <w:sz w:val="21"/>
          <w:szCs w:val="21"/>
        </w:rPr>
        <w:t xml:space="preserve"> se difiere el contradictorio.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b/>
          <w:sz w:val="21"/>
          <w:szCs w:val="21"/>
        </w:rPr>
        <w:t>i)</w:t>
      </w:r>
      <w:r w:rsidRPr="00E10347">
        <w:rPr>
          <w:rFonts w:ascii="Palatino Linotype" w:hAnsi="Palatino Linotype" w:cs="Times New Roman"/>
          <w:b/>
          <w:sz w:val="21"/>
          <w:szCs w:val="21"/>
        </w:rPr>
        <w:tab/>
        <w:t>Identidad física del juzgador</w:t>
      </w:r>
      <w:r w:rsidRPr="00E10347">
        <w:rPr>
          <w:rFonts w:ascii="Palatino Linotype" w:hAnsi="Palatino Linotype" w:cs="Times New Roman"/>
          <w:sz w:val="21"/>
          <w:szCs w:val="21"/>
        </w:rPr>
        <w:t>.  Solo podrá juzgar el juez que haya estado en la audiencia o las audiencias donde se recibieron las pruebas ó en la</w:t>
      </w:r>
      <w:r w:rsidRPr="00E10347">
        <w:rPr>
          <w:rFonts w:ascii="Palatino Linotype" w:hAnsi="Palatino Linotype" w:cs="Times New Roman"/>
          <w:b/>
          <w:bCs/>
          <w:sz w:val="21"/>
          <w:szCs w:val="21"/>
        </w:rPr>
        <w:t xml:space="preserve"> </w:t>
      </w:r>
      <w:r w:rsidRPr="00E10347">
        <w:rPr>
          <w:rFonts w:ascii="Palatino Linotype" w:hAnsi="Palatino Linotype" w:cs="Times New Roman"/>
          <w:sz w:val="21"/>
          <w:szCs w:val="21"/>
        </w:rPr>
        <w:t xml:space="preserve">vista de un recurso.  Cuando se traslade </w:t>
      </w:r>
      <w:r w:rsidRPr="00E10347">
        <w:rPr>
          <w:rFonts w:ascii="Palatino Linotype" w:hAnsi="Palatino Linotype" w:cs="Times New Roman"/>
          <w:bCs/>
          <w:sz w:val="21"/>
          <w:szCs w:val="21"/>
        </w:rPr>
        <w:t>o</w:t>
      </w:r>
      <w:r w:rsidRPr="00E10347">
        <w:rPr>
          <w:rFonts w:ascii="Palatino Linotype" w:hAnsi="Palatino Linotype" w:cs="Times New Roman"/>
          <w:sz w:val="21"/>
          <w:szCs w:val="21"/>
        </w:rPr>
        <w:t xml:space="preserve"> ascienda a un juez, este mantendrá su competencia para dictar la sentencia pendiente en aquellos procesos en los cuales hubiere evacuado o iniciado la evacuación de pruebas.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b/>
          <w:sz w:val="21"/>
          <w:szCs w:val="21"/>
        </w:rPr>
        <w:t>j) Búsqueda de la verdad</w:t>
      </w:r>
      <w:r w:rsidRPr="00E10347">
        <w:rPr>
          <w:rFonts w:ascii="Palatino Linotype" w:hAnsi="Palatino Linotype" w:cs="Times New Roman"/>
          <w:sz w:val="21"/>
          <w:szCs w:val="21"/>
        </w:rPr>
        <w:t xml:space="preserve">.  El juez deberá resolver las cuestiones planteadas con base en el elemento probatorio ofrecido por las partes y  admitido en el momento procesal oportuno, respetando el contradictorio. La prueba </w:t>
      </w:r>
      <w:r w:rsidRPr="00E10347">
        <w:rPr>
          <w:rFonts w:ascii="Palatino Linotype" w:hAnsi="Palatino Linotype" w:cs="Times New Roman"/>
          <w:bCs/>
          <w:sz w:val="21"/>
          <w:szCs w:val="21"/>
        </w:rPr>
        <w:t>suplementaria</w:t>
      </w:r>
      <w:r w:rsidRPr="00E10347">
        <w:rPr>
          <w:rFonts w:ascii="Palatino Linotype" w:hAnsi="Palatino Linotype" w:cs="Times New Roman"/>
          <w:sz w:val="21"/>
          <w:szCs w:val="21"/>
        </w:rPr>
        <w:t xml:space="preserve"> se admitirá </w:t>
      </w:r>
      <w:r w:rsidRPr="00E10347">
        <w:rPr>
          <w:rFonts w:ascii="Palatino Linotype" w:hAnsi="Palatino Linotype" w:cs="Times New Roman"/>
          <w:bCs/>
          <w:sz w:val="21"/>
          <w:szCs w:val="21"/>
        </w:rPr>
        <w:t>u ordenará</w:t>
      </w:r>
      <w:r w:rsidRPr="00E10347">
        <w:rPr>
          <w:rFonts w:ascii="Palatino Linotype" w:hAnsi="Palatino Linotype" w:cs="Times New Roman"/>
          <w:b/>
          <w:sz w:val="21"/>
          <w:szCs w:val="21"/>
        </w:rPr>
        <w:t xml:space="preserve"> </w:t>
      </w:r>
      <w:r w:rsidRPr="00E10347">
        <w:rPr>
          <w:rFonts w:ascii="Palatino Linotype" w:hAnsi="Palatino Linotype" w:cs="Times New Roman"/>
          <w:sz w:val="21"/>
          <w:szCs w:val="21"/>
        </w:rPr>
        <w:t>restrictivamente, según los parámetros que luego se dirán.  En general el juez deberá encontrar fórmulas justas para la búsqueda de la verdad dentro del marco de las pretensiones, el cuadro fáctico y probatorio formulado por las partes.</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b/>
          <w:sz w:val="21"/>
          <w:szCs w:val="21"/>
        </w:rPr>
        <w:t>k)</w:t>
      </w:r>
      <w:r w:rsidRPr="00E10347">
        <w:rPr>
          <w:rFonts w:ascii="Palatino Linotype" w:hAnsi="Palatino Linotype" w:cs="Times New Roman"/>
          <w:b/>
          <w:sz w:val="21"/>
          <w:szCs w:val="21"/>
        </w:rPr>
        <w:tab/>
        <w:t>Publicidad</w:t>
      </w:r>
      <w:r w:rsidRPr="00E10347">
        <w:rPr>
          <w:rFonts w:ascii="Palatino Linotype" w:hAnsi="Palatino Linotype" w:cs="Times New Roman"/>
          <w:sz w:val="21"/>
          <w:szCs w:val="21"/>
        </w:rPr>
        <w:t xml:space="preserve">.  El ciudadano tiene derecho de asistir a las audiencias, salvo cuando se disponga la privacidad de ellas por conciliación, seguridad, secreto comercial, información no divulgada, protección de la personalidad de alguna de las partes, por afectar el buen nombre, la honra de las personas,  incomunicabilidad de declarantes o porque se pueda causar </w:t>
      </w:r>
      <w:r w:rsidRPr="00E10347">
        <w:rPr>
          <w:rFonts w:ascii="Palatino Linotype" w:hAnsi="Palatino Linotype" w:cs="Times New Roman"/>
          <w:sz w:val="21"/>
          <w:szCs w:val="21"/>
        </w:rPr>
        <w:lastRenderedPageBreak/>
        <w:t>algún daño psicológico o moral a alguno de los comparecientes salvo que las partes acuerden lo contrario.</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b/>
          <w:sz w:val="21"/>
          <w:szCs w:val="21"/>
        </w:rPr>
        <w:t>l)</w:t>
      </w:r>
      <w:r w:rsidRPr="00E10347">
        <w:rPr>
          <w:rFonts w:ascii="Palatino Linotype" w:hAnsi="Palatino Linotype" w:cs="Times New Roman"/>
          <w:b/>
          <w:sz w:val="21"/>
          <w:szCs w:val="21"/>
        </w:rPr>
        <w:tab/>
        <w:t>Preclusión</w:t>
      </w:r>
      <w:r w:rsidRPr="00E10347">
        <w:rPr>
          <w:rFonts w:ascii="Palatino Linotype" w:hAnsi="Palatino Linotype" w:cs="Times New Roman"/>
          <w:sz w:val="21"/>
          <w:szCs w:val="21"/>
        </w:rPr>
        <w:t xml:space="preserve">.  Los actos y etapas procesales se cumplirán en el orden establecido por la ley, debiendo los jueces omitir los innecesarios o concentrar varios en uno solo según el caso, y una vez cumplidos o vencida una etapa no podrá reabrirse o repetirse, salvo lo previsto en actividad defectuosa </w:t>
      </w:r>
      <w:r w:rsidRPr="00E10347">
        <w:rPr>
          <w:rFonts w:ascii="Palatino Linotype" w:hAnsi="Palatino Linotype" w:cs="Times New Roman"/>
          <w:bCs/>
          <w:sz w:val="21"/>
          <w:szCs w:val="21"/>
        </w:rPr>
        <w:t>o en lo expresamente previsto por la ley</w:t>
      </w:r>
      <w:r w:rsidRPr="00E10347">
        <w:rPr>
          <w:rFonts w:ascii="Palatino Linotype" w:hAnsi="Palatino Linotype" w:cs="Times New Roman"/>
          <w:sz w:val="21"/>
          <w:szCs w:val="21"/>
        </w:rPr>
        <w:t>.</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b/>
          <w:sz w:val="21"/>
          <w:szCs w:val="21"/>
        </w:rPr>
        <w:t>m)</w:t>
      </w:r>
      <w:r w:rsidRPr="00E10347">
        <w:rPr>
          <w:rFonts w:ascii="Palatino Linotype" w:hAnsi="Palatino Linotype" w:cs="Times New Roman"/>
          <w:b/>
          <w:sz w:val="21"/>
          <w:szCs w:val="21"/>
        </w:rPr>
        <w:tab/>
        <w:t>Impugnación</w:t>
      </w:r>
      <w:r w:rsidRPr="00E10347">
        <w:rPr>
          <w:rFonts w:ascii="Palatino Linotype" w:hAnsi="Palatino Linotype" w:cs="Times New Roman"/>
          <w:sz w:val="21"/>
          <w:szCs w:val="21"/>
        </w:rPr>
        <w:t xml:space="preserve">.  Toda la sentencia final podrá ser impugnada ante un órgano jurisdiccional distinto de quien las dictó.  Las demás resoluciones </w:t>
      </w:r>
      <w:r w:rsidR="002A76CC">
        <w:rPr>
          <w:rFonts w:ascii="Palatino Linotype" w:hAnsi="Palatino Linotype" w:cs="Times New Roman"/>
          <w:sz w:val="21"/>
          <w:szCs w:val="21"/>
        </w:rPr>
        <w:t xml:space="preserve">solo </w:t>
      </w:r>
      <w:r w:rsidRPr="00E10347">
        <w:rPr>
          <w:rFonts w:ascii="Palatino Linotype" w:hAnsi="Palatino Linotype" w:cs="Times New Roman"/>
          <w:sz w:val="21"/>
          <w:szCs w:val="21"/>
        </w:rPr>
        <w:t>podrán impugnarse cuando se otorgue expresamente un recurso ordinario o extraordinario.</w:t>
      </w:r>
    </w:p>
    <w:p w:rsidR="002014CA"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b/>
          <w:sz w:val="21"/>
          <w:szCs w:val="21"/>
        </w:rPr>
        <w:t>n)</w:t>
      </w:r>
      <w:r w:rsidRPr="00E10347">
        <w:rPr>
          <w:rFonts w:ascii="Palatino Linotype" w:hAnsi="Palatino Linotype" w:cs="Times New Roman"/>
          <w:b/>
          <w:sz w:val="21"/>
          <w:szCs w:val="21"/>
        </w:rPr>
        <w:tab/>
        <w:t>Ejecución</w:t>
      </w:r>
      <w:r w:rsidRPr="00E10347">
        <w:rPr>
          <w:rFonts w:ascii="Palatino Linotype" w:hAnsi="Palatino Linotype" w:cs="Times New Roman"/>
          <w:sz w:val="21"/>
          <w:szCs w:val="21"/>
        </w:rPr>
        <w:t xml:space="preserve">.  Toda sentencia deberá ejecutarse fielmente, con autoridad y eficacia, adecuando sus efectos al momento </w:t>
      </w:r>
      <w:r w:rsidRPr="00E10347">
        <w:rPr>
          <w:rFonts w:ascii="Palatino Linotype" w:hAnsi="Palatino Linotype" w:cs="Times New Roman"/>
          <w:bCs/>
          <w:sz w:val="21"/>
          <w:szCs w:val="21"/>
        </w:rPr>
        <w:t xml:space="preserve">en que </w:t>
      </w:r>
      <w:r w:rsidRPr="00E10347">
        <w:rPr>
          <w:rFonts w:ascii="Palatino Linotype" w:hAnsi="Palatino Linotype" w:cs="Times New Roman"/>
          <w:sz w:val="21"/>
          <w:szCs w:val="21"/>
        </w:rPr>
        <w:t xml:space="preserve">deba cumplirse; incluso para quienes no formaren parte del proceso, cuando se trate de intereses comunes, colectivos,  difusos, de idéntica situación o </w:t>
      </w:r>
      <w:r w:rsidRPr="00E10347">
        <w:rPr>
          <w:rFonts w:ascii="Palatino Linotype" w:hAnsi="Palatino Linotype" w:cs="Times New Roman"/>
          <w:bCs/>
          <w:sz w:val="21"/>
          <w:szCs w:val="21"/>
        </w:rPr>
        <w:t>de</w:t>
      </w:r>
      <w:r w:rsidRPr="00E10347">
        <w:rPr>
          <w:rFonts w:ascii="Palatino Linotype" w:hAnsi="Palatino Linotype" w:cs="Times New Roman"/>
          <w:sz w:val="21"/>
          <w:szCs w:val="21"/>
        </w:rPr>
        <w:t xml:space="preserve"> personas que directa o indirectamente les afecte. </w:t>
      </w:r>
    </w:p>
    <w:p w:rsidR="008A02E9" w:rsidRPr="00E10347" w:rsidRDefault="008A02E9" w:rsidP="008A02E9">
      <w:pPr>
        <w:pStyle w:val="Sinespaciado"/>
        <w:ind w:left="851" w:right="851" w:firstLine="709"/>
        <w:jc w:val="both"/>
        <w:rPr>
          <w:rFonts w:ascii="Palatino Linotype" w:hAnsi="Palatino Linotype" w:cs="Times New Roman"/>
          <w:b/>
          <w:sz w:val="21"/>
          <w:szCs w:val="21"/>
        </w:rPr>
      </w:pP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El orden de la clasificación de los principios del Código Modelo va a encontrar en la obra de los redactores del  Nuevo Código una serie de alteraciones inexplicables. </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a)  En vez de colocar en los primeros lugares los principios de la oralidad como lo hizo el modelo en el 1.3.a). 1.3.b) y 1.3.c)  los colocó en los últimos lugares como 2.6, 2.7 y 2.8. </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rPr>
        <w:t>Este punto requiere una aclaración de los redactores: ¿Porqué invirtieron el orden establecido en el Modelo?  Pues a la vista de cualquier neófito podría interpretarse una vocación no muy consciente de crear el verdadero Sistema de la Oralidad, sino uno cualquiera donde el principio de la oralidad no debía ser el primero, luego seguidos por los consustanciales.</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b)  Otra señal que salta a la vista fue la eliminación de otros principios consagrados en el Modelo y eliminados del Codex.  Y se les vuelve a formular el interrogante: ¿Qué fundamento tuvieron para eliminar del Código principios como los de (1) celeridad, (2) carga de la prueba, (3) contradictorio, (4) identidad física del Juzgador, (5) búsqueda de la verdad real?  </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Los principios cercenados, al igual como ocurre en muchos otros aspectos específicos, no pueden ser consecuencia de un error involuntario, de un lapsus, o de carecer de importancia, pues evidentemente se trató de un acto consciente, injustificable, ilógico, incongruente con el conocimiento de quienes aceptaron la tarea de redactar un Código Procesal Civil Nuevo bajo los lineamientos del Modelo.</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Si la intención fue desdibujar el Sistema de la Oralidad lo lograron, y, así como se censura en este breve comentario, se les juzgará salvo que mediara una explicación clara en los libros que todos esperamos de los Ilustres redactores. </w:t>
      </w:r>
    </w:p>
    <w:p w:rsidR="002014CA" w:rsidRPr="00E10347" w:rsidRDefault="002014CA" w:rsidP="008A02E9">
      <w:pPr>
        <w:pStyle w:val="Sinespaciado"/>
        <w:ind w:left="851" w:right="851" w:firstLine="709"/>
        <w:jc w:val="center"/>
        <w:rPr>
          <w:rFonts w:ascii="Palatino Linotype" w:hAnsi="Palatino Linotype" w:cs="Times New Roman"/>
          <w:b/>
          <w:sz w:val="21"/>
          <w:szCs w:val="21"/>
        </w:rPr>
      </w:pPr>
      <w:r w:rsidRPr="00E10347">
        <w:rPr>
          <w:rFonts w:ascii="Palatino Linotype" w:hAnsi="Palatino Linotype" w:cs="Times New Roman"/>
          <w:b/>
          <w:sz w:val="21"/>
          <w:szCs w:val="21"/>
        </w:rPr>
        <w:t>NUEVO CÓDIGO PROCESAL CIVIL</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"ARTÍCULO 2.- Principios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2.1 </w:t>
      </w:r>
      <w:r w:rsidRPr="00E10347">
        <w:rPr>
          <w:rFonts w:ascii="Palatino Linotype" w:hAnsi="Palatino Linotype" w:cs="Times New Roman"/>
          <w:b/>
          <w:sz w:val="21"/>
          <w:szCs w:val="21"/>
        </w:rPr>
        <w:t>Igualdad procesal</w:t>
      </w:r>
      <w:r w:rsidRPr="00E10347">
        <w:rPr>
          <w:rFonts w:ascii="Palatino Linotype" w:hAnsi="Palatino Linotype" w:cs="Times New Roman"/>
          <w:sz w:val="21"/>
          <w:szCs w:val="21"/>
        </w:rPr>
        <w:t xml:space="preserve">. El tribunal deberá mantener la igualdad de las partes respetando el debido proceso e informando por igual a todas las partes de las actividades procesales de interés para no causar indefensión.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2.2 </w:t>
      </w:r>
      <w:r w:rsidRPr="00E10347">
        <w:rPr>
          <w:rFonts w:ascii="Palatino Linotype" w:hAnsi="Palatino Linotype" w:cs="Times New Roman"/>
          <w:b/>
          <w:sz w:val="21"/>
          <w:szCs w:val="21"/>
        </w:rPr>
        <w:t>Instrumentalidad</w:t>
      </w:r>
      <w:r w:rsidRPr="00E10347">
        <w:rPr>
          <w:rFonts w:ascii="Palatino Linotype" w:hAnsi="Palatino Linotype" w:cs="Times New Roman"/>
          <w:sz w:val="21"/>
          <w:szCs w:val="21"/>
        </w:rPr>
        <w:t xml:space="preserve">. Al aplicar la norma procesal se deberá tomar en cuenta que su finalidad es dar aplicación a las normas de fondo.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2.3 </w:t>
      </w:r>
      <w:r w:rsidRPr="00E10347">
        <w:rPr>
          <w:rFonts w:ascii="Palatino Linotype" w:hAnsi="Palatino Linotype" w:cs="Times New Roman"/>
          <w:b/>
          <w:sz w:val="21"/>
          <w:szCs w:val="21"/>
        </w:rPr>
        <w:t>Buena fe procesal</w:t>
      </w:r>
      <w:r w:rsidRPr="00E10347">
        <w:rPr>
          <w:rFonts w:ascii="Palatino Linotype" w:hAnsi="Palatino Linotype" w:cs="Times New Roman"/>
          <w:sz w:val="21"/>
          <w:szCs w:val="21"/>
        </w:rPr>
        <w:t xml:space="preserve">. Las partes, sus representantes o asistentes y, en general, todos los partícipes del proceso, ajustarán su conducta a la buena fe, al respeto, a la lealtad y la probidad. El tribunal deberá tomar, a petición de parte o de oficio, todas las medidas necesarias que resulten de la ley o de sus poderes de dirección, para prevenir o sancionar cualquier acción u omisión contrarias al orden o a los principios del proceso, impidiendo el fraude procesal, la colusión y cualquier otra conducta ilícita o dilatoria.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2.4 </w:t>
      </w:r>
      <w:r w:rsidRPr="00E10347">
        <w:rPr>
          <w:rFonts w:ascii="Palatino Linotype" w:hAnsi="Palatino Linotype" w:cs="Times New Roman"/>
          <w:b/>
          <w:sz w:val="21"/>
          <w:szCs w:val="21"/>
        </w:rPr>
        <w:t>Dispositivo</w:t>
      </w:r>
      <w:r w:rsidRPr="00E10347">
        <w:rPr>
          <w:rFonts w:ascii="Palatino Linotype" w:hAnsi="Palatino Linotype" w:cs="Times New Roman"/>
          <w:sz w:val="21"/>
          <w:szCs w:val="21"/>
        </w:rPr>
        <w:t xml:space="preserve">. La iniciación del proceso incumbe exclusivamente a los interesados, quienes podrán terminarlo de forma unilateral y bilateral, de acuerdo con lo regulado por la ley. Las partes podrán disponer de sus derechos procesales, siempre que no sean indisponibles. A nadie se puede obligar a formular una demanda, salvo disposición legal en contrario.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2.5 </w:t>
      </w:r>
      <w:r w:rsidRPr="00E10347">
        <w:rPr>
          <w:rFonts w:ascii="Palatino Linotype" w:hAnsi="Palatino Linotype" w:cs="Times New Roman"/>
          <w:b/>
          <w:sz w:val="21"/>
          <w:szCs w:val="21"/>
        </w:rPr>
        <w:t>Impulso procesal</w:t>
      </w:r>
      <w:r w:rsidRPr="00E10347">
        <w:rPr>
          <w:rFonts w:ascii="Palatino Linotype" w:hAnsi="Palatino Linotype" w:cs="Times New Roman"/>
          <w:sz w:val="21"/>
          <w:szCs w:val="21"/>
        </w:rPr>
        <w:t xml:space="preserve">. Promovido el proceso, las partes deberán impulsarlo. Los tribunales adoptarán de oficio, con amplias facultades, todas las disposiciones necesarias para su </w:t>
      </w:r>
      <w:r w:rsidRPr="00E10347">
        <w:rPr>
          <w:rFonts w:ascii="Palatino Linotype" w:hAnsi="Palatino Linotype" w:cs="Times New Roman"/>
          <w:sz w:val="21"/>
          <w:szCs w:val="21"/>
        </w:rPr>
        <w:lastRenderedPageBreak/>
        <w:t xml:space="preserve">avance y finalización. Por todos los medios se evitará la paralización y se impulsará el procedimiento con la mayor celeridad posible. En todo caso, se aplicará el principio pro sentencia.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2.6 </w:t>
      </w:r>
      <w:r w:rsidRPr="00E10347">
        <w:rPr>
          <w:rFonts w:ascii="Palatino Linotype" w:hAnsi="Palatino Linotype" w:cs="Times New Roman"/>
          <w:b/>
          <w:sz w:val="21"/>
          <w:szCs w:val="21"/>
        </w:rPr>
        <w:t>Oralidad.</w:t>
      </w:r>
      <w:r w:rsidRPr="00E10347">
        <w:rPr>
          <w:rFonts w:ascii="Palatino Linotype" w:hAnsi="Palatino Linotype" w:cs="Times New Roman"/>
          <w:sz w:val="21"/>
          <w:szCs w:val="21"/>
        </w:rPr>
        <w:t xml:space="preserve"> El proceso deberá ajustarse al principio de oralidad. La expresión oral será el medio fundamental de comunicación. Solo serán escritos, ya sea en soporte físico o tecnológico, aquellos actos autorizados expresamente por la ley y los que por su naturaleza deban constar de esa forma. En caso de duda entre la aplicación de la oralidad y la escritura, el tribunal escogerá siempre la oralidad.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2.7 </w:t>
      </w:r>
      <w:r w:rsidRPr="00E10347">
        <w:rPr>
          <w:rFonts w:ascii="Palatino Linotype" w:hAnsi="Palatino Linotype" w:cs="Times New Roman"/>
          <w:b/>
          <w:sz w:val="21"/>
          <w:szCs w:val="21"/>
        </w:rPr>
        <w:t>Inmediación</w:t>
      </w:r>
      <w:r w:rsidRPr="00E10347">
        <w:rPr>
          <w:rFonts w:ascii="Palatino Linotype" w:hAnsi="Palatino Linotype" w:cs="Times New Roman"/>
          <w:sz w:val="21"/>
          <w:szCs w:val="21"/>
        </w:rPr>
        <w:t xml:space="preserve">. Todas las audiencias serán realizadas por el tribunal que conoce del proceso, salvo disposición legal en contrario. Las sentencias deberán dictarse por el tribunal ante el cual se practicaron todas las pruebas. La utilización de medios tecnológicos que garanticen la relación directa con los elementos del proceso no implica ruptura del principio de inmediación.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2.8 </w:t>
      </w:r>
      <w:r w:rsidRPr="00E10347">
        <w:rPr>
          <w:rFonts w:ascii="Palatino Linotype" w:hAnsi="Palatino Linotype" w:cs="Times New Roman"/>
          <w:b/>
          <w:sz w:val="21"/>
          <w:szCs w:val="21"/>
        </w:rPr>
        <w:t>Concentración</w:t>
      </w:r>
      <w:r w:rsidRPr="00E10347">
        <w:rPr>
          <w:rFonts w:ascii="Palatino Linotype" w:hAnsi="Palatino Linotype" w:cs="Times New Roman"/>
          <w:sz w:val="21"/>
          <w:szCs w:val="21"/>
        </w:rPr>
        <w:t xml:space="preserve">. Toda la actividad procesal deberá desarrollarse en la menor cantidad de actos y tiempo posible. Las audiencias se celebrarán en el menor número de sesiones. Su posposición, interrupción o suspensión solo es procedente por causa justificada a criterio del tribunal y siempre que no se contraríen las disposiciones de este Código".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2.9 </w:t>
      </w:r>
      <w:r w:rsidRPr="00E10347">
        <w:rPr>
          <w:rFonts w:ascii="Palatino Linotype" w:hAnsi="Palatino Linotype" w:cs="Times New Roman"/>
          <w:b/>
          <w:sz w:val="21"/>
          <w:szCs w:val="21"/>
        </w:rPr>
        <w:t>Preclusión</w:t>
      </w:r>
      <w:r w:rsidRPr="00E10347">
        <w:rPr>
          <w:rFonts w:ascii="Palatino Linotype" w:hAnsi="Palatino Linotype" w:cs="Times New Roman"/>
          <w:sz w:val="21"/>
          <w:szCs w:val="21"/>
        </w:rPr>
        <w:t xml:space="preserve">. Los actos y las etapas procesales se cumplirán en el orden establecido por la ley. Una vez cumplidos o vencida una etapa, salvo lo expresamente previsto por este Código, no podrán reabrirse o repetirse.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2.10 </w:t>
      </w:r>
      <w:r w:rsidRPr="00E10347">
        <w:rPr>
          <w:rFonts w:ascii="Palatino Linotype" w:hAnsi="Palatino Linotype" w:cs="Times New Roman"/>
          <w:b/>
          <w:sz w:val="21"/>
          <w:szCs w:val="21"/>
        </w:rPr>
        <w:t>Publicidad</w:t>
      </w:r>
      <w:r w:rsidRPr="00E10347">
        <w:rPr>
          <w:rFonts w:ascii="Palatino Linotype" w:hAnsi="Palatino Linotype" w:cs="Times New Roman"/>
          <w:sz w:val="21"/>
          <w:szCs w:val="21"/>
        </w:rPr>
        <w:t>. El proceso será de conocimiento público, salvo que expresamente la ley disponga lo contrario o el tribunal lo decida de oficio o a solicitud de parte, cuando por circunstancias especiales se puedan perjudicar los intereses de la justicia, los intereses privados de las partes o los derechos fundamentales de los sujetos procesales".</w:t>
      </w:r>
    </w:p>
    <w:p w:rsidR="008A02E9" w:rsidRDefault="008A02E9" w:rsidP="00E10347">
      <w:pPr>
        <w:pStyle w:val="Sinespaciado"/>
        <w:ind w:firstLine="709"/>
        <w:jc w:val="both"/>
        <w:rPr>
          <w:rFonts w:ascii="Palatino Linotype" w:hAnsi="Palatino Linotype" w:cs="Times New Roman"/>
          <w:sz w:val="21"/>
          <w:szCs w:val="21"/>
        </w:rPr>
      </w:pP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Como forma de no dejar la más mínima duda de los principios y actuaciones incompatibles con el Sistema de la Oralidad.  El Modelo introdujo los de la escritura, inquisitivo, mediación, formalidades excesivas y denegación injustificada de justicia, en aspectos específicos.</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Pero el </w:t>
      </w:r>
      <w:r w:rsidRPr="00E10347">
        <w:rPr>
          <w:rFonts w:ascii="Palatino Linotype" w:hAnsi="Palatino Linotype" w:cs="Times New Roman"/>
          <w:b/>
          <w:i/>
          <w:sz w:val="21"/>
          <w:szCs w:val="21"/>
        </w:rPr>
        <w:t>Codex</w:t>
      </w:r>
      <w:r w:rsidRPr="00E10347">
        <w:rPr>
          <w:rFonts w:ascii="Palatino Linotype" w:hAnsi="Palatino Linotype" w:cs="Times New Roman"/>
          <w:sz w:val="21"/>
          <w:szCs w:val="21"/>
        </w:rPr>
        <w:t>, conscientemente los removió, apartó, eludió, esquivó con el evidente fin de no mencionarlos siquiera.  Esta determinación más que sorpresa causa alarma porque se comienza a percibir una cierta negación a la oralidad, una especie de aceptación de la escritura, porque los denominados incompatibles, no se incorporaron como forma de introducir normas ejemplarizantes, sino verdaderas y drásticas sanciones al declararlos absolutamente nulos.</w:t>
      </w:r>
    </w:p>
    <w:p w:rsidR="002014CA" w:rsidRPr="00E10347" w:rsidRDefault="002014CA" w:rsidP="008A02E9">
      <w:pPr>
        <w:pStyle w:val="Sinespaciado"/>
        <w:ind w:left="851" w:right="851" w:firstLine="709"/>
        <w:jc w:val="center"/>
        <w:rPr>
          <w:rFonts w:ascii="Palatino Linotype" w:hAnsi="Palatino Linotype" w:cs="Times New Roman"/>
          <w:b/>
          <w:sz w:val="21"/>
          <w:szCs w:val="21"/>
        </w:rPr>
      </w:pPr>
      <w:r w:rsidRPr="00E10347">
        <w:rPr>
          <w:rFonts w:ascii="Palatino Linotype" w:hAnsi="Palatino Linotype" w:cs="Times New Roman"/>
          <w:b/>
          <w:sz w:val="21"/>
          <w:szCs w:val="21"/>
        </w:rPr>
        <w:t>CÓDIGO PROCESAL GENERAL</w:t>
      </w:r>
    </w:p>
    <w:p w:rsidR="002014CA" w:rsidRPr="00E10347" w:rsidRDefault="002014CA" w:rsidP="008A02E9">
      <w:pPr>
        <w:pStyle w:val="Sinespaciado"/>
        <w:ind w:left="851" w:right="851" w:firstLine="709"/>
        <w:jc w:val="both"/>
        <w:rPr>
          <w:rFonts w:ascii="Palatino Linotype" w:hAnsi="Palatino Linotype" w:cs="Times New Roman"/>
          <w:b/>
          <w:sz w:val="21"/>
          <w:szCs w:val="21"/>
          <w:u w:val="single"/>
        </w:rPr>
      </w:pPr>
      <w:r w:rsidRPr="00E10347">
        <w:rPr>
          <w:rFonts w:ascii="Palatino Linotype" w:hAnsi="Palatino Linotype" w:cs="Times New Roman"/>
          <w:b/>
          <w:sz w:val="21"/>
          <w:szCs w:val="21"/>
        </w:rPr>
        <w:t>ARTICULO 2.  Actuaciones incompatibles.</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b/>
          <w:sz w:val="21"/>
          <w:szCs w:val="21"/>
        </w:rPr>
        <w:t>Sanción.</w:t>
      </w:r>
      <w:r w:rsidRPr="00E10347">
        <w:rPr>
          <w:rFonts w:ascii="Palatino Linotype" w:hAnsi="Palatino Linotype" w:cs="Times New Roman"/>
          <w:sz w:val="21"/>
          <w:szCs w:val="21"/>
        </w:rPr>
        <w:t xml:space="preserve">  Todos los actos procesales cumplidos a través de principios incompatibles con este sistema procesal serán absolutamente nulos.  </w:t>
      </w:r>
      <w:r w:rsidRPr="00E10347">
        <w:rPr>
          <w:rFonts w:ascii="Palatino Linotype" w:hAnsi="Palatino Linotype" w:cs="Times New Roman"/>
          <w:bCs/>
          <w:sz w:val="21"/>
          <w:szCs w:val="21"/>
        </w:rPr>
        <w:t>Son incompatibles entre otros</w:t>
      </w:r>
      <w:r w:rsidRPr="00E10347">
        <w:rPr>
          <w:rFonts w:ascii="Palatino Linotype" w:hAnsi="Palatino Linotype" w:cs="Times New Roman"/>
          <w:sz w:val="21"/>
          <w:szCs w:val="21"/>
        </w:rPr>
        <w:t xml:space="preserve"> los siguientes:</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b/>
          <w:sz w:val="21"/>
          <w:szCs w:val="21"/>
        </w:rPr>
        <w:t>Escritura</w:t>
      </w:r>
      <w:r w:rsidRPr="00E10347">
        <w:rPr>
          <w:rFonts w:ascii="Palatino Linotype" w:hAnsi="Palatino Linotype" w:cs="Times New Roman"/>
          <w:sz w:val="21"/>
          <w:szCs w:val="21"/>
        </w:rPr>
        <w:t>.  No podrá ser escrita</w:t>
      </w:r>
      <w:r w:rsidRPr="00E10347">
        <w:rPr>
          <w:rFonts w:ascii="Palatino Linotype" w:hAnsi="Palatino Linotype" w:cs="Times New Roman"/>
          <w:bCs/>
          <w:sz w:val="21"/>
          <w:szCs w:val="21"/>
        </w:rPr>
        <w:t xml:space="preserve">, entre otras, </w:t>
      </w:r>
      <w:r w:rsidRPr="00E10347">
        <w:rPr>
          <w:rFonts w:ascii="Palatino Linotype" w:hAnsi="Palatino Linotype" w:cs="Times New Roman"/>
          <w:sz w:val="21"/>
          <w:szCs w:val="21"/>
        </w:rPr>
        <w:t xml:space="preserve">la recepción de pruebas, las conclusiones, la vista en los recursos, los recursos en las audiencias y en general las </w:t>
      </w:r>
      <w:r w:rsidRPr="00E10347">
        <w:rPr>
          <w:rFonts w:ascii="Palatino Linotype" w:hAnsi="Palatino Linotype" w:cs="Times New Roman"/>
          <w:bCs/>
          <w:sz w:val="21"/>
          <w:szCs w:val="21"/>
        </w:rPr>
        <w:t>actuaciones</w:t>
      </w:r>
      <w:r w:rsidRPr="00E10347">
        <w:rPr>
          <w:rFonts w:ascii="Palatino Linotype" w:hAnsi="Palatino Linotype" w:cs="Times New Roman"/>
          <w:b/>
          <w:sz w:val="21"/>
          <w:szCs w:val="21"/>
        </w:rPr>
        <w:t xml:space="preserve"> </w:t>
      </w:r>
      <w:r w:rsidRPr="00E10347">
        <w:rPr>
          <w:rFonts w:ascii="Palatino Linotype" w:hAnsi="Palatino Linotype" w:cs="Times New Roman"/>
          <w:sz w:val="21"/>
          <w:szCs w:val="21"/>
        </w:rPr>
        <w:t>que se señalan en las diversas etapas de las audiencias.</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b/>
          <w:sz w:val="21"/>
          <w:szCs w:val="21"/>
        </w:rPr>
        <w:t>Inquisitivo</w:t>
      </w:r>
      <w:r w:rsidRPr="00E10347">
        <w:rPr>
          <w:rFonts w:ascii="Palatino Linotype" w:hAnsi="Palatino Linotype" w:cs="Times New Roman"/>
          <w:sz w:val="21"/>
          <w:szCs w:val="21"/>
        </w:rPr>
        <w:t xml:space="preserve">.  Los jueces no podrán alterar los resultados de los juicios, sustituyendo la voluntad de las partes </w:t>
      </w:r>
      <w:r w:rsidRPr="00E10347">
        <w:rPr>
          <w:rFonts w:ascii="Palatino Linotype" w:hAnsi="Palatino Linotype" w:cs="Times New Roman"/>
          <w:bCs/>
          <w:sz w:val="21"/>
          <w:szCs w:val="21"/>
        </w:rPr>
        <w:t>en las pretensiones,</w:t>
      </w:r>
      <w:r w:rsidRPr="00E10347">
        <w:rPr>
          <w:rFonts w:ascii="Palatino Linotype" w:hAnsi="Palatino Linotype" w:cs="Times New Roman"/>
          <w:b/>
          <w:sz w:val="21"/>
          <w:szCs w:val="21"/>
        </w:rPr>
        <w:t xml:space="preserve"> </w:t>
      </w:r>
      <w:r w:rsidRPr="00E10347">
        <w:rPr>
          <w:rFonts w:ascii="Palatino Linotype" w:hAnsi="Palatino Linotype" w:cs="Times New Roman"/>
          <w:bCs/>
          <w:sz w:val="21"/>
          <w:szCs w:val="21"/>
        </w:rPr>
        <w:t>defensas</w:t>
      </w:r>
      <w:r w:rsidRPr="00E10347">
        <w:rPr>
          <w:rFonts w:ascii="Palatino Linotype" w:hAnsi="Palatino Linotype" w:cs="Times New Roman"/>
          <w:b/>
          <w:sz w:val="21"/>
          <w:szCs w:val="21"/>
        </w:rPr>
        <w:t xml:space="preserve"> </w:t>
      </w:r>
      <w:r w:rsidRPr="00E10347">
        <w:rPr>
          <w:rFonts w:ascii="Palatino Linotype" w:hAnsi="Palatino Linotype" w:cs="Times New Roman"/>
          <w:sz w:val="21"/>
          <w:szCs w:val="21"/>
        </w:rPr>
        <w:t xml:space="preserve">o cuadro fáctico o probatorio fijado por ellas, </w:t>
      </w:r>
      <w:r w:rsidRPr="00E10347">
        <w:rPr>
          <w:rFonts w:ascii="Palatino Linotype" w:hAnsi="Palatino Linotype" w:cs="Times New Roman"/>
          <w:bCs/>
          <w:sz w:val="21"/>
          <w:szCs w:val="21"/>
        </w:rPr>
        <w:t>salvo la prueba</w:t>
      </w:r>
      <w:r w:rsidRPr="00E10347">
        <w:rPr>
          <w:rFonts w:ascii="Palatino Linotype" w:hAnsi="Palatino Linotype" w:cs="Times New Roman"/>
          <w:b/>
          <w:sz w:val="21"/>
          <w:szCs w:val="21"/>
        </w:rPr>
        <w:t xml:space="preserve"> </w:t>
      </w:r>
      <w:r w:rsidRPr="00E10347">
        <w:rPr>
          <w:rFonts w:ascii="Palatino Linotype" w:hAnsi="Palatino Linotype" w:cs="Times New Roman"/>
          <w:bCs/>
          <w:sz w:val="21"/>
          <w:szCs w:val="21"/>
        </w:rPr>
        <w:t>suplementaria,</w:t>
      </w:r>
      <w:r w:rsidRPr="00E10347">
        <w:rPr>
          <w:rFonts w:ascii="Palatino Linotype" w:hAnsi="Palatino Linotype" w:cs="Times New Roman"/>
          <w:b/>
          <w:sz w:val="21"/>
          <w:szCs w:val="21"/>
        </w:rPr>
        <w:t xml:space="preserve"> </w:t>
      </w:r>
      <w:r w:rsidRPr="00E10347">
        <w:rPr>
          <w:rFonts w:ascii="Palatino Linotype" w:hAnsi="Palatino Linotype" w:cs="Times New Roman"/>
          <w:sz w:val="21"/>
          <w:szCs w:val="21"/>
        </w:rPr>
        <w:t xml:space="preserve">o creando etapas procesales o cargas probatorias en perjuicio de una parte.  Tampoco podrán ordenar o evacuar pruebas, o considerarlas para establecer los hechos probados o no probados, si no se </w:t>
      </w:r>
      <w:r w:rsidRPr="00E10347">
        <w:rPr>
          <w:rFonts w:ascii="Palatino Linotype" w:hAnsi="Palatino Linotype" w:cs="Times New Roman"/>
          <w:bCs/>
          <w:sz w:val="21"/>
          <w:szCs w:val="21"/>
        </w:rPr>
        <w:t>evacuaron</w:t>
      </w:r>
      <w:r w:rsidRPr="00E10347">
        <w:rPr>
          <w:rFonts w:ascii="Palatino Linotype" w:hAnsi="Palatino Linotype" w:cs="Times New Roman"/>
          <w:sz w:val="21"/>
          <w:szCs w:val="21"/>
        </w:rPr>
        <w:t xml:space="preserve"> en el momento oportuno </w:t>
      </w:r>
      <w:r w:rsidRPr="00E10347">
        <w:rPr>
          <w:rFonts w:ascii="Palatino Linotype" w:hAnsi="Palatino Linotype" w:cs="Times New Roman"/>
          <w:bCs/>
          <w:sz w:val="21"/>
          <w:szCs w:val="21"/>
        </w:rPr>
        <w:t>mediante</w:t>
      </w:r>
      <w:r w:rsidRPr="00E10347">
        <w:rPr>
          <w:rFonts w:ascii="Palatino Linotype" w:hAnsi="Palatino Linotype" w:cs="Times New Roman"/>
          <w:sz w:val="21"/>
          <w:szCs w:val="21"/>
        </w:rPr>
        <w:t xml:space="preserve"> el debido proceso, </w:t>
      </w:r>
      <w:r w:rsidRPr="00E10347">
        <w:rPr>
          <w:rFonts w:ascii="Palatino Linotype" w:hAnsi="Palatino Linotype" w:cs="Times New Roman"/>
          <w:bCs/>
          <w:sz w:val="21"/>
          <w:szCs w:val="21"/>
        </w:rPr>
        <w:t>para la</w:t>
      </w:r>
      <w:r w:rsidRPr="00E10347">
        <w:rPr>
          <w:rFonts w:ascii="Palatino Linotype" w:hAnsi="Palatino Linotype" w:cs="Times New Roman"/>
          <w:b/>
          <w:sz w:val="21"/>
          <w:szCs w:val="21"/>
        </w:rPr>
        <w:t xml:space="preserve">  </w:t>
      </w:r>
      <w:r w:rsidRPr="00E10347">
        <w:rPr>
          <w:rFonts w:ascii="Palatino Linotype" w:hAnsi="Palatino Linotype" w:cs="Times New Roman"/>
          <w:sz w:val="21"/>
          <w:szCs w:val="21"/>
        </w:rPr>
        <w:t xml:space="preserve">defensa </w:t>
      </w:r>
      <w:r w:rsidRPr="00E10347">
        <w:rPr>
          <w:rFonts w:ascii="Palatino Linotype" w:hAnsi="Palatino Linotype" w:cs="Times New Roman"/>
          <w:bCs/>
          <w:sz w:val="21"/>
          <w:szCs w:val="21"/>
        </w:rPr>
        <w:t>o la</w:t>
      </w:r>
      <w:r w:rsidRPr="00E10347">
        <w:rPr>
          <w:rFonts w:ascii="Palatino Linotype" w:hAnsi="Palatino Linotype" w:cs="Times New Roman"/>
          <w:b/>
          <w:sz w:val="21"/>
          <w:szCs w:val="21"/>
        </w:rPr>
        <w:t xml:space="preserve"> </w:t>
      </w:r>
      <w:r w:rsidRPr="00E10347">
        <w:rPr>
          <w:rFonts w:ascii="Palatino Linotype" w:hAnsi="Palatino Linotype" w:cs="Times New Roman"/>
          <w:bCs/>
          <w:sz w:val="21"/>
          <w:szCs w:val="21"/>
        </w:rPr>
        <w:t>c</w:t>
      </w:r>
      <w:r w:rsidRPr="00E10347">
        <w:rPr>
          <w:rFonts w:ascii="Palatino Linotype" w:hAnsi="Palatino Linotype" w:cs="Times New Roman"/>
          <w:sz w:val="21"/>
          <w:szCs w:val="21"/>
        </w:rPr>
        <w:t>ontraprueba.</w:t>
      </w:r>
    </w:p>
    <w:p w:rsidR="002014CA" w:rsidRPr="00E10347" w:rsidRDefault="002014CA" w:rsidP="008A02E9">
      <w:pPr>
        <w:pStyle w:val="Sinespaciado"/>
        <w:ind w:left="851" w:right="851" w:firstLine="709"/>
        <w:jc w:val="both"/>
        <w:rPr>
          <w:rFonts w:ascii="Palatino Linotype" w:hAnsi="Palatino Linotype" w:cs="Times New Roman"/>
          <w:b/>
          <w:sz w:val="21"/>
          <w:szCs w:val="21"/>
        </w:rPr>
      </w:pPr>
      <w:r w:rsidRPr="00E10347">
        <w:rPr>
          <w:rFonts w:ascii="Palatino Linotype" w:hAnsi="Palatino Linotype" w:cs="Times New Roman"/>
          <w:bCs/>
          <w:iCs/>
          <w:sz w:val="21"/>
          <w:szCs w:val="21"/>
        </w:rPr>
        <w:t xml:space="preserve">2.4 </w:t>
      </w:r>
      <w:r w:rsidRPr="00E10347">
        <w:rPr>
          <w:rFonts w:ascii="Palatino Linotype" w:hAnsi="Palatino Linotype" w:cs="Times New Roman"/>
          <w:b/>
          <w:sz w:val="21"/>
          <w:szCs w:val="21"/>
        </w:rPr>
        <w:t xml:space="preserve">Mediación.  </w:t>
      </w:r>
      <w:r w:rsidRPr="00E10347">
        <w:rPr>
          <w:rFonts w:ascii="Palatino Linotype" w:hAnsi="Palatino Linotype" w:cs="Times New Roman"/>
          <w:sz w:val="21"/>
          <w:szCs w:val="21"/>
        </w:rPr>
        <w:t xml:space="preserve">En la recepción de pruebas, o en actos propios de las audiencias, no podrá recurrirse a otras autoridades judiciales </w:t>
      </w:r>
      <w:r w:rsidRPr="00E10347">
        <w:rPr>
          <w:rFonts w:ascii="Palatino Linotype" w:hAnsi="Palatino Linotype" w:cs="Times New Roman"/>
          <w:bCs/>
          <w:sz w:val="21"/>
          <w:szCs w:val="21"/>
        </w:rPr>
        <w:t>y</w:t>
      </w:r>
      <w:r w:rsidRPr="00E10347">
        <w:rPr>
          <w:rFonts w:ascii="Palatino Linotype" w:hAnsi="Palatino Linotype" w:cs="Times New Roman"/>
          <w:sz w:val="21"/>
          <w:szCs w:val="21"/>
        </w:rPr>
        <w:t xml:space="preserve"> tampoco podrán dictar sentencia los jueces si no estuvieron en la recepción de pruebas.  El juez competente podrá trasladarse a otros lugares, en todo el país, cuando así lo requiera para la evacuación de una prueba importante</w:t>
      </w:r>
      <w:r w:rsidRPr="00E10347">
        <w:rPr>
          <w:rFonts w:ascii="Palatino Linotype" w:hAnsi="Palatino Linotype" w:cs="Times New Roman"/>
          <w:bCs/>
          <w:sz w:val="21"/>
          <w:szCs w:val="21"/>
        </w:rPr>
        <w:t>.</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bCs/>
          <w:iCs/>
          <w:sz w:val="21"/>
          <w:szCs w:val="21"/>
        </w:rPr>
        <w:lastRenderedPageBreak/>
        <w:t xml:space="preserve">2.5 </w:t>
      </w:r>
      <w:r w:rsidRPr="00E10347">
        <w:rPr>
          <w:rFonts w:ascii="Palatino Linotype" w:hAnsi="Palatino Linotype" w:cs="Times New Roman"/>
          <w:b/>
          <w:sz w:val="21"/>
          <w:szCs w:val="21"/>
        </w:rPr>
        <w:t>Formalidad excesiva</w:t>
      </w:r>
      <w:r w:rsidRPr="00E10347">
        <w:rPr>
          <w:rFonts w:ascii="Palatino Linotype" w:hAnsi="Palatino Linotype" w:cs="Times New Roman"/>
          <w:sz w:val="21"/>
          <w:szCs w:val="21"/>
        </w:rPr>
        <w:t>.  Será contrario al sistema de administración de justicia todo tipo de formalidad exagerada, abusiva o innecesaria.  Será considerado como formalismo</w:t>
      </w:r>
      <w:r w:rsidRPr="00E10347">
        <w:rPr>
          <w:rFonts w:ascii="Palatino Linotype" w:hAnsi="Palatino Linotype" w:cs="Times New Roman"/>
          <w:bCs/>
          <w:sz w:val="21"/>
          <w:szCs w:val="21"/>
        </w:rPr>
        <w:t>, entre otros,</w:t>
      </w:r>
      <w:r w:rsidRPr="00E10347">
        <w:rPr>
          <w:rFonts w:ascii="Palatino Linotype" w:hAnsi="Palatino Linotype" w:cs="Times New Roman"/>
          <w:sz w:val="21"/>
          <w:szCs w:val="21"/>
        </w:rPr>
        <w:t xml:space="preserve"> la declaración excesiva de nulidades, porque entorpecen los fines, la buena marcha y la filosofía del proceso; igualmente las prácticas en perjuicio del saneamiento del proceso y la preeminencia de la aplicación de normas procesales en perjuicio de las de fondo. Todo tipo de formalidad </w:t>
      </w:r>
      <w:r w:rsidRPr="00E10347">
        <w:rPr>
          <w:rFonts w:ascii="Palatino Linotype" w:hAnsi="Palatino Linotype" w:cs="Times New Roman"/>
          <w:bCs/>
          <w:sz w:val="21"/>
          <w:szCs w:val="21"/>
        </w:rPr>
        <w:t>excesiva</w:t>
      </w:r>
      <w:r w:rsidRPr="00E10347">
        <w:rPr>
          <w:rFonts w:ascii="Palatino Linotype" w:hAnsi="Palatino Linotype" w:cs="Times New Roman"/>
          <w:sz w:val="21"/>
          <w:szCs w:val="21"/>
        </w:rPr>
        <w:t xml:space="preserve"> constituye en sí un vicio.</w:t>
      </w:r>
      <w:r w:rsidRPr="00E10347">
        <w:rPr>
          <w:rFonts w:ascii="Palatino Linotype" w:hAnsi="Palatino Linotype" w:cs="Times New Roman"/>
          <w:b/>
          <w:sz w:val="21"/>
          <w:szCs w:val="21"/>
        </w:rPr>
        <w:t xml:space="preserve"> </w:t>
      </w:r>
      <w:r w:rsidRPr="00E10347">
        <w:rPr>
          <w:rFonts w:ascii="Palatino Linotype" w:hAnsi="Palatino Linotype" w:cs="Times New Roman"/>
          <w:sz w:val="21"/>
          <w:szCs w:val="21"/>
        </w:rPr>
        <w:t xml:space="preserve"> Las inadmisiones </w:t>
      </w:r>
      <w:r w:rsidR="002A76CC">
        <w:rPr>
          <w:rFonts w:ascii="Palatino Linotype" w:hAnsi="Palatino Linotype" w:cs="Times New Roman"/>
          <w:sz w:val="21"/>
          <w:szCs w:val="21"/>
        </w:rPr>
        <w:t xml:space="preserve">solo </w:t>
      </w:r>
      <w:r w:rsidRPr="00E10347">
        <w:rPr>
          <w:rFonts w:ascii="Palatino Linotype" w:hAnsi="Palatino Linotype" w:cs="Times New Roman"/>
          <w:sz w:val="21"/>
          <w:szCs w:val="21"/>
        </w:rPr>
        <w:t xml:space="preserve">podrá prevenirse y declararse en los supuestos que la norma de manera expresa lo señala.  </w:t>
      </w:r>
      <w:r w:rsidRPr="00E10347">
        <w:rPr>
          <w:rFonts w:ascii="Palatino Linotype" w:hAnsi="Palatino Linotype" w:cs="Times New Roman"/>
          <w:bCs/>
          <w:sz w:val="21"/>
          <w:szCs w:val="21"/>
        </w:rPr>
        <w:t>Las prevenciones y las inadmisiones deberán disponerse en una sola resolución. Es prohibido a los jueces dictarlas para dilatar injustificadamente el proceso o el dictado del fallo.</w:t>
      </w:r>
      <w:r w:rsidRPr="00E10347">
        <w:rPr>
          <w:rFonts w:ascii="Palatino Linotype" w:hAnsi="Palatino Linotype" w:cs="Times New Roman"/>
          <w:b/>
          <w:sz w:val="21"/>
          <w:szCs w:val="21"/>
        </w:rPr>
        <w:t xml:space="preserve"> </w:t>
      </w:r>
    </w:p>
    <w:p w:rsidR="002014CA"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bCs/>
          <w:iCs/>
          <w:sz w:val="21"/>
          <w:szCs w:val="21"/>
        </w:rPr>
        <w:t xml:space="preserve">2.6 </w:t>
      </w:r>
      <w:r w:rsidRPr="00E10347">
        <w:rPr>
          <w:rFonts w:ascii="Palatino Linotype" w:hAnsi="Palatino Linotype" w:cs="Times New Roman"/>
          <w:b/>
          <w:sz w:val="21"/>
          <w:szCs w:val="21"/>
        </w:rPr>
        <w:t>Denegación injustificada de justicia.</w:t>
      </w:r>
      <w:r w:rsidRPr="00E10347">
        <w:rPr>
          <w:rFonts w:ascii="Palatino Linotype" w:hAnsi="Palatino Linotype" w:cs="Times New Roman"/>
          <w:sz w:val="21"/>
          <w:szCs w:val="21"/>
        </w:rPr>
        <w:t xml:space="preserve">  Las inadmisiones y los obstáculos que </w:t>
      </w:r>
      <w:r w:rsidRPr="00E10347">
        <w:rPr>
          <w:rFonts w:ascii="Palatino Linotype" w:hAnsi="Palatino Linotype" w:cs="Times New Roman"/>
          <w:b/>
          <w:sz w:val="21"/>
          <w:szCs w:val="21"/>
        </w:rPr>
        <w:t>puedan impedir</w:t>
      </w:r>
      <w:r w:rsidRPr="00E10347">
        <w:rPr>
          <w:rFonts w:ascii="Palatino Linotype" w:hAnsi="Palatino Linotype" w:cs="Times New Roman"/>
          <w:sz w:val="21"/>
          <w:szCs w:val="21"/>
        </w:rPr>
        <w:t xml:space="preserve"> el acceso a la justicia y al proceso deberán interpretarse de manera restrictiva".  </w:t>
      </w:r>
    </w:p>
    <w:p w:rsidR="008A02E9" w:rsidRPr="00E10347" w:rsidRDefault="008A02E9" w:rsidP="008A02E9">
      <w:pPr>
        <w:pStyle w:val="Sinespaciado"/>
        <w:ind w:left="851" w:right="851" w:firstLine="709"/>
        <w:jc w:val="both"/>
        <w:rPr>
          <w:rFonts w:ascii="Palatino Linotype" w:hAnsi="Palatino Linotype" w:cs="Times New Roman"/>
          <w:sz w:val="21"/>
          <w:szCs w:val="21"/>
        </w:rPr>
      </w:pP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En punto a los principios, y sus principios antagónicos, el Modelo pretendió fortalecer toda la estructura del Sistema de la Oralidad.  Los juristas del Nuevo </w:t>
      </w:r>
      <w:r w:rsidRPr="00E10347">
        <w:rPr>
          <w:rFonts w:ascii="Palatino Linotype" w:hAnsi="Palatino Linotype" w:cs="Times New Roman"/>
          <w:b/>
          <w:i/>
          <w:sz w:val="21"/>
          <w:szCs w:val="21"/>
        </w:rPr>
        <w:t xml:space="preserve">Codex </w:t>
      </w:r>
      <w:r w:rsidRPr="00E10347">
        <w:rPr>
          <w:rFonts w:ascii="Palatino Linotype" w:hAnsi="Palatino Linotype" w:cs="Times New Roman"/>
          <w:sz w:val="21"/>
          <w:szCs w:val="21"/>
        </w:rPr>
        <w:t xml:space="preserve">al socavarlo asumen voluntariamente la  responsabilidad para responder ante las más drásticas críticas.  Porque se han inclinado a dejar en evidencia las marcas de su definitiva inclinación para retomar la idea de la escritura en años sucesivos.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Cabe preguntarle a los redactores si  ¿al eleminar los principios incompatibles o antagónicos de la oralidad: a) escritura en la recepción de pruebas ni en las audiencias;  b)  inquisitivo, para eliminar el condenado principio donde los jueces alteran los resultados de los juicios, sustituyendo la voluntad de las partes o el cuadro fáctico según su criterio, en perjuicio de una de las partes, y, c) mediación  en la recepción de pruebas o en actos de las audiencias, es porque están de acuerdo con ellos, siguiendo los arcaicos sistemas y principios hasta contrastantes con la Constitución?</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Esta pregunta resulta clave como para iniciar un interrogatorio en torno a todos los demás yerros encontrados en estos temas.</w:t>
      </w:r>
    </w:p>
    <w:p w:rsidR="008A02E9" w:rsidRDefault="008A02E9" w:rsidP="00E10347">
      <w:pPr>
        <w:pStyle w:val="NormalWeb"/>
        <w:shd w:val="clear" w:color="auto" w:fill="FFFFFF"/>
        <w:spacing w:before="0" w:beforeAutospacing="0" w:after="0" w:afterAutospacing="0"/>
        <w:jc w:val="both"/>
        <w:rPr>
          <w:rFonts w:ascii="Palatino Linotype" w:hAnsi="Palatino Linotype"/>
          <w:b/>
          <w:sz w:val="21"/>
          <w:szCs w:val="21"/>
        </w:rPr>
      </w:pPr>
    </w:p>
    <w:p w:rsidR="002014CA" w:rsidRPr="00E10347" w:rsidRDefault="002014CA" w:rsidP="00E10347">
      <w:pPr>
        <w:pStyle w:val="NormalWeb"/>
        <w:shd w:val="clear" w:color="auto" w:fill="FFFFFF"/>
        <w:spacing w:before="0" w:beforeAutospacing="0" w:after="0" w:afterAutospacing="0"/>
        <w:jc w:val="both"/>
        <w:rPr>
          <w:rFonts w:ascii="Palatino Linotype" w:hAnsi="Palatino Linotype"/>
          <w:b/>
          <w:sz w:val="21"/>
          <w:szCs w:val="21"/>
        </w:rPr>
      </w:pPr>
      <w:r w:rsidRPr="00E10347">
        <w:rPr>
          <w:rFonts w:ascii="Palatino Linotype" w:hAnsi="Palatino Linotype"/>
          <w:b/>
          <w:sz w:val="21"/>
          <w:szCs w:val="21"/>
        </w:rPr>
        <w:lastRenderedPageBreak/>
        <w:t>6.  (sigue).  Los interrogantes sobre la incomprensible reducción exagerada de las defensas previas, eliminando algunas propias de la misma cultura jurídica, atentando contra la celeridad del proceso, y su abuso, en comparación con los demás cuerpos normativos.</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La filosofía de las defensas previas consiste en la posibilidad de la terminación anticipada del proceso si este contiene defectos tan graves y evidentes resulta mejor declararlos desde  el principio y evitar su continuación hasta un fallo absolutorio.  Su fin consiste en impregnarle celeridad al proceso evitando perjuicios para actores y demandados.</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En este sentido las defensas previas constituyen una forma de garantía de derechos fundamentales en cuanto le evita a las partes someterse a un contradictorio innecesario, a altos costos procesales y de honorarios.</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En principio podría concebirse como una ventaja del demandado porque puede acusarlas desde el principio.  Hay unas insalvables que obligan a la perención anticipada del proceso porque si se continuara su trámite sería absolutamente  innecesario porque resulta evidente la pérdida de la pretensión de la demanda.  En otros casos esos defectos pueden servir para obligar al actor a corregir la demanda si quisiera continuar con el proceso, por las misma</w:t>
      </w:r>
      <w:r w:rsidR="008C2BE0" w:rsidRPr="00E10347">
        <w:rPr>
          <w:rFonts w:ascii="Palatino Linotype" w:hAnsi="Palatino Linotype"/>
          <w:sz w:val="21"/>
          <w:szCs w:val="21"/>
        </w:rPr>
        <w:t>s</w:t>
      </w:r>
      <w:r w:rsidRPr="00E10347">
        <w:rPr>
          <w:rFonts w:ascii="Palatino Linotype" w:hAnsi="Palatino Linotype"/>
          <w:sz w:val="21"/>
          <w:szCs w:val="21"/>
        </w:rPr>
        <w:t xml:space="preserve"> razones señaladas.  Contra el rechazo de las defensas previas no cabe recurso alguno.  Pero tendrán apelación si se acogen.</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En buena teoría entre más defensas previas existan mejor será el proceso, por las mencionadas garantías constitucionales de las partes.</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El nuevo Código se aparta de todas las demás leyes procesales, relativamente nuevas, reduciendo considerablemente el número y calidad de las defensas previas.  E incluso de la nomenclatura generalizada, para dividir las excepciones en procesales (las defensas previas) y materiales (las ordinarias) (Artículo 37.2) como posteriormente se reseñará.</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Para una fácil comprensión de las defensas previas en relación con el Código Procesal General así como con el Código Procesal Civil de 1990 e incluso el Código Procesal Contencioso Administrativo del 2008, se traen a la vista,  aún cuando ese no es el trato científico más adecuado pero sí didáctico para enunciar algunas conclusiones.</w:t>
      </w:r>
    </w:p>
    <w:p w:rsidR="002014CA" w:rsidRPr="00E10347" w:rsidRDefault="002014CA" w:rsidP="008A02E9">
      <w:pPr>
        <w:pStyle w:val="NormalWeb"/>
        <w:shd w:val="clear" w:color="auto" w:fill="FFFFFF"/>
        <w:spacing w:before="0" w:beforeAutospacing="0" w:after="0" w:afterAutospacing="0"/>
        <w:ind w:left="851" w:right="851" w:firstLine="709"/>
        <w:jc w:val="center"/>
        <w:rPr>
          <w:rFonts w:ascii="Palatino Linotype" w:hAnsi="Palatino Linotype"/>
          <w:b/>
          <w:sz w:val="21"/>
          <w:szCs w:val="21"/>
        </w:rPr>
      </w:pPr>
      <w:r w:rsidRPr="00E10347">
        <w:rPr>
          <w:rFonts w:ascii="Palatino Linotype" w:hAnsi="Palatino Linotype"/>
          <w:b/>
          <w:sz w:val="21"/>
          <w:szCs w:val="21"/>
        </w:rPr>
        <w:t>NUEVO CÓDIGO PROCESAL  CIVIL</w:t>
      </w:r>
    </w:p>
    <w:p w:rsidR="002014CA" w:rsidRPr="00E10347" w:rsidRDefault="002014CA" w:rsidP="008A02E9">
      <w:pPr>
        <w:ind w:left="851" w:right="851" w:firstLine="709"/>
        <w:jc w:val="both"/>
        <w:rPr>
          <w:rFonts w:ascii="Palatino Linotype" w:eastAsia="Arial" w:hAnsi="Palatino Linotype" w:cs="Times New Roman"/>
          <w:sz w:val="21"/>
          <w:szCs w:val="21"/>
        </w:rPr>
      </w:pPr>
      <w:r w:rsidRPr="00E10347">
        <w:rPr>
          <w:rFonts w:ascii="Palatino Linotype" w:eastAsia="Arial" w:hAnsi="Palatino Linotype" w:cs="Times New Roman"/>
          <w:spacing w:val="1"/>
          <w:sz w:val="21"/>
          <w:szCs w:val="21"/>
        </w:rPr>
        <w:t>"37</w:t>
      </w:r>
      <w:r w:rsidRPr="00E10347">
        <w:rPr>
          <w:rFonts w:ascii="Palatino Linotype" w:eastAsia="Arial" w:hAnsi="Palatino Linotype" w:cs="Times New Roman"/>
          <w:sz w:val="21"/>
          <w:szCs w:val="21"/>
        </w:rPr>
        <w:t>.3 E</w:t>
      </w:r>
      <w:r w:rsidRPr="00E10347">
        <w:rPr>
          <w:rFonts w:ascii="Palatino Linotype" w:eastAsia="Arial" w:hAnsi="Palatino Linotype" w:cs="Times New Roman"/>
          <w:spacing w:val="1"/>
          <w:sz w:val="21"/>
          <w:szCs w:val="21"/>
        </w:rPr>
        <w:t>x</w:t>
      </w:r>
      <w:r w:rsidRPr="00E10347">
        <w:rPr>
          <w:rFonts w:ascii="Palatino Linotype" w:eastAsia="Arial" w:hAnsi="Palatino Linotype" w:cs="Times New Roman"/>
          <w:spacing w:val="-1"/>
          <w:sz w:val="21"/>
          <w:szCs w:val="21"/>
        </w:rPr>
        <w:t>c</w:t>
      </w:r>
      <w:r w:rsidRPr="00E10347">
        <w:rPr>
          <w:rFonts w:ascii="Palatino Linotype" w:eastAsia="Arial" w:hAnsi="Palatino Linotype" w:cs="Times New Roman"/>
          <w:spacing w:val="1"/>
          <w:sz w:val="21"/>
          <w:szCs w:val="21"/>
        </w:rPr>
        <w:t>e</w:t>
      </w:r>
      <w:r w:rsidRPr="00E10347">
        <w:rPr>
          <w:rFonts w:ascii="Palatino Linotype" w:eastAsia="Arial" w:hAnsi="Palatino Linotype" w:cs="Times New Roman"/>
          <w:sz w:val="21"/>
          <w:szCs w:val="21"/>
        </w:rPr>
        <w:t>pcio</w:t>
      </w:r>
      <w:r w:rsidRPr="00E10347">
        <w:rPr>
          <w:rFonts w:ascii="Palatino Linotype" w:eastAsia="Arial" w:hAnsi="Palatino Linotype" w:cs="Times New Roman"/>
          <w:spacing w:val="-2"/>
          <w:sz w:val="21"/>
          <w:szCs w:val="21"/>
        </w:rPr>
        <w:t>n</w:t>
      </w:r>
      <w:r w:rsidRPr="00E10347">
        <w:rPr>
          <w:rFonts w:ascii="Palatino Linotype" w:eastAsia="Arial" w:hAnsi="Palatino Linotype" w:cs="Times New Roman"/>
          <w:spacing w:val="1"/>
          <w:sz w:val="21"/>
          <w:szCs w:val="21"/>
        </w:rPr>
        <w:t>e</w:t>
      </w:r>
      <w:r w:rsidRPr="00E10347">
        <w:rPr>
          <w:rFonts w:ascii="Palatino Linotype" w:eastAsia="Arial" w:hAnsi="Palatino Linotype" w:cs="Times New Roman"/>
          <w:sz w:val="21"/>
          <w:szCs w:val="21"/>
        </w:rPr>
        <w:t>s</w:t>
      </w:r>
      <w:r w:rsidRPr="00E10347">
        <w:rPr>
          <w:rFonts w:ascii="Palatino Linotype" w:eastAsia="Arial" w:hAnsi="Palatino Linotype" w:cs="Times New Roman"/>
          <w:spacing w:val="3"/>
          <w:sz w:val="21"/>
          <w:szCs w:val="21"/>
        </w:rPr>
        <w:t xml:space="preserve"> </w:t>
      </w:r>
      <w:r w:rsidRPr="00E10347">
        <w:rPr>
          <w:rFonts w:ascii="Palatino Linotype" w:eastAsia="Arial" w:hAnsi="Palatino Linotype" w:cs="Times New Roman"/>
          <w:sz w:val="21"/>
          <w:szCs w:val="21"/>
        </w:rPr>
        <w:t>proc</w:t>
      </w:r>
      <w:r w:rsidRPr="00E10347">
        <w:rPr>
          <w:rFonts w:ascii="Palatino Linotype" w:eastAsia="Arial" w:hAnsi="Palatino Linotype" w:cs="Times New Roman"/>
          <w:spacing w:val="-1"/>
          <w:sz w:val="21"/>
          <w:szCs w:val="21"/>
        </w:rPr>
        <w:t>e</w:t>
      </w:r>
      <w:r w:rsidRPr="00E10347">
        <w:rPr>
          <w:rFonts w:ascii="Palatino Linotype" w:eastAsia="Arial" w:hAnsi="Palatino Linotype" w:cs="Times New Roman"/>
          <w:spacing w:val="1"/>
          <w:sz w:val="21"/>
          <w:szCs w:val="21"/>
        </w:rPr>
        <w:t>sa</w:t>
      </w:r>
      <w:r w:rsidRPr="00E10347">
        <w:rPr>
          <w:rFonts w:ascii="Palatino Linotype" w:eastAsia="Arial" w:hAnsi="Palatino Linotype" w:cs="Times New Roman"/>
          <w:sz w:val="21"/>
          <w:szCs w:val="21"/>
        </w:rPr>
        <w:t>l</w:t>
      </w:r>
      <w:r w:rsidRPr="00E10347">
        <w:rPr>
          <w:rFonts w:ascii="Palatino Linotype" w:eastAsia="Arial" w:hAnsi="Palatino Linotype" w:cs="Times New Roman"/>
          <w:spacing w:val="-1"/>
          <w:sz w:val="21"/>
          <w:szCs w:val="21"/>
        </w:rPr>
        <w:t>e</w:t>
      </w:r>
      <w:r w:rsidRPr="00E10347">
        <w:rPr>
          <w:rFonts w:ascii="Palatino Linotype" w:eastAsia="Arial" w:hAnsi="Palatino Linotype" w:cs="Times New Roman"/>
          <w:spacing w:val="1"/>
          <w:sz w:val="21"/>
          <w:szCs w:val="21"/>
        </w:rPr>
        <w:t>s</w:t>
      </w:r>
      <w:r w:rsidRPr="00E10347">
        <w:rPr>
          <w:rFonts w:ascii="Palatino Linotype" w:eastAsia="Arial" w:hAnsi="Palatino Linotype" w:cs="Times New Roman"/>
          <w:sz w:val="21"/>
          <w:szCs w:val="21"/>
        </w:rPr>
        <w:t>. S</w:t>
      </w:r>
      <w:r w:rsidRPr="00E10347">
        <w:rPr>
          <w:rFonts w:ascii="Palatino Linotype" w:eastAsia="Arial" w:hAnsi="Palatino Linotype" w:cs="Times New Roman"/>
          <w:spacing w:val="1"/>
          <w:sz w:val="21"/>
          <w:szCs w:val="21"/>
        </w:rPr>
        <w:t>o</w:t>
      </w:r>
      <w:r w:rsidRPr="00E10347">
        <w:rPr>
          <w:rFonts w:ascii="Palatino Linotype" w:eastAsia="Arial" w:hAnsi="Palatino Linotype" w:cs="Times New Roman"/>
          <w:sz w:val="21"/>
          <w:szCs w:val="21"/>
        </w:rPr>
        <w:t>lo</w:t>
      </w:r>
      <w:r w:rsidRPr="00E10347">
        <w:rPr>
          <w:rFonts w:ascii="Palatino Linotype" w:eastAsia="Arial" w:hAnsi="Palatino Linotype" w:cs="Times New Roman"/>
          <w:spacing w:val="2"/>
          <w:sz w:val="21"/>
          <w:szCs w:val="21"/>
        </w:rPr>
        <w:t xml:space="preserve"> </w:t>
      </w:r>
      <w:r w:rsidRPr="00E10347">
        <w:rPr>
          <w:rFonts w:ascii="Palatino Linotype" w:eastAsia="Arial" w:hAnsi="Palatino Linotype" w:cs="Times New Roman"/>
          <w:sz w:val="21"/>
          <w:szCs w:val="21"/>
        </w:rPr>
        <w:t>s</w:t>
      </w:r>
      <w:r w:rsidRPr="00E10347">
        <w:rPr>
          <w:rFonts w:ascii="Palatino Linotype" w:eastAsia="Arial" w:hAnsi="Palatino Linotype" w:cs="Times New Roman"/>
          <w:spacing w:val="-1"/>
          <w:sz w:val="21"/>
          <w:szCs w:val="21"/>
        </w:rPr>
        <w:t>o</w:t>
      </w:r>
      <w:r w:rsidRPr="00E10347">
        <w:rPr>
          <w:rFonts w:ascii="Palatino Linotype" w:eastAsia="Arial" w:hAnsi="Palatino Linotype" w:cs="Times New Roman"/>
          <w:sz w:val="21"/>
          <w:szCs w:val="21"/>
        </w:rPr>
        <w:t>n</w:t>
      </w:r>
      <w:r w:rsidRPr="00E10347">
        <w:rPr>
          <w:rFonts w:ascii="Palatino Linotype" w:eastAsia="Arial" w:hAnsi="Palatino Linotype" w:cs="Times New Roman"/>
          <w:spacing w:val="3"/>
          <w:sz w:val="21"/>
          <w:szCs w:val="21"/>
        </w:rPr>
        <w:t xml:space="preserve"> </w:t>
      </w:r>
      <w:r w:rsidRPr="00E10347">
        <w:rPr>
          <w:rFonts w:ascii="Palatino Linotype" w:eastAsia="Arial" w:hAnsi="Palatino Linotype" w:cs="Times New Roman"/>
          <w:spacing w:val="1"/>
          <w:sz w:val="21"/>
          <w:szCs w:val="21"/>
        </w:rPr>
        <w:t>a</w:t>
      </w:r>
      <w:r w:rsidRPr="00E10347">
        <w:rPr>
          <w:rFonts w:ascii="Palatino Linotype" w:eastAsia="Arial" w:hAnsi="Palatino Linotype" w:cs="Times New Roman"/>
          <w:spacing w:val="-1"/>
          <w:sz w:val="21"/>
          <w:szCs w:val="21"/>
        </w:rPr>
        <w:t>d</w:t>
      </w:r>
      <w:r w:rsidRPr="00E10347">
        <w:rPr>
          <w:rFonts w:ascii="Palatino Linotype" w:eastAsia="Arial" w:hAnsi="Palatino Linotype" w:cs="Times New Roman"/>
          <w:spacing w:val="1"/>
          <w:sz w:val="21"/>
          <w:szCs w:val="21"/>
        </w:rPr>
        <w:t>m</w:t>
      </w:r>
      <w:r w:rsidRPr="00E10347">
        <w:rPr>
          <w:rFonts w:ascii="Palatino Linotype" w:eastAsia="Arial" w:hAnsi="Palatino Linotype" w:cs="Times New Roman"/>
          <w:spacing w:val="-3"/>
          <w:sz w:val="21"/>
          <w:szCs w:val="21"/>
        </w:rPr>
        <w:t>i</w:t>
      </w:r>
      <w:r w:rsidRPr="00E10347">
        <w:rPr>
          <w:rFonts w:ascii="Palatino Linotype" w:eastAsia="Arial" w:hAnsi="Palatino Linotype" w:cs="Times New Roman"/>
          <w:sz w:val="21"/>
          <w:szCs w:val="21"/>
        </w:rPr>
        <w:t>sibl</w:t>
      </w:r>
      <w:r w:rsidRPr="00E10347">
        <w:rPr>
          <w:rFonts w:ascii="Palatino Linotype" w:eastAsia="Arial" w:hAnsi="Palatino Linotype" w:cs="Times New Roman"/>
          <w:spacing w:val="1"/>
          <w:sz w:val="21"/>
          <w:szCs w:val="21"/>
        </w:rPr>
        <w:t>e</w:t>
      </w:r>
      <w:r w:rsidRPr="00E10347">
        <w:rPr>
          <w:rFonts w:ascii="Palatino Linotype" w:eastAsia="Arial" w:hAnsi="Palatino Linotype" w:cs="Times New Roman"/>
          <w:sz w:val="21"/>
          <w:szCs w:val="21"/>
        </w:rPr>
        <w:t>s</w:t>
      </w:r>
      <w:r w:rsidRPr="00E10347">
        <w:rPr>
          <w:rFonts w:ascii="Palatino Linotype" w:eastAsia="Arial" w:hAnsi="Palatino Linotype" w:cs="Times New Roman"/>
          <w:spacing w:val="4"/>
          <w:sz w:val="21"/>
          <w:szCs w:val="21"/>
        </w:rPr>
        <w:t xml:space="preserve"> </w:t>
      </w:r>
      <w:r w:rsidRPr="00E10347">
        <w:rPr>
          <w:rFonts w:ascii="Palatino Linotype" w:eastAsia="Arial" w:hAnsi="Palatino Linotype" w:cs="Times New Roman"/>
          <w:sz w:val="21"/>
          <w:szCs w:val="21"/>
        </w:rPr>
        <w:t>c</w:t>
      </w:r>
      <w:r w:rsidRPr="00E10347">
        <w:rPr>
          <w:rFonts w:ascii="Palatino Linotype" w:eastAsia="Arial" w:hAnsi="Palatino Linotype" w:cs="Times New Roman"/>
          <w:spacing w:val="-1"/>
          <w:sz w:val="21"/>
          <w:szCs w:val="21"/>
        </w:rPr>
        <w:t>o</w:t>
      </w:r>
      <w:r w:rsidRPr="00E10347">
        <w:rPr>
          <w:rFonts w:ascii="Palatino Linotype" w:eastAsia="Arial" w:hAnsi="Palatino Linotype" w:cs="Times New Roman"/>
          <w:spacing w:val="1"/>
          <w:sz w:val="21"/>
          <w:szCs w:val="21"/>
        </w:rPr>
        <w:t>m</w:t>
      </w:r>
      <w:r w:rsidRPr="00E10347">
        <w:rPr>
          <w:rFonts w:ascii="Palatino Linotype" w:eastAsia="Arial" w:hAnsi="Palatino Linotype" w:cs="Times New Roman"/>
          <w:sz w:val="21"/>
          <w:szCs w:val="21"/>
        </w:rPr>
        <w:t xml:space="preserve">o </w:t>
      </w:r>
      <w:r w:rsidRPr="00E10347">
        <w:rPr>
          <w:rFonts w:ascii="Palatino Linotype" w:eastAsia="Arial" w:hAnsi="Palatino Linotype" w:cs="Times New Roman"/>
          <w:spacing w:val="1"/>
          <w:sz w:val="21"/>
          <w:szCs w:val="21"/>
        </w:rPr>
        <w:t>e</w:t>
      </w:r>
      <w:r w:rsidRPr="00E10347">
        <w:rPr>
          <w:rFonts w:ascii="Palatino Linotype" w:eastAsia="Arial" w:hAnsi="Palatino Linotype" w:cs="Times New Roman"/>
          <w:spacing w:val="-2"/>
          <w:sz w:val="21"/>
          <w:szCs w:val="21"/>
        </w:rPr>
        <w:t>x</w:t>
      </w:r>
      <w:r w:rsidRPr="00E10347">
        <w:rPr>
          <w:rFonts w:ascii="Palatino Linotype" w:eastAsia="Arial" w:hAnsi="Palatino Linotype" w:cs="Times New Roman"/>
          <w:sz w:val="21"/>
          <w:szCs w:val="21"/>
        </w:rPr>
        <w:t>c</w:t>
      </w:r>
      <w:r w:rsidRPr="00E10347">
        <w:rPr>
          <w:rFonts w:ascii="Palatino Linotype" w:eastAsia="Arial" w:hAnsi="Palatino Linotype" w:cs="Times New Roman"/>
          <w:spacing w:val="1"/>
          <w:sz w:val="21"/>
          <w:szCs w:val="21"/>
        </w:rPr>
        <w:t>ep</w:t>
      </w:r>
      <w:r w:rsidRPr="00E10347">
        <w:rPr>
          <w:rFonts w:ascii="Palatino Linotype" w:eastAsia="Arial" w:hAnsi="Palatino Linotype" w:cs="Times New Roman"/>
          <w:sz w:val="21"/>
          <w:szCs w:val="21"/>
        </w:rPr>
        <w:t>cio</w:t>
      </w:r>
      <w:r w:rsidRPr="00E10347">
        <w:rPr>
          <w:rFonts w:ascii="Palatino Linotype" w:eastAsia="Arial" w:hAnsi="Palatino Linotype" w:cs="Times New Roman"/>
          <w:spacing w:val="-1"/>
          <w:sz w:val="21"/>
          <w:szCs w:val="21"/>
        </w:rPr>
        <w:t>n</w:t>
      </w:r>
      <w:r w:rsidRPr="00E10347">
        <w:rPr>
          <w:rFonts w:ascii="Palatino Linotype" w:eastAsia="Arial" w:hAnsi="Palatino Linotype" w:cs="Times New Roman"/>
          <w:spacing w:val="1"/>
          <w:sz w:val="21"/>
          <w:szCs w:val="21"/>
        </w:rPr>
        <w:t>e</w:t>
      </w:r>
      <w:r w:rsidRPr="00E10347">
        <w:rPr>
          <w:rFonts w:ascii="Palatino Linotype" w:eastAsia="Arial" w:hAnsi="Palatino Linotype" w:cs="Times New Roman"/>
          <w:sz w:val="21"/>
          <w:szCs w:val="21"/>
        </w:rPr>
        <w:t xml:space="preserve">s </w:t>
      </w:r>
      <w:r w:rsidRPr="00E10347">
        <w:rPr>
          <w:rFonts w:ascii="Palatino Linotype" w:eastAsia="Arial" w:hAnsi="Palatino Linotype" w:cs="Times New Roman"/>
          <w:spacing w:val="1"/>
          <w:sz w:val="21"/>
          <w:szCs w:val="21"/>
        </w:rPr>
        <w:t>p</w:t>
      </w:r>
      <w:r w:rsidRPr="00E10347">
        <w:rPr>
          <w:rFonts w:ascii="Palatino Linotype" w:eastAsia="Arial" w:hAnsi="Palatino Linotype" w:cs="Times New Roman"/>
          <w:sz w:val="21"/>
          <w:szCs w:val="21"/>
        </w:rPr>
        <w:t>roc</w:t>
      </w:r>
      <w:r w:rsidRPr="00E10347">
        <w:rPr>
          <w:rFonts w:ascii="Palatino Linotype" w:eastAsia="Arial" w:hAnsi="Palatino Linotype" w:cs="Times New Roman"/>
          <w:spacing w:val="1"/>
          <w:sz w:val="21"/>
          <w:szCs w:val="21"/>
        </w:rPr>
        <w:t>e</w:t>
      </w:r>
      <w:r w:rsidRPr="00E10347">
        <w:rPr>
          <w:rFonts w:ascii="Palatino Linotype" w:eastAsia="Arial" w:hAnsi="Palatino Linotype" w:cs="Times New Roman"/>
          <w:sz w:val="21"/>
          <w:szCs w:val="21"/>
        </w:rPr>
        <w:t>s</w:t>
      </w:r>
      <w:r w:rsidRPr="00E10347">
        <w:rPr>
          <w:rFonts w:ascii="Palatino Linotype" w:eastAsia="Arial" w:hAnsi="Palatino Linotype" w:cs="Times New Roman"/>
          <w:spacing w:val="1"/>
          <w:sz w:val="21"/>
          <w:szCs w:val="21"/>
        </w:rPr>
        <w:t>a</w:t>
      </w:r>
      <w:r w:rsidRPr="00E10347">
        <w:rPr>
          <w:rFonts w:ascii="Palatino Linotype" w:eastAsia="Arial" w:hAnsi="Palatino Linotype" w:cs="Times New Roman"/>
          <w:sz w:val="21"/>
          <w:szCs w:val="21"/>
        </w:rPr>
        <w:t>l</w:t>
      </w:r>
      <w:r w:rsidRPr="00E10347">
        <w:rPr>
          <w:rFonts w:ascii="Palatino Linotype" w:eastAsia="Arial" w:hAnsi="Palatino Linotype" w:cs="Times New Roman"/>
          <w:spacing w:val="1"/>
          <w:sz w:val="21"/>
          <w:szCs w:val="21"/>
        </w:rPr>
        <w:t>e</w:t>
      </w:r>
      <w:r w:rsidRPr="00E10347">
        <w:rPr>
          <w:rFonts w:ascii="Palatino Linotype" w:eastAsia="Arial" w:hAnsi="Palatino Linotype" w:cs="Times New Roman"/>
          <w:sz w:val="21"/>
          <w:szCs w:val="21"/>
        </w:rPr>
        <w:t>s</w:t>
      </w:r>
      <w:r w:rsidRPr="00E10347">
        <w:rPr>
          <w:rFonts w:ascii="Palatino Linotype" w:eastAsia="Arial" w:hAnsi="Palatino Linotype" w:cs="Times New Roman"/>
          <w:spacing w:val="-2"/>
          <w:sz w:val="21"/>
          <w:szCs w:val="21"/>
        </w:rPr>
        <w:t xml:space="preserve"> </w:t>
      </w:r>
      <w:r w:rsidRPr="00E10347">
        <w:rPr>
          <w:rFonts w:ascii="Palatino Linotype" w:eastAsia="Arial" w:hAnsi="Palatino Linotype" w:cs="Times New Roman"/>
          <w:sz w:val="21"/>
          <w:szCs w:val="21"/>
        </w:rPr>
        <w:t>l</w:t>
      </w:r>
      <w:r w:rsidRPr="00E10347">
        <w:rPr>
          <w:rFonts w:ascii="Palatino Linotype" w:eastAsia="Arial" w:hAnsi="Palatino Linotype" w:cs="Times New Roman"/>
          <w:spacing w:val="1"/>
          <w:sz w:val="21"/>
          <w:szCs w:val="21"/>
        </w:rPr>
        <w:t>a</w:t>
      </w:r>
      <w:r w:rsidRPr="00E10347">
        <w:rPr>
          <w:rFonts w:ascii="Palatino Linotype" w:eastAsia="Arial" w:hAnsi="Palatino Linotype" w:cs="Times New Roman"/>
          <w:sz w:val="21"/>
          <w:szCs w:val="21"/>
        </w:rPr>
        <w:t>s si</w:t>
      </w:r>
      <w:r w:rsidRPr="00E10347">
        <w:rPr>
          <w:rFonts w:ascii="Palatino Linotype" w:eastAsia="Arial" w:hAnsi="Palatino Linotype" w:cs="Times New Roman"/>
          <w:spacing w:val="-1"/>
          <w:sz w:val="21"/>
          <w:szCs w:val="21"/>
        </w:rPr>
        <w:t>g</w:t>
      </w:r>
      <w:r w:rsidRPr="00E10347">
        <w:rPr>
          <w:rFonts w:ascii="Palatino Linotype" w:eastAsia="Arial" w:hAnsi="Palatino Linotype" w:cs="Times New Roman"/>
          <w:spacing w:val="1"/>
          <w:sz w:val="21"/>
          <w:szCs w:val="21"/>
        </w:rPr>
        <w:t>u</w:t>
      </w:r>
      <w:r w:rsidRPr="00E10347">
        <w:rPr>
          <w:rFonts w:ascii="Palatino Linotype" w:eastAsia="Arial" w:hAnsi="Palatino Linotype" w:cs="Times New Roman"/>
          <w:sz w:val="21"/>
          <w:szCs w:val="21"/>
        </w:rPr>
        <w:t>ie</w:t>
      </w:r>
      <w:r w:rsidRPr="00E10347">
        <w:rPr>
          <w:rFonts w:ascii="Palatino Linotype" w:eastAsia="Arial" w:hAnsi="Palatino Linotype" w:cs="Times New Roman"/>
          <w:spacing w:val="1"/>
          <w:sz w:val="21"/>
          <w:szCs w:val="21"/>
        </w:rPr>
        <w:t>n</w:t>
      </w:r>
      <w:r w:rsidRPr="00E10347">
        <w:rPr>
          <w:rFonts w:ascii="Palatino Linotype" w:eastAsia="Arial" w:hAnsi="Palatino Linotype" w:cs="Times New Roman"/>
          <w:spacing w:val="-2"/>
          <w:sz w:val="21"/>
          <w:szCs w:val="21"/>
        </w:rPr>
        <w:t>t</w:t>
      </w:r>
      <w:r w:rsidRPr="00E10347">
        <w:rPr>
          <w:rFonts w:ascii="Palatino Linotype" w:eastAsia="Arial" w:hAnsi="Palatino Linotype" w:cs="Times New Roman"/>
          <w:spacing w:val="1"/>
          <w:sz w:val="21"/>
          <w:szCs w:val="21"/>
        </w:rPr>
        <w:t>e</w:t>
      </w:r>
      <w:r w:rsidRPr="00E10347">
        <w:rPr>
          <w:rFonts w:ascii="Palatino Linotype" w:eastAsia="Arial" w:hAnsi="Palatino Linotype" w:cs="Times New Roman"/>
          <w:sz w:val="21"/>
          <w:szCs w:val="21"/>
        </w:rPr>
        <w:t>s:</w:t>
      </w:r>
    </w:p>
    <w:p w:rsidR="002014CA" w:rsidRPr="00E10347" w:rsidRDefault="002014CA" w:rsidP="008A02E9">
      <w:pPr>
        <w:ind w:left="851" w:right="851" w:firstLine="709"/>
        <w:jc w:val="both"/>
        <w:rPr>
          <w:rFonts w:ascii="Palatino Linotype" w:eastAsia="Arial" w:hAnsi="Palatino Linotype" w:cs="Times New Roman"/>
          <w:sz w:val="21"/>
          <w:szCs w:val="21"/>
        </w:rPr>
      </w:pPr>
      <w:r w:rsidRPr="00E10347">
        <w:rPr>
          <w:rFonts w:ascii="Palatino Linotype" w:eastAsia="Arial" w:hAnsi="Palatino Linotype" w:cs="Times New Roman"/>
          <w:spacing w:val="1"/>
          <w:sz w:val="21"/>
          <w:szCs w:val="21"/>
        </w:rPr>
        <w:lastRenderedPageBreak/>
        <w:t>1</w:t>
      </w:r>
      <w:r w:rsidRPr="00E10347">
        <w:rPr>
          <w:rFonts w:ascii="Palatino Linotype" w:eastAsia="Arial" w:hAnsi="Palatino Linotype" w:cs="Times New Roman"/>
          <w:sz w:val="21"/>
          <w:szCs w:val="21"/>
        </w:rPr>
        <w:t>. Falta</w:t>
      </w:r>
      <w:r w:rsidRPr="00E10347">
        <w:rPr>
          <w:rFonts w:ascii="Palatino Linotype" w:eastAsia="Arial" w:hAnsi="Palatino Linotype" w:cs="Times New Roman"/>
          <w:spacing w:val="1"/>
          <w:sz w:val="21"/>
          <w:szCs w:val="21"/>
        </w:rPr>
        <w:t xml:space="preserve"> </w:t>
      </w:r>
      <w:r w:rsidRPr="00E10347">
        <w:rPr>
          <w:rFonts w:ascii="Palatino Linotype" w:eastAsia="Arial" w:hAnsi="Palatino Linotype" w:cs="Times New Roman"/>
          <w:spacing w:val="-1"/>
          <w:sz w:val="21"/>
          <w:szCs w:val="21"/>
        </w:rPr>
        <w:t>d</w:t>
      </w:r>
      <w:r w:rsidRPr="00E10347">
        <w:rPr>
          <w:rFonts w:ascii="Palatino Linotype" w:eastAsia="Arial" w:hAnsi="Palatino Linotype" w:cs="Times New Roman"/>
          <w:sz w:val="21"/>
          <w:szCs w:val="21"/>
        </w:rPr>
        <w:t>e</w:t>
      </w:r>
      <w:r w:rsidRPr="00E10347">
        <w:rPr>
          <w:rFonts w:ascii="Palatino Linotype" w:eastAsia="Arial" w:hAnsi="Palatino Linotype" w:cs="Times New Roman"/>
          <w:spacing w:val="1"/>
          <w:sz w:val="21"/>
          <w:szCs w:val="21"/>
        </w:rPr>
        <w:t xml:space="preserve"> </w:t>
      </w:r>
      <w:r w:rsidRPr="00E10347">
        <w:rPr>
          <w:rFonts w:ascii="Palatino Linotype" w:eastAsia="Arial" w:hAnsi="Palatino Linotype" w:cs="Times New Roman"/>
          <w:sz w:val="21"/>
          <w:szCs w:val="21"/>
        </w:rPr>
        <w:t>c</w:t>
      </w:r>
      <w:r w:rsidRPr="00E10347">
        <w:rPr>
          <w:rFonts w:ascii="Palatino Linotype" w:eastAsia="Arial" w:hAnsi="Palatino Linotype" w:cs="Times New Roman"/>
          <w:spacing w:val="-1"/>
          <w:sz w:val="21"/>
          <w:szCs w:val="21"/>
        </w:rPr>
        <w:t>o</w:t>
      </w:r>
      <w:r w:rsidRPr="00E10347">
        <w:rPr>
          <w:rFonts w:ascii="Palatino Linotype" w:eastAsia="Arial" w:hAnsi="Palatino Linotype" w:cs="Times New Roman"/>
          <w:spacing w:val="1"/>
          <w:sz w:val="21"/>
          <w:szCs w:val="21"/>
        </w:rPr>
        <w:t>m</w:t>
      </w:r>
      <w:r w:rsidRPr="00E10347">
        <w:rPr>
          <w:rFonts w:ascii="Palatino Linotype" w:eastAsia="Arial" w:hAnsi="Palatino Linotype" w:cs="Times New Roman"/>
          <w:spacing w:val="-1"/>
          <w:sz w:val="21"/>
          <w:szCs w:val="21"/>
        </w:rPr>
        <w:t>p</w:t>
      </w:r>
      <w:r w:rsidRPr="00E10347">
        <w:rPr>
          <w:rFonts w:ascii="Palatino Linotype" w:eastAsia="Arial" w:hAnsi="Palatino Linotype" w:cs="Times New Roman"/>
          <w:spacing w:val="1"/>
          <w:sz w:val="21"/>
          <w:szCs w:val="21"/>
        </w:rPr>
        <w:t>e</w:t>
      </w:r>
      <w:r w:rsidRPr="00E10347">
        <w:rPr>
          <w:rFonts w:ascii="Palatino Linotype" w:eastAsia="Arial" w:hAnsi="Palatino Linotype" w:cs="Times New Roman"/>
          <w:sz w:val="21"/>
          <w:szCs w:val="21"/>
        </w:rPr>
        <w:t>t</w:t>
      </w:r>
      <w:r w:rsidRPr="00E10347">
        <w:rPr>
          <w:rFonts w:ascii="Palatino Linotype" w:eastAsia="Arial" w:hAnsi="Palatino Linotype" w:cs="Times New Roman"/>
          <w:spacing w:val="-1"/>
          <w:sz w:val="21"/>
          <w:szCs w:val="21"/>
        </w:rPr>
        <w:t>e</w:t>
      </w:r>
      <w:r w:rsidRPr="00E10347">
        <w:rPr>
          <w:rFonts w:ascii="Palatino Linotype" w:eastAsia="Arial" w:hAnsi="Palatino Linotype" w:cs="Times New Roman"/>
          <w:spacing w:val="1"/>
          <w:sz w:val="21"/>
          <w:szCs w:val="21"/>
        </w:rPr>
        <w:t>n</w:t>
      </w:r>
      <w:r w:rsidRPr="00E10347">
        <w:rPr>
          <w:rFonts w:ascii="Palatino Linotype" w:eastAsia="Arial" w:hAnsi="Palatino Linotype" w:cs="Times New Roman"/>
          <w:sz w:val="21"/>
          <w:szCs w:val="21"/>
        </w:rPr>
        <w:t>cia.</w:t>
      </w:r>
    </w:p>
    <w:p w:rsidR="002014CA" w:rsidRPr="00E10347" w:rsidRDefault="002014CA" w:rsidP="008A02E9">
      <w:pPr>
        <w:ind w:left="851" w:right="851" w:firstLine="709"/>
        <w:jc w:val="both"/>
        <w:rPr>
          <w:rFonts w:ascii="Palatino Linotype" w:eastAsia="Arial" w:hAnsi="Palatino Linotype" w:cs="Times New Roman"/>
          <w:sz w:val="21"/>
          <w:szCs w:val="21"/>
        </w:rPr>
      </w:pPr>
      <w:r w:rsidRPr="00E10347">
        <w:rPr>
          <w:rFonts w:ascii="Palatino Linotype" w:eastAsia="Arial" w:hAnsi="Palatino Linotype" w:cs="Times New Roman"/>
          <w:spacing w:val="1"/>
          <w:sz w:val="21"/>
          <w:szCs w:val="21"/>
        </w:rPr>
        <w:t>2</w:t>
      </w:r>
      <w:r w:rsidRPr="00E10347">
        <w:rPr>
          <w:rFonts w:ascii="Palatino Linotype" w:eastAsia="Arial" w:hAnsi="Palatino Linotype" w:cs="Times New Roman"/>
          <w:sz w:val="21"/>
          <w:szCs w:val="21"/>
        </w:rPr>
        <w:t>. Ac</w:t>
      </w:r>
      <w:r w:rsidRPr="00E10347">
        <w:rPr>
          <w:rFonts w:ascii="Palatino Linotype" w:eastAsia="Arial" w:hAnsi="Palatino Linotype" w:cs="Times New Roman"/>
          <w:spacing w:val="1"/>
          <w:sz w:val="21"/>
          <w:szCs w:val="21"/>
        </w:rPr>
        <w:t>ue</w:t>
      </w:r>
      <w:r w:rsidRPr="00E10347">
        <w:rPr>
          <w:rFonts w:ascii="Palatino Linotype" w:eastAsia="Arial" w:hAnsi="Palatino Linotype" w:cs="Times New Roman"/>
          <w:sz w:val="21"/>
          <w:szCs w:val="21"/>
        </w:rPr>
        <w:t>r</w:t>
      </w:r>
      <w:r w:rsidRPr="00E10347">
        <w:rPr>
          <w:rFonts w:ascii="Palatino Linotype" w:eastAsia="Arial" w:hAnsi="Palatino Linotype" w:cs="Times New Roman"/>
          <w:spacing w:val="-2"/>
          <w:sz w:val="21"/>
          <w:szCs w:val="21"/>
        </w:rPr>
        <w:t>d</w:t>
      </w:r>
      <w:r w:rsidRPr="00E10347">
        <w:rPr>
          <w:rFonts w:ascii="Palatino Linotype" w:eastAsia="Arial" w:hAnsi="Palatino Linotype" w:cs="Times New Roman"/>
          <w:sz w:val="21"/>
          <w:szCs w:val="21"/>
        </w:rPr>
        <w:t>o</w:t>
      </w:r>
      <w:r w:rsidRPr="00E10347">
        <w:rPr>
          <w:rFonts w:ascii="Palatino Linotype" w:eastAsia="Arial" w:hAnsi="Palatino Linotype" w:cs="Times New Roman"/>
          <w:spacing w:val="1"/>
          <w:sz w:val="21"/>
          <w:szCs w:val="21"/>
        </w:rPr>
        <w:t xml:space="preserve"> a</w:t>
      </w:r>
      <w:r w:rsidRPr="00E10347">
        <w:rPr>
          <w:rFonts w:ascii="Palatino Linotype" w:eastAsia="Arial" w:hAnsi="Palatino Linotype" w:cs="Times New Roman"/>
          <w:sz w:val="21"/>
          <w:szCs w:val="21"/>
        </w:rPr>
        <w:t>rbitral.</w:t>
      </w:r>
    </w:p>
    <w:p w:rsidR="002014CA" w:rsidRPr="00E10347" w:rsidRDefault="002014CA" w:rsidP="008A02E9">
      <w:pPr>
        <w:ind w:left="851" w:right="851" w:firstLine="709"/>
        <w:jc w:val="both"/>
        <w:rPr>
          <w:rFonts w:ascii="Palatino Linotype" w:eastAsia="Arial" w:hAnsi="Palatino Linotype" w:cs="Times New Roman"/>
          <w:sz w:val="21"/>
          <w:szCs w:val="21"/>
        </w:rPr>
      </w:pPr>
      <w:r w:rsidRPr="00E10347">
        <w:rPr>
          <w:rFonts w:ascii="Palatino Linotype" w:eastAsia="Arial" w:hAnsi="Palatino Linotype" w:cs="Times New Roman"/>
          <w:spacing w:val="1"/>
          <w:sz w:val="21"/>
          <w:szCs w:val="21"/>
        </w:rPr>
        <w:tab/>
        <w:t>3</w:t>
      </w:r>
      <w:r w:rsidRPr="00E10347">
        <w:rPr>
          <w:rFonts w:ascii="Palatino Linotype" w:eastAsia="Arial" w:hAnsi="Palatino Linotype" w:cs="Times New Roman"/>
          <w:sz w:val="21"/>
          <w:szCs w:val="21"/>
        </w:rPr>
        <w:t xml:space="preserve">. </w:t>
      </w:r>
      <w:r w:rsidRPr="00E10347">
        <w:rPr>
          <w:rFonts w:ascii="Palatino Linotype" w:eastAsia="Arial" w:hAnsi="Palatino Linotype" w:cs="Times New Roman"/>
          <w:spacing w:val="1"/>
          <w:sz w:val="21"/>
          <w:szCs w:val="21"/>
        </w:rPr>
        <w:t>L</w:t>
      </w:r>
      <w:r w:rsidRPr="00E10347">
        <w:rPr>
          <w:rFonts w:ascii="Palatino Linotype" w:eastAsia="Arial" w:hAnsi="Palatino Linotype" w:cs="Times New Roman"/>
          <w:sz w:val="21"/>
          <w:szCs w:val="21"/>
        </w:rPr>
        <w:t>itisco</w:t>
      </w:r>
      <w:r w:rsidRPr="00E10347">
        <w:rPr>
          <w:rFonts w:ascii="Palatino Linotype" w:eastAsia="Arial" w:hAnsi="Palatino Linotype" w:cs="Times New Roman"/>
          <w:spacing w:val="1"/>
          <w:sz w:val="21"/>
          <w:szCs w:val="21"/>
        </w:rPr>
        <w:t>n</w:t>
      </w:r>
      <w:r w:rsidRPr="00E10347">
        <w:rPr>
          <w:rFonts w:ascii="Palatino Linotype" w:eastAsia="Arial" w:hAnsi="Palatino Linotype" w:cs="Times New Roman"/>
          <w:sz w:val="21"/>
          <w:szCs w:val="21"/>
        </w:rPr>
        <w:t>s</w:t>
      </w:r>
      <w:r w:rsidRPr="00E10347">
        <w:rPr>
          <w:rFonts w:ascii="Palatino Linotype" w:eastAsia="Arial" w:hAnsi="Palatino Linotype" w:cs="Times New Roman"/>
          <w:spacing w:val="1"/>
          <w:sz w:val="21"/>
          <w:szCs w:val="21"/>
        </w:rPr>
        <w:t>o</w:t>
      </w:r>
      <w:r w:rsidRPr="00E10347">
        <w:rPr>
          <w:rFonts w:ascii="Palatino Linotype" w:eastAsia="Arial" w:hAnsi="Palatino Linotype" w:cs="Times New Roman"/>
          <w:sz w:val="21"/>
          <w:szCs w:val="21"/>
        </w:rPr>
        <w:t>rc</w:t>
      </w:r>
      <w:r w:rsidRPr="00E10347">
        <w:rPr>
          <w:rFonts w:ascii="Palatino Linotype" w:eastAsia="Arial" w:hAnsi="Palatino Linotype" w:cs="Times New Roman"/>
          <w:spacing w:val="-1"/>
          <w:sz w:val="21"/>
          <w:szCs w:val="21"/>
        </w:rPr>
        <w:t>i</w:t>
      </w:r>
      <w:r w:rsidRPr="00E10347">
        <w:rPr>
          <w:rFonts w:ascii="Palatino Linotype" w:eastAsia="Arial" w:hAnsi="Palatino Linotype" w:cs="Times New Roman"/>
          <w:sz w:val="21"/>
          <w:szCs w:val="21"/>
        </w:rPr>
        <w:t>o</w:t>
      </w:r>
      <w:r w:rsidRPr="00E10347">
        <w:rPr>
          <w:rFonts w:ascii="Palatino Linotype" w:eastAsia="Arial" w:hAnsi="Palatino Linotype" w:cs="Times New Roman"/>
          <w:spacing w:val="-1"/>
          <w:sz w:val="21"/>
          <w:szCs w:val="21"/>
        </w:rPr>
        <w:t xml:space="preserve"> </w:t>
      </w:r>
      <w:r w:rsidRPr="00E10347">
        <w:rPr>
          <w:rFonts w:ascii="Palatino Linotype" w:eastAsia="Arial" w:hAnsi="Palatino Linotype" w:cs="Times New Roman"/>
          <w:spacing w:val="1"/>
          <w:sz w:val="21"/>
          <w:szCs w:val="21"/>
        </w:rPr>
        <w:t>ne</w:t>
      </w:r>
      <w:r w:rsidRPr="00E10347">
        <w:rPr>
          <w:rFonts w:ascii="Palatino Linotype" w:eastAsia="Arial" w:hAnsi="Palatino Linotype" w:cs="Times New Roman"/>
          <w:sz w:val="21"/>
          <w:szCs w:val="21"/>
        </w:rPr>
        <w:t>c</w:t>
      </w:r>
      <w:r w:rsidRPr="00E10347">
        <w:rPr>
          <w:rFonts w:ascii="Palatino Linotype" w:eastAsia="Arial" w:hAnsi="Palatino Linotype" w:cs="Times New Roman"/>
          <w:spacing w:val="1"/>
          <w:sz w:val="21"/>
          <w:szCs w:val="21"/>
        </w:rPr>
        <w:t>e</w:t>
      </w:r>
      <w:r w:rsidRPr="00E10347">
        <w:rPr>
          <w:rFonts w:ascii="Palatino Linotype" w:eastAsia="Arial" w:hAnsi="Palatino Linotype" w:cs="Times New Roman"/>
          <w:spacing w:val="-2"/>
          <w:sz w:val="21"/>
          <w:szCs w:val="21"/>
        </w:rPr>
        <w:t>s</w:t>
      </w:r>
      <w:r w:rsidRPr="00E10347">
        <w:rPr>
          <w:rFonts w:ascii="Palatino Linotype" w:eastAsia="Arial" w:hAnsi="Palatino Linotype" w:cs="Times New Roman"/>
          <w:spacing w:val="1"/>
          <w:sz w:val="21"/>
          <w:szCs w:val="21"/>
        </w:rPr>
        <w:t>a</w:t>
      </w:r>
      <w:r w:rsidRPr="00E10347">
        <w:rPr>
          <w:rFonts w:ascii="Palatino Linotype" w:eastAsia="Arial" w:hAnsi="Palatino Linotype" w:cs="Times New Roman"/>
          <w:sz w:val="21"/>
          <w:szCs w:val="21"/>
        </w:rPr>
        <w:t>r</w:t>
      </w:r>
      <w:r w:rsidRPr="00E10347">
        <w:rPr>
          <w:rFonts w:ascii="Palatino Linotype" w:eastAsia="Arial" w:hAnsi="Palatino Linotype" w:cs="Times New Roman"/>
          <w:spacing w:val="-1"/>
          <w:sz w:val="21"/>
          <w:szCs w:val="21"/>
        </w:rPr>
        <w:t>i</w:t>
      </w:r>
      <w:r w:rsidRPr="00E10347">
        <w:rPr>
          <w:rFonts w:ascii="Palatino Linotype" w:eastAsia="Arial" w:hAnsi="Palatino Linotype" w:cs="Times New Roman"/>
          <w:sz w:val="21"/>
          <w:szCs w:val="21"/>
        </w:rPr>
        <w:t>o</w:t>
      </w:r>
      <w:r w:rsidRPr="00E10347">
        <w:rPr>
          <w:rFonts w:ascii="Palatino Linotype" w:eastAsia="Arial" w:hAnsi="Palatino Linotype" w:cs="Times New Roman"/>
          <w:spacing w:val="1"/>
          <w:sz w:val="21"/>
          <w:szCs w:val="21"/>
        </w:rPr>
        <w:t xml:space="preserve"> </w:t>
      </w:r>
      <w:r w:rsidRPr="00E10347">
        <w:rPr>
          <w:rFonts w:ascii="Palatino Linotype" w:eastAsia="Arial" w:hAnsi="Palatino Linotype" w:cs="Times New Roman"/>
          <w:sz w:val="21"/>
          <w:szCs w:val="21"/>
        </w:rPr>
        <w:t>i</w:t>
      </w:r>
      <w:r w:rsidRPr="00E10347">
        <w:rPr>
          <w:rFonts w:ascii="Palatino Linotype" w:eastAsia="Arial" w:hAnsi="Palatino Linotype" w:cs="Times New Roman"/>
          <w:spacing w:val="1"/>
          <w:sz w:val="21"/>
          <w:szCs w:val="21"/>
        </w:rPr>
        <w:t>n</w:t>
      </w:r>
      <w:r w:rsidRPr="00E10347">
        <w:rPr>
          <w:rFonts w:ascii="Palatino Linotype" w:eastAsia="Arial" w:hAnsi="Palatino Linotype" w:cs="Times New Roman"/>
          <w:sz w:val="21"/>
          <w:szCs w:val="21"/>
        </w:rPr>
        <w:t>c</w:t>
      </w:r>
      <w:r w:rsidRPr="00E10347">
        <w:rPr>
          <w:rFonts w:ascii="Palatino Linotype" w:eastAsia="Arial" w:hAnsi="Palatino Linotype" w:cs="Times New Roman"/>
          <w:spacing w:val="-1"/>
          <w:sz w:val="21"/>
          <w:szCs w:val="21"/>
        </w:rPr>
        <w:t>o</w:t>
      </w:r>
      <w:r w:rsidRPr="00E10347">
        <w:rPr>
          <w:rFonts w:ascii="Palatino Linotype" w:eastAsia="Arial" w:hAnsi="Palatino Linotype" w:cs="Times New Roman"/>
          <w:spacing w:val="1"/>
          <w:sz w:val="21"/>
          <w:szCs w:val="21"/>
        </w:rPr>
        <w:t>mp</w:t>
      </w:r>
      <w:r w:rsidRPr="00E10347">
        <w:rPr>
          <w:rFonts w:ascii="Palatino Linotype" w:eastAsia="Arial" w:hAnsi="Palatino Linotype" w:cs="Times New Roman"/>
          <w:sz w:val="21"/>
          <w:szCs w:val="21"/>
        </w:rPr>
        <w:t>l</w:t>
      </w:r>
      <w:r w:rsidRPr="00E10347">
        <w:rPr>
          <w:rFonts w:ascii="Palatino Linotype" w:eastAsia="Arial" w:hAnsi="Palatino Linotype" w:cs="Times New Roman"/>
          <w:spacing w:val="-2"/>
          <w:sz w:val="21"/>
          <w:szCs w:val="21"/>
        </w:rPr>
        <w:t>e</w:t>
      </w:r>
      <w:r w:rsidRPr="00E10347">
        <w:rPr>
          <w:rFonts w:ascii="Palatino Linotype" w:eastAsia="Arial" w:hAnsi="Palatino Linotype" w:cs="Times New Roman"/>
          <w:sz w:val="21"/>
          <w:szCs w:val="21"/>
        </w:rPr>
        <w:t>t</w:t>
      </w:r>
      <w:r w:rsidRPr="00E10347">
        <w:rPr>
          <w:rFonts w:ascii="Palatino Linotype" w:eastAsia="Arial" w:hAnsi="Palatino Linotype" w:cs="Times New Roman"/>
          <w:spacing w:val="1"/>
          <w:sz w:val="21"/>
          <w:szCs w:val="21"/>
        </w:rPr>
        <w:t>o</w:t>
      </w:r>
      <w:r w:rsidRPr="00E10347">
        <w:rPr>
          <w:rFonts w:ascii="Palatino Linotype" w:eastAsia="Arial" w:hAnsi="Palatino Linotype" w:cs="Times New Roman"/>
          <w:sz w:val="21"/>
          <w:szCs w:val="21"/>
        </w:rPr>
        <w:t>.</w:t>
      </w:r>
    </w:p>
    <w:p w:rsidR="002014CA" w:rsidRPr="00E10347" w:rsidRDefault="002014CA" w:rsidP="008A02E9">
      <w:pPr>
        <w:ind w:left="851" w:right="851" w:firstLine="709"/>
        <w:jc w:val="both"/>
        <w:rPr>
          <w:rFonts w:ascii="Palatino Linotype" w:eastAsia="Arial" w:hAnsi="Palatino Linotype" w:cs="Times New Roman"/>
          <w:sz w:val="21"/>
          <w:szCs w:val="21"/>
        </w:rPr>
      </w:pPr>
      <w:r w:rsidRPr="00E10347">
        <w:rPr>
          <w:rFonts w:ascii="Palatino Linotype" w:eastAsia="Arial" w:hAnsi="Palatino Linotype" w:cs="Times New Roman"/>
          <w:spacing w:val="1"/>
          <w:sz w:val="21"/>
          <w:szCs w:val="21"/>
        </w:rPr>
        <w:tab/>
        <w:t>4</w:t>
      </w:r>
      <w:r w:rsidRPr="00E10347">
        <w:rPr>
          <w:rFonts w:ascii="Palatino Linotype" w:eastAsia="Arial" w:hAnsi="Palatino Linotype" w:cs="Times New Roman"/>
          <w:sz w:val="21"/>
          <w:szCs w:val="21"/>
        </w:rPr>
        <w:t>. I</w:t>
      </w:r>
      <w:r w:rsidRPr="00E10347">
        <w:rPr>
          <w:rFonts w:ascii="Palatino Linotype" w:eastAsia="Arial" w:hAnsi="Palatino Linotype" w:cs="Times New Roman"/>
          <w:spacing w:val="1"/>
          <w:sz w:val="21"/>
          <w:szCs w:val="21"/>
        </w:rPr>
        <w:t>nd</w:t>
      </w:r>
      <w:r w:rsidRPr="00E10347">
        <w:rPr>
          <w:rFonts w:ascii="Palatino Linotype" w:eastAsia="Arial" w:hAnsi="Palatino Linotype" w:cs="Times New Roman"/>
          <w:spacing w:val="-1"/>
          <w:sz w:val="21"/>
          <w:szCs w:val="21"/>
        </w:rPr>
        <w:t>e</w:t>
      </w:r>
      <w:r w:rsidRPr="00E10347">
        <w:rPr>
          <w:rFonts w:ascii="Palatino Linotype" w:eastAsia="Arial" w:hAnsi="Palatino Linotype" w:cs="Times New Roman"/>
          <w:spacing w:val="1"/>
          <w:sz w:val="21"/>
          <w:szCs w:val="21"/>
        </w:rPr>
        <w:t>b</w:t>
      </w:r>
      <w:r w:rsidRPr="00E10347">
        <w:rPr>
          <w:rFonts w:ascii="Palatino Linotype" w:eastAsia="Arial" w:hAnsi="Palatino Linotype" w:cs="Times New Roman"/>
          <w:sz w:val="21"/>
          <w:szCs w:val="21"/>
        </w:rPr>
        <w:t xml:space="preserve">ida </w:t>
      </w:r>
      <w:r w:rsidRPr="00E10347">
        <w:rPr>
          <w:rFonts w:ascii="Palatino Linotype" w:eastAsia="Arial" w:hAnsi="Palatino Linotype" w:cs="Times New Roman"/>
          <w:spacing w:val="1"/>
          <w:sz w:val="21"/>
          <w:szCs w:val="21"/>
        </w:rPr>
        <w:t>a</w:t>
      </w:r>
      <w:r w:rsidRPr="00E10347">
        <w:rPr>
          <w:rFonts w:ascii="Palatino Linotype" w:eastAsia="Arial" w:hAnsi="Palatino Linotype" w:cs="Times New Roman"/>
          <w:sz w:val="21"/>
          <w:szCs w:val="21"/>
        </w:rPr>
        <w:t>c</w:t>
      </w:r>
      <w:r w:rsidRPr="00E10347">
        <w:rPr>
          <w:rFonts w:ascii="Palatino Linotype" w:eastAsia="Arial" w:hAnsi="Palatino Linotype" w:cs="Times New Roman"/>
          <w:spacing w:val="-1"/>
          <w:sz w:val="21"/>
          <w:szCs w:val="21"/>
        </w:rPr>
        <w:t>u</w:t>
      </w:r>
      <w:r w:rsidRPr="00E10347">
        <w:rPr>
          <w:rFonts w:ascii="Palatino Linotype" w:eastAsia="Arial" w:hAnsi="Palatino Linotype" w:cs="Times New Roman"/>
          <w:spacing w:val="1"/>
          <w:sz w:val="21"/>
          <w:szCs w:val="21"/>
        </w:rPr>
        <w:t>mu</w:t>
      </w:r>
      <w:r w:rsidRPr="00E10347">
        <w:rPr>
          <w:rFonts w:ascii="Palatino Linotype" w:eastAsia="Arial" w:hAnsi="Palatino Linotype" w:cs="Times New Roman"/>
          <w:sz w:val="21"/>
          <w:szCs w:val="21"/>
        </w:rPr>
        <w:t>lac</w:t>
      </w:r>
      <w:r w:rsidRPr="00E10347">
        <w:rPr>
          <w:rFonts w:ascii="Palatino Linotype" w:eastAsia="Arial" w:hAnsi="Palatino Linotype" w:cs="Times New Roman"/>
          <w:spacing w:val="-2"/>
          <w:sz w:val="21"/>
          <w:szCs w:val="21"/>
        </w:rPr>
        <w:t>i</w:t>
      </w:r>
      <w:r w:rsidRPr="00E10347">
        <w:rPr>
          <w:rFonts w:ascii="Palatino Linotype" w:eastAsia="Arial" w:hAnsi="Palatino Linotype" w:cs="Times New Roman"/>
          <w:spacing w:val="1"/>
          <w:sz w:val="21"/>
          <w:szCs w:val="21"/>
        </w:rPr>
        <w:t>ó</w:t>
      </w:r>
      <w:r w:rsidRPr="00E10347">
        <w:rPr>
          <w:rFonts w:ascii="Palatino Linotype" w:eastAsia="Arial" w:hAnsi="Palatino Linotype" w:cs="Times New Roman"/>
          <w:sz w:val="21"/>
          <w:szCs w:val="21"/>
        </w:rPr>
        <w:t>n</w:t>
      </w:r>
      <w:r w:rsidRPr="00E10347">
        <w:rPr>
          <w:rFonts w:ascii="Palatino Linotype" w:eastAsia="Arial" w:hAnsi="Palatino Linotype" w:cs="Times New Roman"/>
          <w:spacing w:val="-1"/>
          <w:sz w:val="21"/>
          <w:szCs w:val="21"/>
        </w:rPr>
        <w:t xml:space="preserve"> </w:t>
      </w:r>
      <w:r w:rsidRPr="00E10347">
        <w:rPr>
          <w:rFonts w:ascii="Palatino Linotype" w:eastAsia="Arial" w:hAnsi="Palatino Linotype" w:cs="Times New Roman"/>
          <w:spacing w:val="1"/>
          <w:sz w:val="21"/>
          <w:szCs w:val="21"/>
        </w:rPr>
        <w:t>d</w:t>
      </w:r>
      <w:r w:rsidRPr="00E10347">
        <w:rPr>
          <w:rFonts w:ascii="Palatino Linotype" w:eastAsia="Arial" w:hAnsi="Palatino Linotype" w:cs="Times New Roman"/>
          <w:sz w:val="21"/>
          <w:szCs w:val="21"/>
        </w:rPr>
        <w:t>e</w:t>
      </w:r>
      <w:r w:rsidRPr="00E10347">
        <w:rPr>
          <w:rFonts w:ascii="Palatino Linotype" w:eastAsia="Arial" w:hAnsi="Palatino Linotype" w:cs="Times New Roman"/>
          <w:spacing w:val="1"/>
          <w:sz w:val="21"/>
          <w:szCs w:val="21"/>
        </w:rPr>
        <w:t xml:space="preserve"> p</w:t>
      </w:r>
      <w:r w:rsidRPr="00E10347">
        <w:rPr>
          <w:rFonts w:ascii="Palatino Linotype" w:eastAsia="Arial" w:hAnsi="Palatino Linotype" w:cs="Times New Roman"/>
          <w:sz w:val="21"/>
          <w:szCs w:val="21"/>
        </w:rPr>
        <w:t>r</w:t>
      </w:r>
      <w:r w:rsidRPr="00E10347">
        <w:rPr>
          <w:rFonts w:ascii="Palatino Linotype" w:eastAsia="Arial" w:hAnsi="Palatino Linotype" w:cs="Times New Roman"/>
          <w:spacing w:val="-2"/>
          <w:sz w:val="21"/>
          <w:szCs w:val="21"/>
        </w:rPr>
        <w:t>e</w:t>
      </w:r>
      <w:r w:rsidRPr="00E10347">
        <w:rPr>
          <w:rFonts w:ascii="Palatino Linotype" w:eastAsia="Arial" w:hAnsi="Palatino Linotype" w:cs="Times New Roman"/>
          <w:sz w:val="21"/>
          <w:szCs w:val="21"/>
        </w:rPr>
        <w:t>t</w:t>
      </w:r>
      <w:r w:rsidRPr="00E10347">
        <w:rPr>
          <w:rFonts w:ascii="Palatino Linotype" w:eastAsia="Arial" w:hAnsi="Palatino Linotype" w:cs="Times New Roman"/>
          <w:spacing w:val="1"/>
          <w:sz w:val="21"/>
          <w:szCs w:val="21"/>
        </w:rPr>
        <w:t>en</w:t>
      </w:r>
      <w:r w:rsidRPr="00E10347">
        <w:rPr>
          <w:rFonts w:ascii="Palatino Linotype" w:eastAsia="Arial" w:hAnsi="Palatino Linotype" w:cs="Times New Roman"/>
          <w:sz w:val="21"/>
          <w:szCs w:val="21"/>
        </w:rPr>
        <w:t>s</w:t>
      </w:r>
      <w:r w:rsidRPr="00E10347">
        <w:rPr>
          <w:rFonts w:ascii="Palatino Linotype" w:eastAsia="Arial" w:hAnsi="Palatino Linotype" w:cs="Times New Roman"/>
          <w:spacing w:val="-3"/>
          <w:sz w:val="21"/>
          <w:szCs w:val="21"/>
        </w:rPr>
        <w:t>i</w:t>
      </w:r>
      <w:r w:rsidRPr="00E10347">
        <w:rPr>
          <w:rFonts w:ascii="Palatino Linotype" w:eastAsia="Arial" w:hAnsi="Palatino Linotype" w:cs="Times New Roman"/>
          <w:spacing w:val="1"/>
          <w:sz w:val="21"/>
          <w:szCs w:val="21"/>
        </w:rPr>
        <w:t>one</w:t>
      </w:r>
      <w:r w:rsidRPr="00E10347">
        <w:rPr>
          <w:rFonts w:ascii="Palatino Linotype" w:eastAsia="Arial" w:hAnsi="Palatino Linotype" w:cs="Times New Roman"/>
          <w:spacing w:val="-2"/>
          <w:sz w:val="21"/>
          <w:szCs w:val="21"/>
        </w:rPr>
        <w:t>s</w:t>
      </w:r>
      <w:r w:rsidRPr="00E10347">
        <w:rPr>
          <w:rFonts w:ascii="Palatino Linotype" w:eastAsia="Arial" w:hAnsi="Palatino Linotype" w:cs="Times New Roman"/>
          <w:sz w:val="21"/>
          <w:szCs w:val="21"/>
        </w:rPr>
        <w:t>.</w:t>
      </w:r>
    </w:p>
    <w:p w:rsidR="002014CA" w:rsidRPr="00E10347" w:rsidRDefault="002014CA" w:rsidP="008A02E9">
      <w:pPr>
        <w:ind w:left="851" w:right="851" w:firstLine="709"/>
        <w:jc w:val="both"/>
        <w:rPr>
          <w:rFonts w:ascii="Palatino Linotype" w:eastAsia="Arial" w:hAnsi="Palatino Linotype" w:cs="Times New Roman"/>
          <w:sz w:val="21"/>
          <w:szCs w:val="21"/>
        </w:rPr>
      </w:pPr>
      <w:r w:rsidRPr="00E10347">
        <w:rPr>
          <w:rFonts w:ascii="Palatino Linotype" w:eastAsia="Arial" w:hAnsi="Palatino Linotype" w:cs="Times New Roman"/>
          <w:spacing w:val="1"/>
          <w:sz w:val="21"/>
          <w:szCs w:val="21"/>
        </w:rPr>
        <w:tab/>
        <w:t>5</w:t>
      </w:r>
      <w:r w:rsidRPr="00E10347">
        <w:rPr>
          <w:rFonts w:ascii="Palatino Linotype" w:eastAsia="Arial" w:hAnsi="Palatino Linotype" w:cs="Times New Roman"/>
          <w:sz w:val="21"/>
          <w:szCs w:val="21"/>
        </w:rPr>
        <w:t xml:space="preserve">. </w:t>
      </w:r>
      <w:r w:rsidRPr="00E10347">
        <w:rPr>
          <w:rFonts w:ascii="Palatino Linotype" w:eastAsia="Arial" w:hAnsi="Palatino Linotype" w:cs="Times New Roman"/>
          <w:spacing w:val="1"/>
          <w:sz w:val="21"/>
          <w:szCs w:val="21"/>
        </w:rPr>
        <w:t>L</w:t>
      </w:r>
      <w:r w:rsidRPr="00E10347">
        <w:rPr>
          <w:rFonts w:ascii="Palatino Linotype" w:eastAsia="Arial" w:hAnsi="Palatino Linotype" w:cs="Times New Roman"/>
          <w:sz w:val="21"/>
          <w:szCs w:val="21"/>
        </w:rPr>
        <w:t>itisp</w:t>
      </w:r>
      <w:r w:rsidRPr="00E10347">
        <w:rPr>
          <w:rFonts w:ascii="Palatino Linotype" w:eastAsia="Arial" w:hAnsi="Palatino Linotype" w:cs="Times New Roman"/>
          <w:spacing w:val="1"/>
          <w:sz w:val="21"/>
          <w:szCs w:val="21"/>
        </w:rPr>
        <w:t>e</w:t>
      </w:r>
      <w:r w:rsidRPr="00E10347">
        <w:rPr>
          <w:rFonts w:ascii="Palatino Linotype" w:eastAsia="Arial" w:hAnsi="Palatino Linotype" w:cs="Times New Roman"/>
          <w:spacing w:val="-1"/>
          <w:sz w:val="21"/>
          <w:szCs w:val="21"/>
        </w:rPr>
        <w:t>n</w:t>
      </w:r>
      <w:r w:rsidRPr="00E10347">
        <w:rPr>
          <w:rFonts w:ascii="Palatino Linotype" w:eastAsia="Arial" w:hAnsi="Palatino Linotype" w:cs="Times New Roman"/>
          <w:spacing w:val="1"/>
          <w:sz w:val="21"/>
          <w:szCs w:val="21"/>
        </w:rPr>
        <w:t>den</w:t>
      </w:r>
      <w:r w:rsidRPr="00E10347">
        <w:rPr>
          <w:rFonts w:ascii="Palatino Linotype" w:eastAsia="Arial" w:hAnsi="Palatino Linotype" w:cs="Times New Roman"/>
          <w:sz w:val="21"/>
          <w:szCs w:val="21"/>
        </w:rPr>
        <w:t>c</w:t>
      </w:r>
      <w:r w:rsidRPr="00E10347">
        <w:rPr>
          <w:rFonts w:ascii="Palatino Linotype" w:eastAsia="Arial" w:hAnsi="Palatino Linotype" w:cs="Times New Roman"/>
          <w:spacing w:val="-3"/>
          <w:sz w:val="21"/>
          <w:szCs w:val="21"/>
        </w:rPr>
        <w:t>i</w:t>
      </w:r>
      <w:r w:rsidRPr="00E10347">
        <w:rPr>
          <w:rFonts w:ascii="Palatino Linotype" w:eastAsia="Arial" w:hAnsi="Palatino Linotype" w:cs="Times New Roman"/>
          <w:spacing w:val="1"/>
          <w:sz w:val="21"/>
          <w:szCs w:val="21"/>
        </w:rPr>
        <w:t>a"</w:t>
      </w:r>
      <w:r w:rsidRPr="00E10347">
        <w:rPr>
          <w:rFonts w:ascii="Palatino Linotype" w:eastAsia="Arial" w:hAnsi="Palatino Linotype" w:cs="Times New Roman"/>
          <w:sz w:val="21"/>
          <w:szCs w:val="21"/>
        </w:rPr>
        <w:t>.</w:t>
      </w:r>
    </w:p>
    <w:p w:rsidR="002014CA" w:rsidRPr="00E10347" w:rsidRDefault="002014CA" w:rsidP="008A02E9">
      <w:pPr>
        <w:ind w:left="851" w:right="851" w:firstLine="709"/>
        <w:jc w:val="center"/>
        <w:rPr>
          <w:rFonts w:ascii="Palatino Linotype" w:eastAsia="Arial" w:hAnsi="Palatino Linotype" w:cs="Times New Roman"/>
          <w:b/>
          <w:sz w:val="21"/>
          <w:szCs w:val="21"/>
        </w:rPr>
      </w:pPr>
      <w:r w:rsidRPr="00E10347">
        <w:rPr>
          <w:rFonts w:ascii="Palatino Linotype" w:eastAsia="Arial" w:hAnsi="Palatino Linotype" w:cs="Times New Roman"/>
          <w:b/>
          <w:sz w:val="21"/>
          <w:szCs w:val="21"/>
        </w:rPr>
        <w:t>CÓDIGO PROCESAL GENERAL</w:t>
      </w:r>
    </w:p>
    <w:p w:rsidR="002014CA" w:rsidRPr="00E10347" w:rsidRDefault="002014CA" w:rsidP="008A02E9">
      <w:pPr>
        <w:ind w:left="851" w:right="851" w:firstLine="709"/>
        <w:rPr>
          <w:rFonts w:ascii="Palatino Linotype" w:hAnsi="Palatino Linotype" w:cs="Times New Roman"/>
          <w:sz w:val="21"/>
          <w:szCs w:val="21"/>
        </w:rPr>
      </w:pPr>
      <w:r w:rsidRPr="00E10347">
        <w:rPr>
          <w:rFonts w:ascii="Palatino Linotype" w:hAnsi="Palatino Linotype" w:cs="Times New Roman"/>
          <w:sz w:val="21"/>
          <w:szCs w:val="21"/>
        </w:rPr>
        <w:t xml:space="preserve">"26.4 Excepciones previas. Dentro del emplazamiento solo son admisibles las siguientes: </w:t>
      </w:r>
    </w:p>
    <w:p w:rsidR="002014CA" w:rsidRPr="00E10347" w:rsidRDefault="002014CA" w:rsidP="00E83320">
      <w:pPr>
        <w:widowControl/>
        <w:numPr>
          <w:ilvl w:val="0"/>
          <w:numId w:val="18"/>
        </w:numPr>
        <w:overflowPunct w:val="0"/>
        <w:ind w:left="851" w:right="851" w:firstLine="709"/>
        <w:jc w:val="both"/>
        <w:textAlignment w:val="baseline"/>
        <w:rPr>
          <w:rFonts w:ascii="Palatino Linotype" w:hAnsi="Palatino Linotype" w:cs="Times New Roman"/>
          <w:sz w:val="21"/>
          <w:szCs w:val="21"/>
        </w:rPr>
      </w:pPr>
      <w:r w:rsidRPr="00E10347">
        <w:rPr>
          <w:rFonts w:ascii="Palatino Linotype" w:hAnsi="Palatino Linotype" w:cs="Times New Roman"/>
          <w:sz w:val="21"/>
          <w:szCs w:val="21"/>
        </w:rPr>
        <w:t>La falta de competencia.</w:t>
      </w:r>
    </w:p>
    <w:p w:rsidR="002014CA" w:rsidRPr="00E10347" w:rsidRDefault="002014CA" w:rsidP="00E83320">
      <w:pPr>
        <w:widowControl/>
        <w:numPr>
          <w:ilvl w:val="0"/>
          <w:numId w:val="18"/>
        </w:numPr>
        <w:overflowPunct w:val="0"/>
        <w:ind w:left="851" w:right="851" w:firstLine="709"/>
        <w:jc w:val="both"/>
        <w:textAlignment w:val="baseline"/>
        <w:rPr>
          <w:rFonts w:ascii="Palatino Linotype" w:hAnsi="Palatino Linotype" w:cs="Times New Roman"/>
          <w:sz w:val="21"/>
          <w:szCs w:val="21"/>
        </w:rPr>
      </w:pPr>
      <w:r w:rsidRPr="00E10347">
        <w:rPr>
          <w:rFonts w:ascii="Palatino Linotype" w:hAnsi="Palatino Linotype" w:cs="Times New Roman"/>
          <w:sz w:val="21"/>
          <w:szCs w:val="21"/>
        </w:rPr>
        <w:t xml:space="preserve">El litisconsorcio pasivo necesario incompleto o </w:t>
      </w:r>
      <w:r w:rsidRPr="00E10347">
        <w:rPr>
          <w:rFonts w:ascii="Palatino Linotype" w:hAnsi="Palatino Linotype" w:cs="Times New Roman"/>
          <w:sz w:val="21"/>
          <w:szCs w:val="21"/>
        </w:rPr>
        <w:tab/>
      </w:r>
      <w:r w:rsidRPr="00E10347">
        <w:rPr>
          <w:rFonts w:ascii="Palatino Linotype" w:hAnsi="Palatino Linotype" w:cs="Times New Roman"/>
          <w:sz w:val="21"/>
          <w:szCs w:val="21"/>
        </w:rPr>
        <w:tab/>
      </w:r>
      <w:r w:rsidRPr="00E10347">
        <w:rPr>
          <w:rFonts w:ascii="Palatino Linotype" w:hAnsi="Palatino Linotype" w:cs="Times New Roman"/>
          <w:sz w:val="21"/>
          <w:szCs w:val="21"/>
        </w:rPr>
        <w:tab/>
        <w:t>litisconsorcio pasivo indebido.</w:t>
      </w:r>
    </w:p>
    <w:p w:rsidR="002014CA" w:rsidRPr="00E10347" w:rsidRDefault="002014CA" w:rsidP="00E83320">
      <w:pPr>
        <w:widowControl/>
        <w:numPr>
          <w:ilvl w:val="0"/>
          <w:numId w:val="18"/>
        </w:numPr>
        <w:overflowPunct w:val="0"/>
        <w:ind w:left="851" w:right="851" w:firstLine="709"/>
        <w:jc w:val="both"/>
        <w:textAlignment w:val="baseline"/>
        <w:rPr>
          <w:rFonts w:ascii="Palatino Linotype" w:hAnsi="Palatino Linotype" w:cs="Times New Roman"/>
          <w:sz w:val="21"/>
          <w:szCs w:val="21"/>
        </w:rPr>
      </w:pPr>
      <w:r w:rsidRPr="00E10347">
        <w:rPr>
          <w:rFonts w:ascii="Palatino Linotype" w:hAnsi="Palatino Linotype" w:cs="Times New Roman"/>
          <w:sz w:val="21"/>
          <w:szCs w:val="21"/>
        </w:rPr>
        <w:t>El acuerdo arbitral.</w:t>
      </w:r>
    </w:p>
    <w:p w:rsidR="002014CA" w:rsidRPr="00E10347" w:rsidRDefault="002014CA" w:rsidP="00E83320">
      <w:pPr>
        <w:widowControl/>
        <w:numPr>
          <w:ilvl w:val="0"/>
          <w:numId w:val="18"/>
        </w:numPr>
        <w:overflowPunct w:val="0"/>
        <w:ind w:left="851" w:right="851" w:firstLine="709"/>
        <w:jc w:val="both"/>
        <w:textAlignment w:val="baseline"/>
        <w:rPr>
          <w:rFonts w:ascii="Palatino Linotype" w:hAnsi="Palatino Linotype" w:cs="Times New Roman"/>
          <w:sz w:val="21"/>
          <w:szCs w:val="21"/>
        </w:rPr>
      </w:pPr>
      <w:r w:rsidRPr="00E10347">
        <w:rPr>
          <w:rFonts w:ascii="Palatino Linotype" w:hAnsi="Palatino Linotype" w:cs="Times New Roman"/>
          <w:sz w:val="21"/>
          <w:szCs w:val="21"/>
        </w:rPr>
        <w:t>La litis pendencia.</w:t>
      </w:r>
    </w:p>
    <w:p w:rsidR="002014CA" w:rsidRPr="00E10347" w:rsidRDefault="002014CA" w:rsidP="00E83320">
      <w:pPr>
        <w:widowControl/>
        <w:numPr>
          <w:ilvl w:val="0"/>
          <w:numId w:val="18"/>
        </w:numPr>
        <w:overflowPunct w:val="0"/>
        <w:ind w:left="851" w:right="851" w:firstLine="709"/>
        <w:jc w:val="both"/>
        <w:textAlignment w:val="baseline"/>
        <w:rPr>
          <w:rFonts w:ascii="Palatino Linotype" w:hAnsi="Palatino Linotype" w:cs="Times New Roman"/>
          <w:sz w:val="21"/>
          <w:szCs w:val="21"/>
        </w:rPr>
      </w:pPr>
      <w:r w:rsidRPr="00E10347">
        <w:rPr>
          <w:rFonts w:ascii="Palatino Linotype" w:hAnsi="Palatino Linotype" w:cs="Times New Roman"/>
          <w:sz w:val="21"/>
          <w:szCs w:val="21"/>
        </w:rPr>
        <w:t>La cosa juzgada.</w:t>
      </w:r>
    </w:p>
    <w:p w:rsidR="002014CA" w:rsidRPr="00E10347" w:rsidRDefault="002014CA" w:rsidP="00E83320">
      <w:pPr>
        <w:widowControl/>
        <w:numPr>
          <w:ilvl w:val="0"/>
          <w:numId w:val="18"/>
        </w:numPr>
        <w:overflowPunct w:val="0"/>
        <w:ind w:left="851" w:right="851" w:firstLine="709"/>
        <w:jc w:val="both"/>
        <w:textAlignment w:val="baseline"/>
        <w:rPr>
          <w:rFonts w:ascii="Palatino Linotype" w:hAnsi="Palatino Linotype" w:cs="Times New Roman"/>
          <w:sz w:val="21"/>
          <w:szCs w:val="21"/>
        </w:rPr>
      </w:pPr>
      <w:r w:rsidRPr="00E10347">
        <w:rPr>
          <w:rFonts w:ascii="Palatino Linotype" w:hAnsi="Palatino Linotype" w:cs="Times New Roman"/>
          <w:sz w:val="21"/>
          <w:szCs w:val="21"/>
        </w:rPr>
        <w:t>La transacción.</w:t>
      </w:r>
    </w:p>
    <w:p w:rsidR="002014CA" w:rsidRPr="00E10347" w:rsidRDefault="002014CA" w:rsidP="00E83320">
      <w:pPr>
        <w:widowControl/>
        <w:numPr>
          <w:ilvl w:val="0"/>
          <w:numId w:val="18"/>
        </w:numPr>
        <w:overflowPunct w:val="0"/>
        <w:ind w:left="851" w:right="851" w:firstLine="709"/>
        <w:jc w:val="both"/>
        <w:textAlignment w:val="baseline"/>
        <w:rPr>
          <w:rFonts w:ascii="Palatino Linotype" w:hAnsi="Palatino Linotype" w:cs="Times New Roman"/>
          <w:sz w:val="21"/>
          <w:szCs w:val="21"/>
        </w:rPr>
      </w:pPr>
      <w:r w:rsidRPr="00E10347">
        <w:rPr>
          <w:rFonts w:ascii="Palatino Linotype" w:hAnsi="Palatino Linotype" w:cs="Times New Roman"/>
          <w:sz w:val="21"/>
          <w:szCs w:val="21"/>
        </w:rPr>
        <w:t>La prescripción extintiva de la pretensión principal.</w:t>
      </w:r>
    </w:p>
    <w:p w:rsidR="002014CA" w:rsidRPr="00E10347" w:rsidRDefault="002014CA" w:rsidP="00E83320">
      <w:pPr>
        <w:widowControl/>
        <w:numPr>
          <w:ilvl w:val="0"/>
          <w:numId w:val="18"/>
        </w:numPr>
        <w:overflowPunct w:val="0"/>
        <w:ind w:left="851" w:right="851" w:firstLine="709"/>
        <w:jc w:val="both"/>
        <w:textAlignment w:val="baseline"/>
        <w:rPr>
          <w:rFonts w:ascii="Palatino Linotype" w:hAnsi="Palatino Linotype" w:cs="Times New Roman"/>
          <w:sz w:val="21"/>
          <w:szCs w:val="21"/>
        </w:rPr>
      </w:pPr>
      <w:r w:rsidRPr="00E10347">
        <w:rPr>
          <w:rFonts w:ascii="Palatino Linotype" w:hAnsi="Palatino Linotype" w:cs="Times New Roman"/>
          <w:sz w:val="21"/>
          <w:szCs w:val="21"/>
        </w:rPr>
        <w:t>La caducidad.</w:t>
      </w:r>
    </w:p>
    <w:p w:rsidR="002014CA" w:rsidRPr="00E10347" w:rsidRDefault="002014CA" w:rsidP="00E83320">
      <w:pPr>
        <w:widowControl/>
        <w:numPr>
          <w:ilvl w:val="0"/>
          <w:numId w:val="18"/>
        </w:numPr>
        <w:overflowPunct w:val="0"/>
        <w:ind w:left="851" w:right="851" w:firstLine="709"/>
        <w:jc w:val="both"/>
        <w:textAlignment w:val="baseline"/>
        <w:rPr>
          <w:rFonts w:ascii="Palatino Linotype" w:hAnsi="Palatino Linotype" w:cs="Times New Roman"/>
          <w:sz w:val="21"/>
          <w:szCs w:val="21"/>
        </w:rPr>
      </w:pPr>
      <w:r w:rsidRPr="00E10347">
        <w:rPr>
          <w:rFonts w:ascii="Palatino Linotype" w:hAnsi="Palatino Linotype" w:cs="Times New Roman"/>
          <w:sz w:val="21"/>
          <w:szCs w:val="21"/>
        </w:rPr>
        <w:t>Improcedencia evidente del proceso elegido.</w:t>
      </w:r>
    </w:p>
    <w:p w:rsidR="002014CA" w:rsidRPr="00E10347" w:rsidRDefault="002014CA" w:rsidP="00E83320">
      <w:pPr>
        <w:widowControl/>
        <w:numPr>
          <w:ilvl w:val="0"/>
          <w:numId w:val="18"/>
        </w:numPr>
        <w:overflowPunct w:val="0"/>
        <w:ind w:left="851" w:right="851" w:firstLine="709"/>
        <w:jc w:val="both"/>
        <w:textAlignment w:val="baseline"/>
        <w:rPr>
          <w:rFonts w:ascii="Palatino Linotype" w:hAnsi="Palatino Linotype" w:cs="Times New Roman"/>
          <w:sz w:val="21"/>
          <w:szCs w:val="21"/>
        </w:rPr>
      </w:pPr>
      <w:r w:rsidRPr="00E10347">
        <w:rPr>
          <w:rFonts w:ascii="Palatino Linotype" w:hAnsi="Palatino Linotype" w:cs="Times New Roman"/>
          <w:sz w:val="21"/>
          <w:szCs w:val="21"/>
        </w:rPr>
        <w:t>Demanda evidentemente improponible".</w:t>
      </w:r>
    </w:p>
    <w:p w:rsidR="002014CA" w:rsidRPr="00E10347" w:rsidRDefault="002014CA" w:rsidP="008A02E9">
      <w:pPr>
        <w:ind w:left="851" w:right="851" w:firstLine="709"/>
        <w:jc w:val="both"/>
        <w:rPr>
          <w:rFonts w:ascii="Palatino Linotype" w:eastAsia="Arial" w:hAnsi="Palatino Linotype" w:cs="Times New Roman"/>
          <w:sz w:val="21"/>
          <w:szCs w:val="21"/>
        </w:rPr>
      </w:pPr>
    </w:p>
    <w:p w:rsidR="002014CA" w:rsidRPr="00E10347" w:rsidRDefault="002014CA" w:rsidP="008A02E9">
      <w:pPr>
        <w:ind w:left="851" w:right="851" w:firstLine="709"/>
        <w:jc w:val="center"/>
        <w:rPr>
          <w:rFonts w:ascii="Palatino Linotype" w:eastAsia="Arial" w:hAnsi="Palatino Linotype" w:cs="Times New Roman"/>
          <w:b/>
          <w:sz w:val="21"/>
          <w:szCs w:val="21"/>
        </w:rPr>
      </w:pPr>
      <w:r w:rsidRPr="00E10347">
        <w:rPr>
          <w:rFonts w:ascii="Palatino Linotype" w:eastAsia="Arial" w:hAnsi="Palatino Linotype" w:cs="Times New Roman"/>
          <w:b/>
          <w:sz w:val="21"/>
          <w:szCs w:val="21"/>
        </w:rPr>
        <w:t>REFORMA PROCESAL LABORAL</w:t>
      </w:r>
    </w:p>
    <w:p w:rsidR="002014CA" w:rsidRPr="00E10347" w:rsidRDefault="002014CA" w:rsidP="008A02E9">
      <w:pPr>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Artículo 503.- Serán de previa resolución las siguientes excepciones: </w:t>
      </w:r>
    </w:p>
    <w:p w:rsidR="002014CA" w:rsidRPr="00E10347" w:rsidRDefault="002014CA" w:rsidP="008A02E9">
      <w:pPr>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1) Compromiso arbitral. </w:t>
      </w:r>
    </w:p>
    <w:p w:rsidR="002014CA" w:rsidRPr="00E10347" w:rsidRDefault="002014CA" w:rsidP="008A02E9">
      <w:pPr>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2) Falta de competencia. </w:t>
      </w:r>
    </w:p>
    <w:p w:rsidR="002014CA" w:rsidRPr="00E10347" w:rsidRDefault="002014CA" w:rsidP="008A02E9">
      <w:pPr>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3) Falta de agotamiento de la vía administrativa, cuando la parte hubiera optado por ese trámite. </w:t>
      </w:r>
    </w:p>
    <w:p w:rsidR="002014CA" w:rsidRPr="00E10347" w:rsidRDefault="002014CA" w:rsidP="008A02E9">
      <w:pPr>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4) Falta de capacidad de la parte, inexistencia o insuficiencia de la representación. </w:t>
      </w:r>
    </w:p>
    <w:p w:rsidR="002014CA" w:rsidRPr="00E10347" w:rsidRDefault="002014CA" w:rsidP="008A02E9">
      <w:pPr>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5) Existencia de defectos en el escrito de demanda o contrademanda que a juicio de la parte que la interpone impiden verter pronunciamiento válido sobre el fondo. </w:t>
      </w:r>
    </w:p>
    <w:p w:rsidR="002014CA" w:rsidRPr="00E10347" w:rsidRDefault="002014CA" w:rsidP="008A02E9">
      <w:pPr>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6) Litispendencia.</w:t>
      </w:r>
    </w:p>
    <w:p w:rsidR="002014CA" w:rsidRPr="00E10347" w:rsidRDefault="002014CA" w:rsidP="008A02E9">
      <w:pPr>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7) Indebida acumulación de pretensiones. </w:t>
      </w:r>
    </w:p>
    <w:p w:rsidR="002014CA" w:rsidRPr="00E10347" w:rsidRDefault="002014CA" w:rsidP="008A02E9">
      <w:pPr>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8) Improcedencia del proceso elegido. </w:t>
      </w:r>
    </w:p>
    <w:p w:rsidR="002014CA" w:rsidRPr="00E10347" w:rsidRDefault="002014CA" w:rsidP="008A02E9">
      <w:pPr>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 xml:space="preserve">9) Indebida integración de la litis. </w:t>
      </w:r>
    </w:p>
    <w:p w:rsidR="002014CA" w:rsidRPr="00E10347" w:rsidRDefault="002014CA" w:rsidP="008A02E9">
      <w:pPr>
        <w:ind w:left="851" w:right="851" w:firstLine="709"/>
        <w:jc w:val="both"/>
        <w:rPr>
          <w:rFonts w:ascii="Palatino Linotype" w:eastAsia="Arial" w:hAnsi="Palatino Linotype" w:cs="Times New Roman"/>
          <w:sz w:val="21"/>
          <w:szCs w:val="21"/>
        </w:rPr>
      </w:pPr>
      <w:r w:rsidRPr="00E10347">
        <w:rPr>
          <w:rFonts w:ascii="Palatino Linotype" w:hAnsi="Palatino Linotype" w:cs="Times New Roman"/>
          <w:sz w:val="21"/>
          <w:szCs w:val="21"/>
        </w:rPr>
        <w:t>La excepción de incompetencia deberá ser resuelta antes de la etapa de audiencias y se estará a lo dispuesto en la sección III del capítulo primero de este título.</w:t>
      </w:r>
    </w:p>
    <w:p w:rsidR="002014CA" w:rsidRPr="00E10347" w:rsidRDefault="002014CA" w:rsidP="008A02E9">
      <w:pPr>
        <w:ind w:left="851" w:right="851" w:firstLine="709"/>
        <w:jc w:val="center"/>
        <w:rPr>
          <w:rFonts w:ascii="Palatino Linotype" w:eastAsia="Arial" w:hAnsi="Palatino Linotype" w:cs="Times New Roman"/>
          <w:b/>
          <w:sz w:val="21"/>
          <w:szCs w:val="21"/>
        </w:rPr>
      </w:pPr>
      <w:r w:rsidRPr="00E10347">
        <w:rPr>
          <w:rFonts w:ascii="Palatino Linotype" w:eastAsia="Arial" w:hAnsi="Palatino Linotype" w:cs="Times New Roman"/>
          <w:b/>
          <w:sz w:val="21"/>
          <w:szCs w:val="21"/>
        </w:rPr>
        <w:t>CÓDIGO PROCESAL CIVIL</w:t>
      </w:r>
    </w:p>
    <w:p w:rsidR="002014CA" w:rsidRPr="00E10347" w:rsidRDefault="002014CA" w:rsidP="008A02E9">
      <w:pPr>
        <w:pStyle w:val="Sinespaciado"/>
        <w:ind w:left="851" w:right="851" w:firstLine="709"/>
        <w:rPr>
          <w:rFonts w:ascii="Palatino Linotype" w:hAnsi="Palatino Linotype" w:cs="Times New Roman"/>
          <w:sz w:val="21"/>
          <w:szCs w:val="21"/>
        </w:rPr>
      </w:pPr>
      <w:r w:rsidRPr="00E10347">
        <w:rPr>
          <w:rFonts w:ascii="Palatino Linotype" w:hAnsi="Palatino Linotype" w:cs="Times New Roman"/>
          <w:sz w:val="21"/>
          <w:szCs w:val="21"/>
        </w:rPr>
        <w:t>"Artículo 298.- Oposición y elenco de excepciones previas.</w:t>
      </w:r>
    </w:p>
    <w:p w:rsidR="002014CA" w:rsidRPr="00E10347" w:rsidRDefault="002014CA" w:rsidP="008A02E9">
      <w:pPr>
        <w:pStyle w:val="Sinespaciado"/>
        <w:ind w:left="851" w:right="851" w:firstLine="709"/>
        <w:rPr>
          <w:rFonts w:ascii="Palatino Linotype" w:hAnsi="Palatino Linotype" w:cs="Times New Roman"/>
          <w:sz w:val="21"/>
          <w:szCs w:val="21"/>
        </w:rPr>
      </w:pPr>
      <w:r w:rsidRPr="00E10347">
        <w:rPr>
          <w:rFonts w:ascii="Palatino Linotype" w:hAnsi="Palatino Linotype" w:cs="Times New Roman"/>
          <w:sz w:val="21"/>
          <w:szCs w:val="21"/>
        </w:rPr>
        <w:tab/>
        <w:t xml:space="preserve">Las excepciones previas </w:t>
      </w:r>
      <w:r w:rsidR="002A76CC">
        <w:rPr>
          <w:rFonts w:ascii="Palatino Linotype" w:hAnsi="Palatino Linotype" w:cs="Times New Roman"/>
          <w:sz w:val="21"/>
          <w:szCs w:val="21"/>
        </w:rPr>
        <w:t xml:space="preserve">solo </w:t>
      </w:r>
      <w:r w:rsidRPr="00E10347">
        <w:rPr>
          <w:rFonts w:ascii="Palatino Linotype" w:hAnsi="Palatino Linotype" w:cs="Times New Roman"/>
          <w:sz w:val="21"/>
          <w:szCs w:val="21"/>
        </w:rPr>
        <w:t>podrán oponerse dentro de los primeros diez días del emplazamiento.</w:t>
      </w:r>
    </w:p>
    <w:p w:rsidR="002014CA" w:rsidRPr="00E10347" w:rsidRDefault="002014CA" w:rsidP="008A02E9">
      <w:pPr>
        <w:pStyle w:val="Sinespaciado"/>
        <w:ind w:left="851" w:right="851" w:firstLine="709"/>
        <w:rPr>
          <w:rFonts w:ascii="Palatino Linotype" w:hAnsi="Palatino Linotype" w:cs="Times New Roman"/>
          <w:sz w:val="21"/>
          <w:szCs w:val="21"/>
        </w:rPr>
      </w:pPr>
      <w:r w:rsidRPr="00E10347">
        <w:rPr>
          <w:rFonts w:ascii="Palatino Linotype" w:hAnsi="Palatino Linotype" w:cs="Times New Roman"/>
          <w:sz w:val="21"/>
          <w:szCs w:val="21"/>
        </w:rPr>
        <w:tab/>
      </w:r>
      <w:r w:rsidR="002A76CC">
        <w:rPr>
          <w:rFonts w:ascii="Palatino Linotype" w:hAnsi="Palatino Linotype" w:cs="Times New Roman"/>
          <w:sz w:val="21"/>
          <w:szCs w:val="21"/>
        </w:rPr>
        <w:t xml:space="preserve">Solo </w:t>
      </w:r>
      <w:r w:rsidRPr="00E10347">
        <w:rPr>
          <w:rFonts w:ascii="Palatino Linotype" w:hAnsi="Palatino Linotype" w:cs="Times New Roman"/>
          <w:sz w:val="21"/>
          <w:szCs w:val="21"/>
        </w:rPr>
        <w:t>son admisibles como excepciones previas:</w:t>
      </w:r>
    </w:p>
    <w:p w:rsidR="002014CA" w:rsidRPr="00E10347" w:rsidRDefault="002014CA" w:rsidP="008A02E9">
      <w:pPr>
        <w:pStyle w:val="Sinespaciado"/>
        <w:ind w:left="851" w:right="851" w:firstLine="709"/>
        <w:rPr>
          <w:rFonts w:ascii="Palatino Linotype" w:hAnsi="Palatino Linotype" w:cs="Times New Roman"/>
          <w:sz w:val="21"/>
          <w:szCs w:val="21"/>
        </w:rPr>
      </w:pPr>
      <w:r w:rsidRPr="00E10347">
        <w:rPr>
          <w:rFonts w:ascii="Palatino Linotype" w:hAnsi="Palatino Linotype" w:cs="Times New Roman"/>
          <w:sz w:val="21"/>
          <w:szCs w:val="21"/>
        </w:rPr>
        <w:tab/>
        <w:t>1) La falta de competencia.</w:t>
      </w:r>
    </w:p>
    <w:p w:rsidR="002014CA" w:rsidRPr="00E10347" w:rsidRDefault="002014CA" w:rsidP="008A02E9">
      <w:pPr>
        <w:pStyle w:val="Sinespaciado"/>
        <w:ind w:left="851" w:right="851" w:firstLine="709"/>
        <w:rPr>
          <w:rFonts w:ascii="Palatino Linotype" w:hAnsi="Palatino Linotype" w:cs="Times New Roman"/>
          <w:sz w:val="21"/>
          <w:szCs w:val="21"/>
        </w:rPr>
      </w:pPr>
      <w:r w:rsidRPr="00E10347">
        <w:rPr>
          <w:rFonts w:ascii="Palatino Linotype" w:hAnsi="Palatino Linotype" w:cs="Times New Roman"/>
          <w:sz w:val="21"/>
          <w:szCs w:val="21"/>
        </w:rPr>
        <w:tab/>
        <w:t>2) La falta de capacidad o la defectuosa representación.</w:t>
      </w:r>
    </w:p>
    <w:p w:rsidR="002014CA" w:rsidRPr="00E10347" w:rsidRDefault="002014CA" w:rsidP="008A02E9">
      <w:pPr>
        <w:pStyle w:val="Sinespaciado"/>
        <w:ind w:left="851" w:right="851" w:firstLine="709"/>
        <w:rPr>
          <w:rFonts w:ascii="Palatino Linotype" w:hAnsi="Palatino Linotype" w:cs="Times New Roman"/>
          <w:sz w:val="21"/>
          <w:szCs w:val="21"/>
        </w:rPr>
      </w:pPr>
      <w:r w:rsidRPr="00E10347">
        <w:rPr>
          <w:rFonts w:ascii="Palatino Linotype" w:hAnsi="Palatino Linotype" w:cs="Times New Roman"/>
          <w:sz w:val="21"/>
          <w:szCs w:val="21"/>
        </w:rPr>
        <w:tab/>
        <w:t>3) La indebida acumulación de pretensiones.</w:t>
      </w:r>
    </w:p>
    <w:p w:rsidR="002014CA" w:rsidRPr="00E10347" w:rsidRDefault="002014CA" w:rsidP="008A02E9">
      <w:pPr>
        <w:pStyle w:val="Sinespaciado"/>
        <w:ind w:left="851" w:right="851" w:firstLine="709"/>
        <w:rPr>
          <w:rFonts w:ascii="Palatino Linotype" w:hAnsi="Palatino Linotype" w:cs="Times New Roman"/>
          <w:sz w:val="21"/>
          <w:szCs w:val="21"/>
        </w:rPr>
      </w:pPr>
      <w:r w:rsidRPr="00E10347">
        <w:rPr>
          <w:rFonts w:ascii="Palatino Linotype" w:hAnsi="Palatino Linotype" w:cs="Times New Roman"/>
          <w:sz w:val="21"/>
          <w:szCs w:val="21"/>
        </w:rPr>
        <w:tab/>
        <w:t>4) El litisconsorcio necesario incompleto.</w:t>
      </w:r>
    </w:p>
    <w:p w:rsidR="002014CA" w:rsidRPr="00E10347" w:rsidRDefault="002014CA" w:rsidP="008A02E9">
      <w:pPr>
        <w:pStyle w:val="Sinespaciado"/>
        <w:ind w:left="851" w:right="851" w:firstLine="709"/>
        <w:rPr>
          <w:rFonts w:ascii="Palatino Linotype" w:hAnsi="Palatino Linotype" w:cs="Times New Roman"/>
          <w:sz w:val="21"/>
          <w:szCs w:val="21"/>
        </w:rPr>
      </w:pPr>
      <w:r w:rsidRPr="00E10347">
        <w:rPr>
          <w:rFonts w:ascii="Palatino Linotype" w:hAnsi="Palatino Linotype" w:cs="Times New Roman"/>
          <w:sz w:val="21"/>
          <w:szCs w:val="21"/>
        </w:rPr>
        <w:tab/>
        <w:t xml:space="preserve">5) El acuerdo arbitral. </w:t>
      </w:r>
    </w:p>
    <w:p w:rsidR="002014CA" w:rsidRPr="00E10347" w:rsidRDefault="002014CA" w:rsidP="008A02E9">
      <w:pPr>
        <w:pStyle w:val="Sinespaciado"/>
        <w:ind w:left="851" w:right="851" w:firstLine="709"/>
        <w:rPr>
          <w:rFonts w:ascii="Palatino Linotype" w:hAnsi="Palatino Linotype" w:cs="Times New Roman"/>
          <w:sz w:val="21"/>
          <w:szCs w:val="21"/>
        </w:rPr>
      </w:pPr>
      <w:r w:rsidRPr="00E10347">
        <w:rPr>
          <w:rFonts w:ascii="Palatino Linotype" w:hAnsi="Palatino Linotype" w:cs="Times New Roman"/>
          <w:sz w:val="21"/>
          <w:szCs w:val="21"/>
        </w:rPr>
        <w:tab/>
        <w:t>6) La litis pendencia.</w:t>
      </w:r>
    </w:p>
    <w:p w:rsidR="002014CA" w:rsidRPr="00E10347" w:rsidRDefault="002014CA" w:rsidP="008A02E9">
      <w:pPr>
        <w:pStyle w:val="Sinespaciado"/>
        <w:ind w:left="851" w:right="851" w:firstLine="709"/>
        <w:rPr>
          <w:rFonts w:ascii="Palatino Linotype" w:hAnsi="Palatino Linotype" w:cs="Times New Roman"/>
          <w:sz w:val="21"/>
          <w:szCs w:val="21"/>
        </w:rPr>
      </w:pPr>
      <w:r w:rsidRPr="00E10347">
        <w:rPr>
          <w:rFonts w:ascii="Palatino Linotype" w:hAnsi="Palatino Linotype" w:cs="Times New Roman"/>
          <w:sz w:val="21"/>
          <w:szCs w:val="21"/>
        </w:rPr>
        <w:tab/>
        <w:t>7) La cosa juzgada.</w:t>
      </w:r>
    </w:p>
    <w:p w:rsidR="002014CA" w:rsidRPr="00E10347" w:rsidRDefault="002014CA" w:rsidP="008A02E9">
      <w:pPr>
        <w:pStyle w:val="Sinespaciado"/>
        <w:ind w:left="851" w:right="851" w:firstLine="709"/>
        <w:rPr>
          <w:rFonts w:ascii="Palatino Linotype" w:hAnsi="Palatino Linotype" w:cs="Times New Roman"/>
          <w:sz w:val="21"/>
          <w:szCs w:val="21"/>
        </w:rPr>
      </w:pPr>
      <w:r w:rsidRPr="00E10347">
        <w:rPr>
          <w:rFonts w:ascii="Palatino Linotype" w:hAnsi="Palatino Linotype" w:cs="Times New Roman"/>
          <w:sz w:val="21"/>
          <w:szCs w:val="21"/>
        </w:rPr>
        <w:tab/>
        <w:t>8) La transacción.</w:t>
      </w:r>
    </w:p>
    <w:p w:rsidR="002014CA" w:rsidRPr="00E10347" w:rsidRDefault="002014CA" w:rsidP="008A02E9">
      <w:pPr>
        <w:pStyle w:val="Sinespaciado"/>
        <w:ind w:left="851" w:right="851" w:firstLine="709"/>
        <w:rPr>
          <w:rFonts w:ascii="Palatino Linotype" w:hAnsi="Palatino Linotype" w:cs="Times New Roman"/>
          <w:sz w:val="21"/>
          <w:szCs w:val="21"/>
        </w:rPr>
      </w:pPr>
      <w:r w:rsidRPr="00E10347">
        <w:rPr>
          <w:rFonts w:ascii="Palatino Linotype" w:hAnsi="Palatino Linotype" w:cs="Times New Roman"/>
          <w:sz w:val="21"/>
          <w:szCs w:val="21"/>
        </w:rPr>
        <w:tab/>
        <w:t>9) La prescripción.</w:t>
      </w:r>
    </w:p>
    <w:p w:rsidR="002014CA" w:rsidRPr="00E10347" w:rsidRDefault="002014CA" w:rsidP="008A02E9">
      <w:pPr>
        <w:pStyle w:val="Sinespaciado"/>
        <w:ind w:left="851" w:right="851" w:firstLine="709"/>
        <w:rPr>
          <w:rFonts w:ascii="Palatino Linotype" w:hAnsi="Palatino Linotype" w:cs="Times New Roman"/>
          <w:sz w:val="21"/>
          <w:szCs w:val="21"/>
        </w:rPr>
      </w:pPr>
      <w:r w:rsidRPr="00E10347">
        <w:rPr>
          <w:rFonts w:ascii="Palatino Linotype" w:hAnsi="Palatino Linotype" w:cs="Times New Roman"/>
          <w:sz w:val="21"/>
          <w:szCs w:val="21"/>
        </w:rPr>
        <w:tab/>
        <w:t>10) La caducidad".</w:t>
      </w:r>
    </w:p>
    <w:p w:rsidR="002014CA" w:rsidRPr="00E10347" w:rsidRDefault="002014CA" w:rsidP="008A02E9">
      <w:pPr>
        <w:pStyle w:val="NormalWeb"/>
        <w:shd w:val="clear" w:color="auto" w:fill="FFFFFF"/>
        <w:spacing w:before="0" w:beforeAutospacing="0" w:after="0" w:afterAutospacing="0"/>
        <w:ind w:left="851" w:right="851" w:firstLine="709"/>
        <w:jc w:val="center"/>
        <w:rPr>
          <w:rFonts w:ascii="Palatino Linotype" w:hAnsi="Palatino Linotype"/>
          <w:b/>
          <w:sz w:val="21"/>
          <w:szCs w:val="21"/>
        </w:rPr>
      </w:pPr>
      <w:r w:rsidRPr="00E10347">
        <w:rPr>
          <w:rFonts w:ascii="Palatino Linotype" w:hAnsi="Palatino Linotype"/>
          <w:b/>
          <w:sz w:val="21"/>
          <w:szCs w:val="21"/>
        </w:rPr>
        <w:t>CÓDIGO PROCESAL CONTENCIOSO ADMINISTRATIVO</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ARTÍCULO 66.</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1)</w:t>
      </w:r>
      <w:r w:rsidRPr="00E10347">
        <w:rPr>
          <w:rFonts w:ascii="Palatino Linotype" w:hAnsi="Palatino Linotype" w:cs="Times New Roman"/>
          <w:sz w:val="21"/>
          <w:szCs w:val="21"/>
        </w:rPr>
        <w:tab/>
        <w:t>En la contestación de la demanda o contrademanda, podrán alegarse todas las excepciones de fondo, así como  las siguientes defensas previas:</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a)</w:t>
      </w:r>
      <w:r w:rsidRPr="00E10347">
        <w:rPr>
          <w:rFonts w:ascii="Palatino Linotype" w:hAnsi="Palatino Linotype" w:cs="Times New Roman"/>
          <w:sz w:val="21"/>
          <w:szCs w:val="21"/>
        </w:rPr>
        <w:tab/>
        <w:t>Que su conocimiento no corresponde a la Jurisdicción Contencioso-Administrativa.</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b)</w:t>
      </w:r>
      <w:r w:rsidRPr="00E10347">
        <w:rPr>
          <w:rFonts w:ascii="Palatino Linotype" w:hAnsi="Palatino Linotype" w:cs="Times New Roman"/>
          <w:sz w:val="21"/>
          <w:szCs w:val="21"/>
        </w:rPr>
        <w:tab/>
        <w:t>Que haya sido interpuesta por persona incapaz o que no se halla debidamente representada.</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c)</w:t>
      </w:r>
      <w:r w:rsidRPr="00E10347">
        <w:rPr>
          <w:rFonts w:ascii="Palatino Linotype" w:hAnsi="Palatino Linotype" w:cs="Times New Roman"/>
          <w:sz w:val="21"/>
          <w:szCs w:val="21"/>
        </w:rPr>
        <w:tab/>
        <w:t>Falta de agotamiento de la vía administrativa, cuando proceda.</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d)</w:t>
      </w:r>
      <w:r w:rsidRPr="00E10347">
        <w:rPr>
          <w:rFonts w:ascii="Palatino Linotype" w:hAnsi="Palatino Linotype" w:cs="Times New Roman"/>
          <w:sz w:val="21"/>
          <w:szCs w:val="21"/>
        </w:rPr>
        <w:tab/>
        <w:t>Que el escrito de la demanda tenga defectos no subsanados oportunamente, que impidan verter pronunciamiento sobre el fondo.</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e)</w:t>
      </w:r>
      <w:r w:rsidRPr="00E10347">
        <w:rPr>
          <w:rFonts w:ascii="Palatino Linotype" w:hAnsi="Palatino Linotype" w:cs="Times New Roman"/>
          <w:sz w:val="21"/>
          <w:szCs w:val="21"/>
        </w:rPr>
        <w:tab/>
        <w:t>Indebida acumulación de pretensiones.</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f)</w:t>
      </w:r>
      <w:r w:rsidRPr="00E10347">
        <w:rPr>
          <w:rFonts w:ascii="Palatino Linotype" w:hAnsi="Palatino Linotype" w:cs="Times New Roman"/>
          <w:sz w:val="21"/>
          <w:szCs w:val="21"/>
        </w:rPr>
        <w:tab/>
        <w:t>Falta de integración de la litis consorcio necesaria.</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g)</w:t>
      </w:r>
      <w:r w:rsidRPr="00E10347">
        <w:rPr>
          <w:rFonts w:ascii="Palatino Linotype" w:hAnsi="Palatino Linotype" w:cs="Times New Roman"/>
          <w:sz w:val="21"/>
          <w:szCs w:val="21"/>
        </w:rPr>
        <w:tab/>
        <w:t>Que la pretensión se deduzca contra alguno de los actos no susceptibles de impugnación.</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h)</w:t>
      </w:r>
      <w:r w:rsidRPr="00E10347">
        <w:rPr>
          <w:rFonts w:ascii="Palatino Linotype" w:hAnsi="Palatino Linotype" w:cs="Times New Roman"/>
          <w:sz w:val="21"/>
          <w:szCs w:val="21"/>
        </w:rPr>
        <w:tab/>
        <w:t>Litis pendencia.</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i)</w:t>
      </w:r>
      <w:r w:rsidRPr="00E10347">
        <w:rPr>
          <w:rFonts w:ascii="Palatino Linotype" w:hAnsi="Palatino Linotype" w:cs="Times New Roman"/>
          <w:sz w:val="21"/>
          <w:szCs w:val="21"/>
        </w:rPr>
        <w:tab/>
        <w:t>Transacción.</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j)</w:t>
      </w:r>
      <w:r w:rsidRPr="00E10347">
        <w:rPr>
          <w:rFonts w:ascii="Palatino Linotype" w:hAnsi="Palatino Linotype" w:cs="Times New Roman"/>
          <w:sz w:val="21"/>
          <w:szCs w:val="21"/>
        </w:rPr>
        <w:tab/>
        <w:t>Cosa juzgada.</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k)</w:t>
      </w:r>
      <w:r w:rsidRPr="00E10347">
        <w:rPr>
          <w:rFonts w:ascii="Palatino Linotype" w:hAnsi="Palatino Linotype" w:cs="Times New Roman"/>
          <w:sz w:val="21"/>
          <w:szCs w:val="21"/>
        </w:rPr>
        <w:tab/>
        <w:t>Prescripción o caducidad del derecho, cuando sean evidentes y manifiestas".</w:t>
      </w:r>
    </w:p>
    <w:p w:rsidR="008A02E9" w:rsidRDefault="008A02E9" w:rsidP="00E10347">
      <w:pPr>
        <w:pStyle w:val="NormalWeb"/>
        <w:shd w:val="clear" w:color="auto" w:fill="FFFFFF"/>
        <w:spacing w:before="0" w:beforeAutospacing="0" w:after="0" w:afterAutospacing="0"/>
        <w:ind w:firstLine="709"/>
        <w:jc w:val="both"/>
        <w:rPr>
          <w:rFonts w:ascii="Palatino Linotype" w:hAnsi="Palatino Linotype"/>
          <w:sz w:val="21"/>
          <w:szCs w:val="21"/>
        </w:rPr>
      </w:pP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Para tener aún más claro el panorama de lo pretendido seguidamente se indicarán las defensas previas omitidos de los diferentes cuerpos normativos citados.</w:t>
      </w:r>
      <w:r w:rsidRPr="00E10347">
        <w:rPr>
          <w:rFonts w:ascii="Palatino Linotype" w:hAnsi="Palatino Linotype"/>
          <w:sz w:val="21"/>
          <w:szCs w:val="21"/>
        </w:rPr>
        <w:tab/>
      </w:r>
    </w:p>
    <w:p w:rsidR="002014CA" w:rsidRPr="00E10347" w:rsidRDefault="002014CA" w:rsidP="00E10347">
      <w:pPr>
        <w:pStyle w:val="Sinespaciado"/>
        <w:rPr>
          <w:rFonts w:ascii="Palatino Linotype" w:eastAsia="Arial" w:hAnsi="Palatino Linotype" w:cs="Times New Roman"/>
          <w:b/>
          <w:sz w:val="21"/>
          <w:szCs w:val="21"/>
        </w:rPr>
      </w:pPr>
      <w:r w:rsidRPr="00E10347">
        <w:rPr>
          <w:rFonts w:ascii="Palatino Linotype" w:eastAsia="Arial" w:hAnsi="Palatino Linotype" w:cs="Times New Roman"/>
          <w:b/>
          <w:sz w:val="21"/>
          <w:szCs w:val="21"/>
        </w:rPr>
        <w:t>Omisión de las defensas previas del Código Procesal General</w:t>
      </w:r>
    </w:p>
    <w:p w:rsidR="002014CA" w:rsidRPr="008A02E9" w:rsidRDefault="002014CA" w:rsidP="00E83320">
      <w:pPr>
        <w:pStyle w:val="Prrafodelista"/>
        <w:widowControl/>
        <w:numPr>
          <w:ilvl w:val="0"/>
          <w:numId w:val="19"/>
        </w:numPr>
        <w:overflowPunct w:val="0"/>
        <w:jc w:val="both"/>
        <w:textAlignment w:val="baseline"/>
        <w:rPr>
          <w:rFonts w:ascii="Palatino Linotype" w:hAnsi="Palatino Linotype" w:cs="Times New Roman"/>
          <w:sz w:val="21"/>
          <w:szCs w:val="21"/>
        </w:rPr>
      </w:pPr>
      <w:r w:rsidRPr="008A02E9">
        <w:rPr>
          <w:rFonts w:ascii="Palatino Linotype" w:hAnsi="Palatino Linotype" w:cs="Times New Roman"/>
          <w:sz w:val="21"/>
          <w:szCs w:val="21"/>
        </w:rPr>
        <w:t>La cosa juzgada.</w:t>
      </w:r>
    </w:p>
    <w:p w:rsidR="002014CA" w:rsidRPr="008A02E9" w:rsidRDefault="002014CA" w:rsidP="00E83320">
      <w:pPr>
        <w:pStyle w:val="Prrafodelista"/>
        <w:widowControl/>
        <w:numPr>
          <w:ilvl w:val="0"/>
          <w:numId w:val="19"/>
        </w:numPr>
        <w:overflowPunct w:val="0"/>
        <w:jc w:val="both"/>
        <w:textAlignment w:val="baseline"/>
        <w:rPr>
          <w:rFonts w:ascii="Palatino Linotype" w:hAnsi="Palatino Linotype" w:cs="Times New Roman"/>
          <w:sz w:val="21"/>
          <w:szCs w:val="21"/>
        </w:rPr>
      </w:pPr>
      <w:r w:rsidRPr="008A02E9">
        <w:rPr>
          <w:rFonts w:ascii="Palatino Linotype" w:hAnsi="Palatino Linotype" w:cs="Times New Roman"/>
          <w:sz w:val="21"/>
          <w:szCs w:val="21"/>
        </w:rPr>
        <w:t>La transacción.</w:t>
      </w:r>
    </w:p>
    <w:p w:rsidR="002014CA" w:rsidRPr="008A02E9" w:rsidRDefault="002014CA" w:rsidP="00E83320">
      <w:pPr>
        <w:pStyle w:val="Prrafodelista"/>
        <w:widowControl/>
        <w:numPr>
          <w:ilvl w:val="0"/>
          <w:numId w:val="19"/>
        </w:numPr>
        <w:overflowPunct w:val="0"/>
        <w:jc w:val="both"/>
        <w:textAlignment w:val="baseline"/>
        <w:rPr>
          <w:rFonts w:ascii="Palatino Linotype" w:hAnsi="Palatino Linotype" w:cs="Times New Roman"/>
          <w:sz w:val="21"/>
          <w:szCs w:val="21"/>
        </w:rPr>
      </w:pPr>
      <w:r w:rsidRPr="008A02E9">
        <w:rPr>
          <w:rFonts w:ascii="Palatino Linotype" w:hAnsi="Palatino Linotype" w:cs="Times New Roman"/>
          <w:sz w:val="21"/>
          <w:szCs w:val="21"/>
        </w:rPr>
        <w:t>La prescripción extintiva de la pretensión principal.</w:t>
      </w:r>
    </w:p>
    <w:p w:rsidR="002014CA" w:rsidRPr="008A02E9" w:rsidRDefault="002014CA" w:rsidP="00E83320">
      <w:pPr>
        <w:pStyle w:val="Prrafodelista"/>
        <w:widowControl/>
        <w:numPr>
          <w:ilvl w:val="0"/>
          <w:numId w:val="19"/>
        </w:numPr>
        <w:overflowPunct w:val="0"/>
        <w:jc w:val="both"/>
        <w:textAlignment w:val="baseline"/>
        <w:rPr>
          <w:rFonts w:ascii="Palatino Linotype" w:hAnsi="Palatino Linotype" w:cs="Times New Roman"/>
          <w:sz w:val="21"/>
          <w:szCs w:val="21"/>
        </w:rPr>
      </w:pPr>
      <w:r w:rsidRPr="008A02E9">
        <w:rPr>
          <w:rFonts w:ascii="Palatino Linotype" w:hAnsi="Palatino Linotype" w:cs="Times New Roman"/>
          <w:sz w:val="21"/>
          <w:szCs w:val="21"/>
        </w:rPr>
        <w:t>La caducidad.</w:t>
      </w:r>
    </w:p>
    <w:p w:rsidR="002014CA" w:rsidRPr="008A02E9" w:rsidRDefault="002014CA" w:rsidP="00E83320">
      <w:pPr>
        <w:pStyle w:val="Prrafodelista"/>
        <w:widowControl/>
        <w:numPr>
          <w:ilvl w:val="0"/>
          <w:numId w:val="19"/>
        </w:numPr>
        <w:overflowPunct w:val="0"/>
        <w:jc w:val="both"/>
        <w:textAlignment w:val="baseline"/>
        <w:rPr>
          <w:rFonts w:ascii="Palatino Linotype" w:hAnsi="Palatino Linotype" w:cs="Times New Roman"/>
          <w:sz w:val="21"/>
          <w:szCs w:val="21"/>
        </w:rPr>
      </w:pPr>
      <w:r w:rsidRPr="008A02E9">
        <w:rPr>
          <w:rFonts w:ascii="Palatino Linotype" w:hAnsi="Palatino Linotype" w:cs="Times New Roman"/>
          <w:sz w:val="21"/>
          <w:szCs w:val="21"/>
        </w:rPr>
        <w:t>Demanda evidentemente improponible".</w:t>
      </w:r>
    </w:p>
    <w:p w:rsidR="002014CA" w:rsidRPr="00E10347" w:rsidRDefault="002014CA" w:rsidP="00E10347">
      <w:pPr>
        <w:rPr>
          <w:rFonts w:ascii="Palatino Linotype" w:eastAsia="Arial" w:hAnsi="Palatino Linotype" w:cs="Times New Roman"/>
          <w:sz w:val="21"/>
          <w:szCs w:val="21"/>
        </w:rPr>
      </w:pPr>
      <w:r w:rsidRPr="00E10347">
        <w:rPr>
          <w:rFonts w:ascii="Palatino Linotype" w:eastAsia="Arial" w:hAnsi="Palatino Linotype" w:cs="Times New Roman"/>
          <w:b/>
          <w:sz w:val="21"/>
          <w:szCs w:val="21"/>
        </w:rPr>
        <w:t>Omisión de las defensas previas</w:t>
      </w:r>
      <w:r w:rsidRPr="00E10347">
        <w:rPr>
          <w:rFonts w:ascii="Palatino Linotype" w:eastAsia="Arial" w:hAnsi="Palatino Linotype" w:cs="Times New Roman"/>
          <w:sz w:val="21"/>
          <w:szCs w:val="21"/>
        </w:rPr>
        <w:t xml:space="preserve"> </w:t>
      </w:r>
      <w:r w:rsidRPr="00E10347">
        <w:rPr>
          <w:rFonts w:ascii="Palatino Linotype" w:eastAsia="Arial" w:hAnsi="Palatino Linotype" w:cs="Times New Roman"/>
          <w:b/>
          <w:sz w:val="21"/>
          <w:szCs w:val="21"/>
        </w:rPr>
        <w:t>de La Reforma Procesal Laboral</w:t>
      </w:r>
    </w:p>
    <w:p w:rsidR="002014CA" w:rsidRPr="00E10347" w:rsidRDefault="002014CA" w:rsidP="008A02E9">
      <w:pPr>
        <w:ind w:left="708"/>
        <w:jc w:val="both"/>
        <w:rPr>
          <w:rFonts w:ascii="Palatino Linotype" w:hAnsi="Palatino Linotype" w:cs="Times New Roman"/>
          <w:sz w:val="21"/>
          <w:szCs w:val="21"/>
        </w:rPr>
      </w:pPr>
      <w:r w:rsidRPr="00E10347">
        <w:rPr>
          <w:rFonts w:ascii="Palatino Linotype" w:hAnsi="Palatino Linotype" w:cs="Times New Roman"/>
          <w:sz w:val="21"/>
          <w:szCs w:val="21"/>
        </w:rPr>
        <w:t xml:space="preserve">1.  Falta de capacidad de la parte, inexistencia o insuficiencia de la representación. </w:t>
      </w:r>
    </w:p>
    <w:p w:rsidR="002014CA" w:rsidRPr="00E10347" w:rsidRDefault="002014CA" w:rsidP="008A02E9">
      <w:pPr>
        <w:ind w:left="708"/>
        <w:jc w:val="both"/>
        <w:rPr>
          <w:rFonts w:ascii="Palatino Linotype" w:hAnsi="Palatino Linotype" w:cs="Times New Roman"/>
          <w:sz w:val="21"/>
          <w:szCs w:val="21"/>
        </w:rPr>
      </w:pPr>
      <w:r w:rsidRPr="00E10347">
        <w:rPr>
          <w:rFonts w:ascii="Palatino Linotype" w:hAnsi="Palatino Linotype" w:cs="Times New Roman"/>
          <w:sz w:val="21"/>
          <w:szCs w:val="21"/>
        </w:rPr>
        <w:t xml:space="preserve">2.  Existencia de defectos en el escrito de demanda o contrademanda que a juicio de la parte que la interpone impiden verter pronunciamiento válido sobre el fondo. </w:t>
      </w:r>
    </w:p>
    <w:p w:rsidR="002014CA" w:rsidRPr="00E10347" w:rsidRDefault="002014CA" w:rsidP="00E10347">
      <w:pPr>
        <w:rPr>
          <w:rFonts w:ascii="Palatino Linotype" w:eastAsia="Arial" w:hAnsi="Palatino Linotype" w:cs="Times New Roman"/>
          <w:sz w:val="21"/>
          <w:szCs w:val="21"/>
          <w:u w:val="single"/>
        </w:rPr>
      </w:pPr>
      <w:r w:rsidRPr="00E10347">
        <w:rPr>
          <w:rFonts w:ascii="Palatino Linotype" w:eastAsia="Arial" w:hAnsi="Palatino Linotype" w:cs="Times New Roman"/>
          <w:b/>
          <w:sz w:val="21"/>
          <w:szCs w:val="21"/>
        </w:rPr>
        <w:t>Omisión de las defensas previas del Código Procesal Civil</w:t>
      </w:r>
    </w:p>
    <w:p w:rsidR="002014CA" w:rsidRPr="00E10347" w:rsidRDefault="002014CA" w:rsidP="008A02E9">
      <w:pPr>
        <w:pStyle w:val="Sinespaciado"/>
        <w:ind w:left="708"/>
        <w:rPr>
          <w:rFonts w:ascii="Palatino Linotype" w:hAnsi="Palatino Linotype" w:cs="Times New Roman"/>
          <w:sz w:val="21"/>
          <w:szCs w:val="21"/>
        </w:rPr>
      </w:pPr>
      <w:r w:rsidRPr="00E10347">
        <w:rPr>
          <w:rFonts w:ascii="Palatino Linotype" w:hAnsi="Palatino Linotype" w:cs="Times New Roman"/>
          <w:sz w:val="21"/>
          <w:szCs w:val="21"/>
        </w:rPr>
        <w:t>1.   La falta de capacidad o la defectuosa representación.</w:t>
      </w:r>
    </w:p>
    <w:p w:rsidR="002014CA" w:rsidRPr="00E10347" w:rsidRDefault="002014CA" w:rsidP="008A02E9">
      <w:pPr>
        <w:pStyle w:val="Sinespaciado"/>
        <w:ind w:left="708"/>
        <w:rPr>
          <w:rFonts w:ascii="Palatino Linotype" w:hAnsi="Palatino Linotype" w:cs="Times New Roman"/>
          <w:sz w:val="21"/>
          <w:szCs w:val="21"/>
        </w:rPr>
      </w:pPr>
      <w:r w:rsidRPr="00E10347">
        <w:rPr>
          <w:rFonts w:ascii="Palatino Linotype" w:hAnsi="Palatino Linotype" w:cs="Times New Roman"/>
          <w:sz w:val="21"/>
          <w:szCs w:val="21"/>
        </w:rPr>
        <w:t>2.   La cosa juzgada.</w:t>
      </w:r>
    </w:p>
    <w:p w:rsidR="002014CA" w:rsidRPr="00E10347" w:rsidRDefault="002014CA" w:rsidP="008A02E9">
      <w:pPr>
        <w:pStyle w:val="Sinespaciado"/>
        <w:ind w:left="708"/>
        <w:rPr>
          <w:rFonts w:ascii="Palatino Linotype" w:hAnsi="Palatino Linotype" w:cs="Times New Roman"/>
          <w:sz w:val="21"/>
          <w:szCs w:val="21"/>
        </w:rPr>
      </w:pPr>
      <w:r w:rsidRPr="00E10347">
        <w:rPr>
          <w:rFonts w:ascii="Palatino Linotype" w:hAnsi="Palatino Linotype" w:cs="Times New Roman"/>
          <w:sz w:val="21"/>
          <w:szCs w:val="21"/>
        </w:rPr>
        <w:t>3.   La transacción.</w:t>
      </w:r>
    </w:p>
    <w:p w:rsidR="002014CA" w:rsidRPr="00E10347" w:rsidRDefault="002014CA" w:rsidP="008A02E9">
      <w:pPr>
        <w:pStyle w:val="Sinespaciado"/>
        <w:ind w:left="708"/>
        <w:rPr>
          <w:rFonts w:ascii="Palatino Linotype" w:hAnsi="Palatino Linotype" w:cs="Times New Roman"/>
          <w:sz w:val="21"/>
          <w:szCs w:val="21"/>
        </w:rPr>
      </w:pPr>
      <w:r w:rsidRPr="00E10347">
        <w:rPr>
          <w:rFonts w:ascii="Palatino Linotype" w:hAnsi="Palatino Linotype" w:cs="Times New Roman"/>
          <w:sz w:val="21"/>
          <w:szCs w:val="21"/>
        </w:rPr>
        <w:t>4.   La prescripción.</w:t>
      </w:r>
    </w:p>
    <w:p w:rsidR="002014CA" w:rsidRPr="00E10347" w:rsidRDefault="002014CA" w:rsidP="008A02E9">
      <w:pPr>
        <w:pStyle w:val="Sinespaciado"/>
        <w:ind w:left="708"/>
        <w:rPr>
          <w:rFonts w:ascii="Palatino Linotype" w:hAnsi="Palatino Linotype" w:cs="Times New Roman"/>
          <w:sz w:val="21"/>
          <w:szCs w:val="21"/>
        </w:rPr>
      </w:pPr>
      <w:r w:rsidRPr="00E10347">
        <w:rPr>
          <w:rFonts w:ascii="Palatino Linotype" w:hAnsi="Palatino Linotype" w:cs="Times New Roman"/>
          <w:sz w:val="21"/>
          <w:szCs w:val="21"/>
        </w:rPr>
        <w:t>5.   La caducidad".</w:t>
      </w:r>
    </w:p>
    <w:p w:rsidR="002014CA" w:rsidRPr="00E10347" w:rsidRDefault="002014CA" w:rsidP="00E10347">
      <w:pPr>
        <w:pStyle w:val="NormalWeb"/>
        <w:shd w:val="clear" w:color="auto" w:fill="FFFFFF"/>
        <w:spacing w:before="0" w:beforeAutospacing="0" w:after="0" w:afterAutospacing="0"/>
        <w:rPr>
          <w:rFonts w:ascii="Palatino Linotype" w:hAnsi="Palatino Linotype"/>
          <w:b/>
          <w:sz w:val="21"/>
          <w:szCs w:val="21"/>
        </w:rPr>
      </w:pPr>
      <w:r w:rsidRPr="00E10347">
        <w:rPr>
          <w:rFonts w:ascii="Palatino Linotype" w:eastAsia="Arial" w:hAnsi="Palatino Linotype"/>
          <w:b/>
          <w:sz w:val="21"/>
          <w:szCs w:val="21"/>
        </w:rPr>
        <w:t xml:space="preserve">Omisión de las </w:t>
      </w:r>
      <w:r w:rsidRPr="00E10347">
        <w:rPr>
          <w:rFonts w:ascii="Palatino Linotype" w:hAnsi="Palatino Linotype"/>
          <w:b/>
          <w:sz w:val="21"/>
          <w:szCs w:val="21"/>
        </w:rPr>
        <w:t>del Código Procesal Contencioso Administrativo</w:t>
      </w:r>
    </w:p>
    <w:p w:rsidR="002014CA" w:rsidRPr="00E10347" w:rsidRDefault="002014CA" w:rsidP="008A02E9">
      <w:pPr>
        <w:pStyle w:val="Sinespaciado"/>
        <w:ind w:left="708"/>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 xml:space="preserve">1.  </w:t>
      </w:r>
      <w:r w:rsidRPr="00E10347">
        <w:rPr>
          <w:rFonts w:ascii="Palatino Linotype" w:hAnsi="Palatino Linotype" w:cs="Times New Roman"/>
          <w:sz w:val="21"/>
          <w:szCs w:val="21"/>
        </w:rPr>
        <w:tab/>
        <w:t>Que haya sido interpuesta por persona incapaz o que no se halla debidamente representada.</w:t>
      </w:r>
    </w:p>
    <w:p w:rsidR="002014CA" w:rsidRPr="00E10347" w:rsidRDefault="002014CA" w:rsidP="008A02E9">
      <w:pPr>
        <w:pStyle w:val="Sinespaciado"/>
        <w:ind w:left="708"/>
        <w:jc w:val="both"/>
        <w:rPr>
          <w:rFonts w:ascii="Palatino Linotype" w:hAnsi="Palatino Linotype" w:cs="Times New Roman"/>
          <w:sz w:val="21"/>
          <w:szCs w:val="21"/>
        </w:rPr>
      </w:pPr>
      <w:r w:rsidRPr="00E10347">
        <w:rPr>
          <w:rFonts w:ascii="Palatino Linotype" w:hAnsi="Palatino Linotype" w:cs="Times New Roman"/>
          <w:sz w:val="21"/>
          <w:szCs w:val="21"/>
        </w:rPr>
        <w:t xml:space="preserve">2.  </w:t>
      </w:r>
      <w:r w:rsidRPr="00E10347">
        <w:rPr>
          <w:rFonts w:ascii="Palatino Linotype" w:hAnsi="Palatino Linotype" w:cs="Times New Roman"/>
          <w:sz w:val="21"/>
          <w:szCs w:val="21"/>
        </w:rPr>
        <w:tab/>
        <w:t>Que el escrito de la demanda tenga defectos no subsanados oportunamente, que impidan verter pronunciamiento sobre el fondo.</w:t>
      </w:r>
    </w:p>
    <w:p w:rsidR="002014CA" w:rsidRPr="00E10347" w:rsidRDefault="002014CA" w:rsidP="008A02E9">
      <w:pPr>
        <w:pStyle w:val="Sinespaciado"/>
        <w:ind w:left="708"/>
        <w:jc w:val="both"/>
        <w:rPr>
          <w:rFonts w:ascii="Palatino Linotype" w:hAnsi="Palatino Linotype" w:cs="Times New Roman"/>
          <w:sz w:val="21"/>
          <w:szCs w:val="21"/>
        </w:rPr>
      </w:pPr>
      <w:r w:rsidRPr="00E10347">
        <w:rPr>
          <w:rFonts w:ascii="Palatino Linotype" w:hAnsi="Palatino Linotype" w:cs="Times New Roman"/>
          <w:sz w:val="21"/>
          <w:szCs w:val="21"/>
        </w:rPr>
        <w:t xml:space="preserve">3.  </w:t>
      </w:r>
      <w:r w:rsidRPr="00E10347">
        <w:rPr>
          <w:rFonts w:ascii="Palatino Linotype" w:hAnsi="Palatino Linotype" w:cs="Times New Roman"/>
          <w:sz w:val="21"/>
          <w:szCs w:val="21"/>
        </w:rPr>
        <w:tab/>
        <w:t>Transacción.</w:t>
      </w:r>
    </w:p>
    <w:p w:rsidR="002014CA" w:rsidRPr="00E10347" w:rsidRDefault="002014CA" w:rsidP="008A02E9">
      <w:pPr>
        <w:pStyle w:val="Sinespaciado"/>
        <w:ind w:left="708"/>
        <w:jc w:val="both"/>
        <w:rPr>
          <w:rFonts w:ascii="Palatino Linotype" w:hAnsi="Palatino Linotype" w:cs="Times New Roman"/>
          <w:sz w:val="21"/>
          <w:szCs w:val="21"/>
        </w:rPr>
      </w:pPr>
      <w:r w:rsidRPr="00E10347">
        <w:rPr>
          <w:rFonts w:ascii="Palatino Linotype" w:hAnsi="Palatino Linotype" w:cs="Times New Roman"/>
          <w:sz w:val="21"/>
          <w:szCs w:val="21"/>
        </w:rPr>
        <w:t xml:space="preserve">4.  </w:t>
      </w:r>
      <w:r w:rsidRPr="00E10347">
        <w:rPr>
          <w:rFonts w:ascii="Palatino Linotype" w:hAnsi="Palatino Linotype" w:cs="Times New Roman"/>
          <w:sz w:val="21"/>
          <w:szCs w:val="21"/>
        </w:rPr>
        <w:tab/>
        <w:t>Cosa juzgada.</w:t>
      </w:r>
    </w:p>
    <w:p w:rsidR="002014CA" w:rsidRPr="00E10347" w:rsidRDefault="002014CA" w:rsidP="008A02E9">
      <w:pPr>
        <w:pStyle w:val="Sinespaciado"/>
        <w:ind w:left="708"/>
        <w:jc w:val="both"/>
        <w:rPr>
          <w:rFonts w:ascii="Palatino Linotype" w:hAnsi="Palatino Linotype" w:cs="Times New Roman"/>
          <w:sz w:val="21"/>
          <w:szCs w:val="21"/>
        </w:rPr>
      </w:pPr>
      <w:r w:rsidRPr="00E10347">
        <w:rPr>
          <w:rFonts w:ascii="Palatino Linotype" w:hAnsi="Palatino Linotype" w:cs="Times New Roman"/>
          <w:sz w:val="21"/>
          <w:szCs w:val="21"/>
        </w:rPr>
        <w:t xml:space="preserve">5.  </w:t>
      </w:r>
      <w:r w:rsidRPr="00E10347">
        <w:rPr>
          <w:rFonts w:ascii="Palatino Linotype" w:hAnsi="Palatino Linotype" w:cs="Times New Roman"/>
          <w:sz w:val="21"/>
          <w:szCs w:val="21"/>
        </w:rPr>
        <w:tab/>
        <w:t>Prescripción o caducidad del derecho, cuando sean evidentes y manifiestas".</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rPr>
        <w:t>Si la idea más democrática se inclina hacia una mayor cantidad de defensas previas resulta difícil explicarse el porqué en el Nuevo Código Procesal se siguió el criterio contrario.  Es decir</w:t>
      </w:r>
      <w:r w:rsidR="00FF745B" w:rsidRPr="00E10347">
        <w:rPr>
          <w:rFonts w:ascii="Palatino Linotype" w:hAnsi="Palatino Linotype" w:cs="Times New Roman"/>
          <w:sz w:val="21"/>
          <w:szCs w:val="21"/>
        </w:rPr>
        <w:t>,</w:t>
      </w:r>
      <w:r w:rsidRPr="00E10347">
        <w:rPr>
          <w:rFonts w:ascii="Palatino Linotype" w:hAnsi="Palatino Linotype" w:cs="Times New Roman"/>
          <w:sz w:val="21"/>
          <w:szCs w:val="21"/>
        </w:rPr>
        <w:t xml:space="preserve"> reducir a un </w:t>
      </w:r>
      <w:r w:rsidRPr="00E10347">
        <w:rPr>
          <w:rFonts w:ascii="Palatino Linotype" w:hAnsi="Palatino Linotype" w:cs="Times New Roman"/>
          <w:b/>
          <w:i/>
          <w:sz w:val="21"/>
          <w:szCs w:val="21"/>
        </w:rPr>
        <w:t>minimo minimorum</w:t>
      </w:r>
      <w:r w:rsidRPr="00E10347">
        <w:rPr>
          <w:rFonts w:ascii="Palatino Linotype" w:hAnsi="Palatino Linotype" w:cs="Times New Roman"/>
          <w:sz w:val="21"/>
          <w:szCs w:val="21"/>
        </w:rPr>
        <w:t xml:space="preserve"> dejando fuera algunas fundamentales. </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rPr>
        <w:t>En efecto es evidente la reducción considerable si se comprueba haber dejado tan solo cinco cuando en la mayoría de los cuerpos procesales hasta se duplica el número.</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Pero no se está interpelando solo por la cantidad sino por la calidad de las eliminadas, muchas de ellas admitidas como tales en un largo periodo de nuestra historia jurídica. </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b/>
          <w:sz w:val="21"/>
          <w:szCs w:val="21"/>
        </w:rPr>
        <w:t>A)</w:t>
      </w:r>
      <w:r w:rsidRPr="00E10347">
        <w:rPr>
          <w:rFonts w:ascii="Palatino Linotype" w:hAnsi="Palatino Linotype" w:cs="Times New Roman"/>
          <w:sz w:val="21"/>
          <w:szCs w:val="21"/>
        </w:rPr>
        <w:t xml:space="preserve"> Un primer interrogante va dirigido a interpelar el porqué se eliminaron las tan absolutamente necesarias comprensivas de:  a)  la falta de capacidad de la parte, y, b)  la defectuosa, inexistente o insuficiente representación) ya previstas en el Código Procesal Civil  (2. La falta de capacidad o la defectuosa representación) y del Procesal Laboral (4. Falta de capacidad de la parte, inexistencia o insuficiencia de la representación). </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Esta defensa previa no puede eliminarse del elenco como fue la tesis del Nuevo Código, ni tampoco obviarse, bajo el argumento de que es de suyo comprensible como tal.  </w:t>
      </w:r>
      <w:r w:rsidRPr="00E10347">
        <w:rPr>
          <w:rFonts w:ascii="Palatino Linotype" w:hAnsi="Palatino Linotype" w:cs="Times New Roman"/>
          <w:sz w:val="21"/>
          <w:szCs w:val="21"/>
        </w:rPr>
        <w:tab/>
        <w:t xml:space="preserve">Porque el principio de legalidad procesal obliga a su debida inclusión para tenerla como tal y de ninguna forma podría interpretarse su existencia si no se encuentra dentro del elenco. </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El gran problema, evidente desde cualquier óptica que se le observe, para ampliar el interrogante, consiste en que al no calificarla como </w:t>
      </w:r>
      <w:r w:rsidRPr="00E10347">
        <w:rPr>
          <w:rFonts w:ascii="Palatino Linotype" w:eastAsia="Arial" w:hAnsi="Palatino Linotype" w:cs="Times New Roman"/>
          <w:sz w:val="21"/>
          <w:szCs w:val="21"/>
        </w:rPr>
        <w:t>e</w:t>
      </w:r>
      <w:r w:rsidRPr="00E10347">
        <w:rPr>
          <w:rFonts w:ascii="Palatino Linotype" w:eastAsia="Arial" w:hAnsi="Palatino Linotype" w:cs="Times New Roman"/>
          <w:spacing w:val="1"/>
          <w:sz w:val="21"/>
          <w:szCs w:val="21"/>
        </w:rPr>
        <w:t>x</w:t>
      </w:r>
      <w:r w:rsidRPr="00E10347">
        <w:rPr>
          <w:rFonts w:ascii="Palatino Linotype" w:eastAsia="Arial" w:hAnsi="Palatino Linotype" w:cs="Times New Roman"/>
          <w:spacing w:val="-1"/>
          <w:sz w:val="21"/>
          <w:szCs w:val="21"/>
        </w:rPr>
        <w:t>c</w:t>
      </w:r>
      <w:r w:rsidRPr="00E10347">
        <w:rPr>
          <w:rFonts w:ascii="Palatino Linotype" w:eastAsia="Arial" w:hAnsi="Palatino Linotype" w:cs="Times New Roman"/>
          <w:spacing w:val="1"/>
          <w:sz w:val="21"/>
          <w:szCs w:val="21"/>
        </w:rPr>
        <w:t>e</w:t>
      </w:r>
      <w:r w:rsidRPr="00E10347">
        <w:rPr>
          <w:rFonts w:ascii="Palatino Linotype" w:eastAsia="Arial" w:hAnsi="Palatino Linotype" w:cs="Times New Roman"/>
          <w:sz w:val="21"/>
          <w:szCs w:val="21"/>
        </w:rPr>
        <w:t xml:space="preserve">pción </w:t>
      </w:r>
      <w:r w:rsidRPr="00E10347">
        <w:rPr>
          <w:rFonts w:ascii="Palatino Linotype" w:eastAsia="Arial" w:hAnsi="Palatino Linotype" w:cs="Times New Roman"/>
          <w:spacing w:val="3"/>
          <w:sz w:val="21"/>
          <w:szCs w:val="21"/>
        </w:rPr>
        <w:t xml:space="preserve"> </w:t>
      </w:r>
      <w:r w:rsidRPr="00E10347">
        <w:rPr>
          <w:rFonts w:ascii="Palatino Linotype" w:eastAsia="Arial" w:hAnsi="Palatino Linotype" w:cs="Times New Roman"/>
          <w:sz w:val="21"/>
          <w:szCs w:val="21"/>
        </w:rPr>
        <w:t>proc</w:t>
      </w:r>
      <w:r w:rsidRPr="00E10347">
        <w:rPr>
          <w:rFonts w:ascii="Palatino Linotype" w:eastAsia="Arial" w:hAnsi="Palatino Linotype" w:cs="Times New Roman"/>
          <w:spacing w:val="-1"/>
          <w:sz w:val="21"/>
          <w:szCs w:val="21"/>
        </w:rPr>
        <w:t>e</w:t>
      </w:r>
      <w:r w:rsidRPr="00E10347">
        <w:rPr>
          <w:rFonts w:ascii="Palatino Linotype" w:eastAsia="Arial" w:hAnsi="Palatino Linotype" w:cs="Times New Roman"/>
          <w:spacing w:val="1"/>
          <w:sz w:val="21"/>
          <w:szCs w:val="21"/>
        </w:rPr>
        <w:t>sa</w:t>
      </w:r>
      <w:r w:rsidRPr="00E10347">
        <w:rPr>
          <w:rFonts w:ascii="Palatino Linotype" w:eastAsia="Arial" w:hAnsi="Palatino Linotype" w:cs="Times New Roman"/>
          <w:sz w:val="21"/>
          <w:szCs w:val="21"/>
        </w:rPr>
        <w:t>l se le deberá tener como material susceptible de resolverse por el fondo con la sentencia.</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b/>
          <w:sz w:val="21"/>
          <w:szCs w:val="21"/>
        </w:rPr>
        <w:lastRenderedPageBreak/>
        <w:t>B)</w:t>
      </w:r>
      <w:r w:rsidRPr="00E10347">
        <w:rPr>
          <w:rFonts w:ascii="Palatino Linotype" w:hAnsi="Palatino Linotype" w:cs="Times New Roman"/>
          <w:sz w:val="21"/>
          <w:szCs w:val="21"/>
        </w:rPr>
        <w:t xml:space="preserve">  Otros muchos interrogantes se dirigen hacia la búsqueda de una respuesta satisfactoria sobre los fundamentos jurídicos atendibles para justificar la eliminación de las clásicas: </w:t>
      </w:r>
    </w:p>
    <w:p w:rsidR="002014CA" w:rsidRPr="00E10347" w:rsidRDefault="002014CA" w:rsidP="008A02E9">
      <w:pPr>
        <w:pStyle w:val="Sinespaciado"/>
        <w:ind w:left="708"/>
        <w:rPr>
          <w:rFonts w:ascii="Palatino Linotype" w:hAnsi="Palatino Linotype" w:cs="Times New Roman"/>
          <w:sz w:val="21"/>
          <w:szCs w:val="21"/>
        </w:rPr>
      </w:pPr>
      <w:r w:rsidRPr="00E10347">
        <w:rPr>
          <w:rFonts w:ascii="Palatino Linotype" w:hAnsi="Palatino Linotype" w:cs="Times New Roman"/>
          <w:sz w:val="21"/>
          <w:szCs w:val="21"/>
        </w:rPr>
        <w:t>1. Cosa juzgada.</w:t>
      </w:r>
    </w:p>
    <w:p w:rsidR="002014CA" w:rsidRPr="00E10347" w:rsidRDefault="002014CA" w:rsidP="008A02E9">
      <w:pPr>
        <w:pStyle w:val="Sinespaciado"/>
        <w:ind w:left="708"/>
        <w:rPr>
          <w:rFonts w:ascii="Palatino Linotype" w:hAnsi="Palatino Linotype" w:cs="Times New Roman"/>
          <w:sz w:val="21"/>
          <w:szCs w:val="21"/>
        </w:rPr>
      </w:pPr>
      <w:r w:rsidRPr="00E10347">
        <w:rPr>
          <w:rFonts w:ascii="Palatino Linotype" w:hAnsi="Palatino Linotype" w:cs="Times New Roman"/>
          <w:sz w:val="21"/>
          <w:szCs w:val="21"/>
        </w:rPr>
        <w:t>2. Transacción.</w:t>
      </w:r>
    </w:p>
    <w:p w:rsidR="002014CA" w:rsidRPr="00E10347" w:rsidRDefault="002014CA" w:rsidP="008A02E9">
      <w:pPr>
        <w:pStyle w:val="Sinespaciado"/>
        <w:ind w:left="708"/>
        <w:rPr>
          <w:rFonts w:ascii="Palatino Linotype" w:hAnsi="Palatino Linotype" w:cs="Times New Roman"/>
          <w:sz w:val="21"/>
          <w:szCs w:val="21"/>
        </w:rPr>
      </w:pPr>
      <w:r w:rsidRPr="00E10347">
        <w:rPr>
          <w:rFonts w:ascii="Palatino Linotype" w:hAnsi="Palatino Linotype" w:cs="Times New Roman"/>
          <w:sz w:val="21"/>
          <w:szCs w:val="21"/>
        </w:rPr>
        <w:t xml:space="preserve">3. Prescripción </w:t>
      </w:r>
    </w:p>
    <w:p w:rsidR="002014CA" w:rsidRPr="00E10347" w:rsidRDefault="002014CA" w:rsidP="008A02E9">
      <w:pPr>
        <w:pStyle w:val="Sinespaciado"/>
        <w:ind w:left="708"/>
        <w:rPr>
          <w:rFonts w:ascii="Palatino Linotype" w:hAnsi="Palatino Linotype" w:cs="Times New Roman"/>
          <w:sz w:val="21"/>
          <w:szCs w:val="21"/>
        </w:rPr>
      </w:pPr>
      <w:r w:rsidRPr="00E10347">
        <w:rPr>
          <w:rFonts w:ascii="Palatino Linotype" w:hAnsi="Palatino Linotype" w:cs="Times New Roman"/>
          <w:sz w:val="21"/>
          <w:szCs w:val="21"/>
        </w:rPr>
        <w:t>4. Caducidad.</w:t>
      </w:r>
    </w:p>
    <w:p w:rsidR="002014CA" w:rsidRPr="00E10347" w:rsidRDefault="002014CA" w:rsidP="00E10347">
      <w:pPr>
        <w:pStyle w:val="Sinespaciado"/>
        <w:ind w:firstLine="709"/>
        <w:rPr>
          <w:rFonts w:ascii="Palatino Linotype" w:hAnsi="Palatino Linotype"/>
          <w:sz w:val="21"/>
          <w:szCs w:val="21"/>
        </w:rPr>
      </w:pPr>
      <w:r w:rsidRPr="00E10347">
        <w:rPr>
          <w:rFonts w:ascii="Palatino Linotype" w:hAnsi="Palatino Linotype" w:cs="Times New Roman"/>
          <w:sz w:val="21"/>
          <w:szCs w:val="21"/>
        </w:rPr>
        <w:t>Dentro de estas hubieres sido interesante también interrogar porqué no se recurrió a una fórmula más atractiva como la  del Código Procesal Contencioso Administrativo referido a: "</w:t>
      </w:r>
      <w:r w:rsidRPr="00E10347">
        <w:rPr>
          <w:rFonts w:ascii="Palatino Linotype" w:hAnsi="Palatino Linotype" w:cs="Times New Roman"/>
          <w:b/>
          <w:sz w:val="21"/>
          <w:szCs w:val="21"/>
        </w:rPr>
        <w:t>Prescripción y caducidad, cuando sean evidentes y manifiestas</w:t>
      </w:r>
      <w:r w:rsidRPr="00E10347">
        <w:rPr>
          <w:rFonts w:ascii="Palatino Linotype" w:hAnsi="Palatino Linotype" w:cs="Times New Roman"/>
          <w:sz w:val="21"/>
          <w:szCs w:val="21"/>
        </w:rPr>
        <w:t>".</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b/>
          <w:sz w:val="21"/>
          <w:szCs w:val="21"/>
        </w:rPr>
        <w:t>C)</w:t>
      </w:r>
      <w:r w:rsidRPr="00E10347">
        <w:rPr>
          <w:rFonts w:ascii="Palatino Linotype" w:hAnsi="Palatino Linotype" w:cs="Times New Roman"/>
          <w:sz w:val="21"/>
          <w:szCs w:val="21"/>
        </w:rPr>
        <w:t xml:space="preserve">  Otros interrogantes versan sobre la omisión  de considerar  dentro de las defensas previas  la "demanda improponible" y la "demanda defectuosa".</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rPr>
        <w:t>Porque aún cuando en los diferentes cuerpos procesales se han introducido institutos normativos tan útiles en todos los sistemas judiciales como los de la "demanda improponible" y la "demanda defectuosa", estos han tenido muchos problemas en su adopción como figuras propias. Especialmente por los obstáculos ilógicos interpuestos contra ellos por los Jueces, quienes por temores infundados las rechazan.  Fundan su oposición en el prurito de una cierta denegación de justicia, la necesidad de darle a aquellas demandas el debido proceso, y solo cuando se ha absuelto toda la prueba se declare tal defecto, como excepción de fondo, en el fallo.</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rPr>
        <w:t>La mejor solución consiste en introducirlas como defensas previas pues en esta forma con el solo traslado de la demanda o contrademanda surge la discusión para ser saneada en la audiencia preliminar, donde este problema podría ser saneado o bien declarado si no existe modo de subsanarlo.</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rPr>
        <w:t>En diferente cuerpos normativos nacionales tanto "la demanda improponible" (según lo propuso el Código Procesal General en el 26.4.10. "Demanda evidentemente improponible") como "la demanda defectuosa"  (según se encuentra en el  Procesal Contencioso Administrativo:  66.d.2.  "Que el escrito de la demanda tenga defectos no subsanados oportunamente, que impidan verter pronunciamiento sobre el fondo"  y la Procesal Laboral: 503.3 "Existencia de defectos en el escrito de demanda o contrademanda que (...)impiden verter pronunciamiento válido sobre el fondo"), han sido calificadas e introducidas con muy buena acogida, en un muy buen camino,  cuya omisión en el Código procesal no se comprende.</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b/>
          <w:sz w:val="21"/>
          <w:szCs w:val="21"/>
        </w:rPr>
        <w:lastRenderedPageBreak/>
        <w:t>D)</w:t>
      </w:r>
      <w:r w:rsidRPr="00E10347">
        <w:rPr>
          <w:rFonts w:ascii="Palatino Linotype" w:hAnsi="Palatino Linotype" w:cs="Times New Roman"/>
          <w:sz w:val="21"/>
          <w:szCs w:val="21"/>
        </w:rPr>
        <w:t xml:space="preserve">  En conclusión, en el Nuevo Código Procesal Civil se requiere una sólida explicación del porqué faltó incorporar tantísimas  excepciones procesales como las siguientes:</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1.  Falta de capacidad de la parte o bien defectuosa, inexistente o </w:t>
      </w:r>
      <w:r w:rsidRPr="00E10347">
        <w:rPr>
          <w:rFonts w:ascii="Palatino Linotype" w:hAnsi="Palatino Linotype" w:cs="Times New Roman"/>
          <w:sz w:val="21"/>
          <w:szCs w:val="21"/>
        </w:rPr>
        <w:tab/>
        <w:t>insuficiente representación.</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rPr>
        <w:t>2. Cosa juzgada.</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rPr>
        <w:t>3.  Transacción.</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rPr>
        <w:t>4.  Prescripción y caducidad, cuando sean evidentes y manifiestas.</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rPr>
        <w:t>5.  Demanda manifiestamente improponible.</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rPr>
        <w:t>6. Demanda defectuosa que impiden verter pronunciamiento válido sobre el fondo</w:t>
      </w:r>
    </w:p>
    <w:p w:rsidR="00FF745B" w:rsidRPr="00E10347" w:rsidRDefault="00FF745B" w:rsidP="00E10347">
      <w:pPr>
        <w:pStyle w:val="Sinespaciado"/>
        <w:ind w:firstLine="709"/>
        <w:jc w:val="both"/>
        <w:rPr>
          <w:rFonts w:ascii="Palatino Linotype" w:hAnsi="Palatino Linotype" w:cs="Times New Roman"/>
          <w:sz w:val="21"/>
          <w:szCs w:val="21"/>
        </w:rPr>
      </w:pP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Porque esta no pudo ser una omisión inconsciente, sino con mucha claridad ideológica y política, contrariando un sistema conocidamente fundado en la celeridad, desprovisto de formalismos innecesarios, evitando el litigio y una forma violenta en la actuación judicial, para invertir esas características con que se caracterizó al Código Procesal General, para concebir uno procesal civil con características formales inaceptables, odiosamente retardatarios, y con </w:t>
      </w:r>
      <w:r w:rsidRPr="00E10347">
        <w:rPr>
          <w:rFonts w:ascii="Palatino Linotype" w:hAnsi="Palatino Linotype" w:cs="Times New Roman"/>
          <w:b/>
          <w:i/>
          <w:sz w:val="21"/>
          <w:szCs w:val="21"/>
        </w:rPr>
        <w:t>animus litigatorum</w:t>
      </w:r>
      <w:r w:rsidRPr="00E10347">
        <w:rPr>
          <w:rFonts w:ascii="Palatino Linotype" w:hAnsi="Palatino Linotype" w:cs="Times New Roman"/>
          <w:sz w:val="21"/>
          <w:szCs w:val="21"/>
        </w:rPr>
        <w:t xml:space="preserve">.  </w:t>
      </w:r>
    </w:p>
    <w:p w:rsidR="008A02E9" w:rsidRDefault="008A02E9" w:rsidP="00E10347">
      <w:pPr>
        <w:pStyle w:val="NormalWeb"/>
        <w:shd w:val="clear" w:color="auto" w:fill="FFFFFF"/>
        <w:spacing w:before="0" w:beforeAutospacing="0" w:after="0" w:afterAutospacing="0"/>
        <w:jc w:val="both"/>
        <w:rPr>
          <w:rFonts w:ascii="Palatino Linotype" w:hAnsi="Palatino Linotype"/>
          <w:b/>
          <w:sz w:val="21"/>
          <w:szCs w:val="21"/>
        </w:rPr>
      </w:pPr>
    </w:p>
    <w:p w:rsidR="002014CA" w:rsidRPr="00E10347" w:rsidRDefault="002014CA" w:rsidP="00E10347">
      <w:pPr>
        <w:pStyle w:val="NormalWeb"/>
        <w:shd w:val="clear" w:color="auto" w:fill="FFFFFF"/>
        <w:spacing w:before="0" w:beforeAutospacing="0" w:after="0" w:afterAutospacing="0"/>
        <w:jc w:val="both"/>
        <w:rPr>
          <w:rFonts w:ascii="Palatino Linotype" w:hAnsi="Palatino Linotype"/>
          <w:b/>
          <w:sz w:val="21"/>
          <w:szCs w:val="21"/>
        </w:rPr>
      </w:pPr>
      <w:r w:rsidRPr="00E10347">
        <w:rPr>
          <w:rFonts w:ascii="Palatino Linotype" w:hAnsi="Palatino Linotype"/>
          <w:b/>
          <w:sz w:val="21"/>
          <w:szCs w:val="21"/>
        </w:rPr>
        <w:t>7. (sigue).  La falta de técnica en el tratamiento jurídico del tema categórico del "proceso por audiencias" en el Sistema de la Oralidad.</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La forma como se puede concebir la estructura de las audiencias ha seguido, del Derecho Comparado, algunas opciones principales.  Ellas deben corresponder principalmente a la tradición y experiencia de la oralidad en etapas anteriores.  O bien, si para la disciplina de que se trate, no ha existido ninguna experiencia.</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En Europa, antiquísimos modelos se estructuraron únicamente sobre la oralidad, con regreso a la escritura en épocas oscuras como fue el advenimiento de la Edad Media.  En dichos países, especialmente los nórdicos hasta llegar a Alemania y Austria, la opción más significativa se vincula con</w:t>
      </w:r>
      <w:r w:rsidRPr="00E10347">
        <w:rPr>
          <w:rFonts w:ascii="Palatino Linotype" w:hAnsi="Palatino Linotype"/>
          <w:sz w:val="21"/>
          <w:szCs w:val="21"/>
          <w:u w:color="000000"/>
        </w:rPr>
        <w:t xml:space="preserve"> la fórmula abierta alemana del </w:t>
      </w:r>
      <w:r w:rsidRPr="00E10347">
        <w:rPr>
          <w:rFonts w:ascii="Palatino Linotype" w:hAnsi="Palatino Linotype"/>
          <w:b/>
          <w:bCs/>
          <w:sz w:val="21"/>
          <w:szCs w:val="21"/>
          <w:u w:color="000000"/>
        </w:rPr>
        <w:t xml:space="preserve">Zivilprozessordnung, </w:t>
      </w:r>
      <w:r w:rsidRPr="00E10347">
        <w:rPr>
          <w:rFonts w:ascii="Palatino Linotype" w:hAnsi="Palatino Linotype"/>
          <w:sz w:val="21"/>
          <w:szCs w:val="21"/>
          <w:u w:color="000000"/>
        </w:rPr>
        <w:t>ZPO, del 30 de enero de 1877, según la cual “Las partes debaten en forma oral ante el juez o tribunal que entiende en la causa” (Artículo 128 inciso 1), a partir de donde se ha venido construyendo todo el Sistema de la Oralidad por audiencias (</w:t>
      </w:r>
      <w:r w:rsidRPr="00E10347">
        <w:rPr>
          <w:rFonts w:ascii="Palatino Linotype" w:hAnsi="Palatino Linotype"/>
          <w:b/>
          <w:sz w:val="21"/>
          <w:szCs w:val="21"/>
          <w:u w:color="000000"/>
        </w:rPr>
        <w:t>LEIBLE, S</w:t>
      </w:r>
      <w:r w:rsidRPr="00E10347">
        <w:rPr>
          <w:rFonts w:ascii="Palatino Linotype" w:hAnsi="Palatino Linotype"/>
          <w:sz w:val="21"/>
          <w:szCs w:val="21"/>
          <w:u w:color="000000"/>
        </w:rPr>
        <w:t xml:space="preserve">., </w:t>
      </w:r>
      <w:r w:rsidRPr="00E10347">
        <w:rPr>
          <w:rFonts w:ascii="Palatino Linotype" w:hAnsi="Palatino Linotype"/>
          <w:b/>
          <w:i/>
          <w:sz w:val="21"/>
          <w:szCs w:val="21"/>
        </w:rPr>
        <w:t>Proceso civil alemán</w:t>
      </w:r>
      <w:r w:rsidRPr="00E10347">
        <w:rPr>
          <w:rFonts w:ascii="Palatino Linotype" w:hAnsi="Palatino Linotype"/>
          <w:sz w:val="21"/>
          <w:szCs w:val="21"/>
        </w:rPr>
        <w:t xml:space="preserve">, Diké, Medellín, 1999, p. 140-156).  Esto es se deja a los jueces, generalmente con mucha autoridad en </w:t>
      </w:r>
      <w:r w:rsidRPr="00E10347">
        <w:rPr>
          <w:rFonts w:ascii="Palatino Linotype" w:hAnsi="Palatino Linotype"/>
          <w:sz w:val="21"/>
          <w:szCs w:val="21"/>
        </w:rPr>
        <w:lastRenderedPageBreak/>
        <w:t>el proceso, y extremo respeto de las partes a las decisiones judiciales, a la conducción del proceso, con pocos elementos de contradictorio, pues ellos se encuentran en la parte escrita de demanda y contestación o también de contrademanda y réplica, en el interrogatorio  y contrainterrogatorio, así como en las conclusiones fácticas finales de las partes con la proposición del dictado de la sentencia en función del Derecho aplicable.</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En América Latina, con múltiples intentos pero muy poca normativa aprobada, toda la tradición conocida ha sido únicamente la escritura.  La Colonia heredó un sistema escrito proveniente de la Ley de Enjuiciamiento Civil Española.  Y pese a diferentes reformas, la última,  del 2000, aún cuando en los intentos anteriores se formuló la urgencia de fundar un Sistema de Oralidad, razones de orden política "de derechas" solo conoció un avance técnico sin llegar a la propuesta original, con serias confusiones para quienes no dominan la historia del Derecho Procesal Español.</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Empero si se han conocido experiencias aisladas, sin un cambio total para incorporar el Sistema de la Oralidad, como fue la incorporación del "Despacho Saneador" concebido en Portugal e incorporado en Brasil como tal, como seguidamente se indica, bajo el nombre de "Audiencia Preliminar" o "Audiencia de Saneamiento".</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cs="Times New Roman"/>
          <w:sz w:val="21"/>
          <w:szCs w:val="21"/>
        </w:rPr>
        <w:t>El intento más significativo se encuentra en la propuesta de</w:t>
      </w:r>
      <w:r w:rsidRPr="00E10347">
        <w:rPr>
          <w:rFonts w:ascii="Palatino Linotype" w:hAnsi="Palatino Linotype"/>
          <w:sz w:val="21"/>
          <w:szCs w:val="21"/>
        </w:rPr>
        <w:t xml:space="preserve"> </w:t>
      </w:r>
      <w:r w:rsidRPr="00E10347">
        <w:rPr>
          <w:rFonts w:ascii="Palatino Linotype" w:hAnsi="Palatino Linotype"/>
          <w:b/>
          <w:bCs/>
          <w:sz w:val="21"/>
          <w:szCs w:val="21"/>
        </w:rPr>
        <w:t xml:space="preserve">Código Tipo </w:t>
      </w:r>
      <w:r w:rsidRPr="00E10347">
        <w:rPr>
          <w:rFonts w:ascii="Palatino Linotype" w:hAnsi="Palatino Linotype"/>
          <w:sz w:val="21"/>
          <w:szCs w:val="21"/>
        </w:rPr>
        <w:t xml:space="preserve">del Instituto Iberoamericano de Derecho Procesal.  No tiene una fórmula abierta, dejada al Juez para conducir el proceso conforme a su experiencia o concepción del Sistema de la Oralidad. El ideal, a partir de la antiquísima propuesta de Eduardo Couture, de 1954,   profundo conocedor del Derecho comparado, incluido el </w:t>
      </w:r>
      <w:r w:rsidRPr="00E10347">
        <w:rPr>
          <w:rFonts w:ascii="Palatino Linotype" w:hAnsi="Palatino Linotype"/>
          <w:b/>
          <w:i/>
          <w:sz w:val="21"/>
          <w:szCs w:val="21"/>
        </w:rPr>
        <w:t>commnon law</w:t>
      </w:r>
      <w:r w:rsidRPr="00E10347">
        <w:rPr>
          <w:rFonts w:ascii="Palatino Linotype" w:hAnsi="Palatino Linotype"/>
          <w:sz w:val="21"/>
          <w:szCs w:val="21"/>
        </w:rPr>
        <w:t>, busca concebir un proceso por audiencias. En el proceso ordinario se incorpora el Sistema de la Oralidad, y a partir de ahí los jueces irían conformando una u otra, o la mezcla de ambas, conforme a cada tipo de proceso en la audiencia preliminar y la audiencia complementaria, cada una comprendiendo un conjunto de actividades procesales a resolver conforme al estilo del Juez o "un proceso a tres" como acuerdo entre el Juez y las partes.  (</w:t>
      </w:r>
      <w:r w:rsidRPr="00E10347">
        <w:rPr>
          <w:rFonts w:ascii="Palatino Linotype" w:hAnsi="Palatino Linotype"/>
          <w:b/>
          <w:sz w:val="21"/>
          <w:szCs w:val="21"/>
        </w:rPr>
        <w:t>VESCOVI, E.</w:t>
      </w:r>
      <w:r w:rsidRPr="00E10347">
        <w:rPr>
          <w:rFonts w:ascii="Palatino Linotype" w:hAnsi="Palatino Linotype"/>
          <w:sz w:val="21"/>
          <w:szCs w:val="21"/>
        </w:rPr>
        <w:t xml:space="preserve">, </w:t>
      </w:r>
      <w:r w:rsidRPr="00E10347">
        <w:rPr>
          <w:rFonts w:ascii="Palatino Linotype" w:hAnsi="Palatino Linotype"/>
          <w:b/>
          <w:i/>
          <w:sz w:val="21"/>
          <w:szCs w:val="21"/>
        </w:rPr>
        <w:t>El Código procesal civil modelo para Iberoamérica</w:t>
      </w:r>
      <w:r w:rsidRPr="00E10347">
        <w:rPr>
          <w:rFonts w:ascii="Palatino Linotype" w:hAnsi="Palatino Linotype"/>
          <w:sz w:val="21"/>
          <w:szCs w:val="21"/>
        </w:rPr>
        <w:t xml:space="preserve">,  Fundación Cultura Universitaria, 2° ed., Montevideo, 1997).  En igual forma se procedería en todo tipo de asuntos donde se requiera un </w:t>
      </w:r>
      <w:r w:rsidRPr="00E10347">
        <w:rPr>
          <w:rFonts w:ascii="Palatino Linotype" w:hAnsi="Palatino Linotype"/>
          <w:b/>
          <w:i/>
          <w:sz w:val="21"/>
          <w:szCs w:val="21"/>
        </w:rPr>
        <w:t>thema decidendi</w:t>
      </w:r>
      <w:r w:rsidRPr="00E10347">
        <w:rPr>
          <w:rFonts w:ascii="Palatino Linotype" w:hAnsi="Palatino Linotype"/>
          <w:sz w:val="21"/>
          <w:szCs w:val="21"/>
        </w:rPr>
        <w:t xml:space="preserve"> surgido de las exigencias propias del proceso, y para tal efecto se encuentran audiencias para:   resolver anticipada o no las medidas cautelares  (así como ampliarlas, revocarlas o complementarlas), los recursos conocidos por otros órganos </w:t>
      </w:r>
      <w:r w:rsidRPr="00E10347">
        <w:rPr>
          <w:rFonts w:ascii="Palatino Linotype" w:hAnsi="Palatino Linotype"/>
          <w:sz w:val="21"/>
          <w:szCs w:val="21"/>
        </w:rPr>
        <w:lastRenderedPageBreak/>
        <w:t xml:space="preserve">diferentes a los tramitadores como las apelaciones o la Casación, defensas previas cuya decisión requiere de un análisis más profundo, de ejecución de sentencia, fijación de honorarios de abogado, sin fijación del tipo de que se trate y con fórmulas prácticamente abiertas. </w:t>
      </w:r>
    </w:p>
    <w:p w:rsidR="008A02E9" w:rsidRDefault="008A02E9" w:rsidP="00E10347">
      <w:pPr>
        <w:pStyle w:val="NormalWeb"/>
        <w:shd w:val="clear" w:color="auto" w:fill="FFFFFF"/>
        <w:spacing w:before="0" w:beforeAutospacing="0" w:after="0" w:afterAutospacing="0"/>
        <w:jc w:val="both"/>
        <w:rPr>
          <w:rFonts w:ascii="Palatino Linotype" w:hAnsi="Palatino Linotype"/>
          <w:b/>
          <w:sz w:val="21"/>
          <w:szCs w:val="21"/>
        </w:rPr>
      </w:pPr>
    </w:p>
    <w:p w:rsidR="002014CA" w:rsidRPr="00E10347" w:rsidRDefault="002014CA" w:rsidP="00E10347">
      <w:pPr>
        <w:pStyle w:val="NormalWeb"/>
        <w:shd w:val="clear" w:color="auto" w:fill="FFFFFF"/>
        <w:spacing w:before="0" w:beforeAutospacing="0" w:after="0" w:afterAutospacing="0"/>
        <w:jc w:val="both"/>
        <w:rPr>
          <w:rFonts w:ascii="Palatino Linotype" w:hAnsi="Palatino Linotype"/>
          <w:b/>
          <w:sz w:val="21"/>
          <w:szCs w:val="21"/>
        </w:rPr>
      </w:pPr>
      <w:r w:rsidRPr="00E10347">
        <w:rPr>
          <w:rFonts w:ascii="Palatino Linotype" w:hAnsi="Palatino Linotype"/>
          <w:b/>
          <w:sz w:val="21"/>
          <w:szCs w:val="21"/>
        </w:rPr>
        <w:t>8.  (sigue)  El Sistema de Oralidad por audiencias del Código Procesal General y el Código Procesal Contencioso Administrativo.</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b/>
          <w:sz w:val="21"/>
          <w:szCs w:val="21"/>
        </w:rPr>
        <w:t>A)</w:t>
      </w:r>
      <w:r w:rsidRPr="00E10347">
        <w:rPr>
          <w:rFonts w:ascii="Palatino Linotype" w:hAnsi="Palatino Linotype"/>
          <w:sz w:val="21"/>
          <w:szCs w:val="21"/>
        </w:rPr>
        <w:t xml:space="preserve">  </w:t>
      </w:r>
      <w:r w:rsidRPr="00E10347">
        <w:rPr>
          <w:rFonts w:ascii="Palatino Linotype" w:hAnsi="Palatino Linotype"/>
          <w:b/>
          <w:sz w:val="21"/>
          <w:szCs w:val="21"/>
          <w:u w:color="000000"/>
        </w:rPr>
        <w:t xml:space="preserve">El Código Procesal General  y el Procesal Contencioso Administrativo incorporan una fórmula cercana a </w:t>
      </w:r>
      <w:r w:rsidRPr="00E10347">
        <w:rPr>
          <w:rFonts w:ascii="Palatino Linotype" w:hAnsi="Palatino Linotype"/>
          <w:b/>
          <w:sz w:val="21"/>
          <w:szCs w:val="21"/>
        </w:rPr>
        <w:t xml:space="preserve">la propuesta de </w:t>
      </w:r>
      <w:r w:rsidRPr="00E10347">
        <w:rPr>
          <w:rFonts w:ascii="Palatino Linotype" w:hAnsi="Palatino Linotype"/>
          <w:b/>
          <w:bCs/>
          <w:sz w:val="21"/>
          <w:szCs w:val="21"/>
        </w:rPr>
        <w:t xml:space="preserve">Código Tipo </w:t>
      </w:r>
      <w:r w:rsidRPr="00E10347">
        <w:rPr>
          <w:rFonts w:ascii="Palatino Linotype" w:hAnsi="Palatino Linotype"/>
          <w:b/>
          <w:sz w:val="21"/>
          <w:szCs w:val="21"/>
        </w:rPr>
        <w:t>del Instituto Iberoamericano de Derecho Procesal</w:t>
      </w:r>
      <w:r w:rsidRPr="00E10347">
        <w:rPr>
          <w:rFonts w:ascii="Palatino Linotype" w:hAnsi="Palatino Linotype"/>
          <w:sz w:val="21"/>
          <w:szCs w:val="21"/>
        </w:rPr>
        <w:t xml:space="preserve">.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u w:color="000000"/>
        </w:rPr>
      </w:pPr>
      <w:r w:rsidRPr="00E10347">
        <w:rPr>
          <w:rFonts w:ascii="Palatino Linotype" w:hAnsi="Palatino Linotype"/>
          <w:sz w:val="21"/>
          <w:szCs w:val="21"/>
        </w:rPr>
        <w:t xml:space="preserve">Se establecen </w:t>
      </w:r>
      <w:r w:rsidRPr="00E10347">
        <w:rPr>
          <w:rFonts w:ascii="Palatino Linotype" w:hAnsi="Palatino Linotype"/>
          <w:sz w:val="21"/>
          <w:szCs w:val="21"/>
          <w:u w:color="000000"/>
        </w:rPr>
        <w:t>las etapas fundamentales y la actividad procesal a desarrollar en las audiencias. En este sentido se aparta de los criterios de los demás ordenamientos jurídicos donde surgió originalmente este instituto procesal.</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rPr>
        <w:t>La idea fundamental de una correcta reforma procesal profunda consiste en tratar en forma autónoma las “audiencias orales”,  dentro de su referido a las “normas aplicables a todos los procesos”. En dicho capítulo se deben señalar las etapas fundamentales a desarrollar en todas las audiencias así como las posibles y eventuales actividades procesales susceptibles de presentarse. El criterio consiste en construir un cierto tipo de audiencia, conformada por una multiplicidad de elementos, a la cual se recurre cada en uno de los “procesos” consagrados, según la exigencia de abordar, o no, diversas actividades procesales.</w:t>
      </w:r>
    </w:p>
    <w:p w:rsidR="002014CA" w:rsidRPr="00E10347" w:rsidRDefault="002014CA" w:rsidP="00E10347">
      <w:pPr>
        <w:ind w:firstLine="709"/>
        <w:jc w:val="both"/>
        <w:textAlignment w:val="center"/>
        <w:rPr>
          <w:rFonts w:ascii="Palatino Linotype" w:hAnsi="Palatino Linotype"/>
          <w:sz w:val="21"/>
          <w:szCs w:val="21"/>
        </w:rPr>
      </w:pPr>
      <w:r w:rsidRPr="00E10347">
        <w:rPr>
          <w:rFonts w:ascii="Palatino Linotype" w:hAnsi="Palatino Linotype"/>
          <w:sz w:val="21"/>
          <w:szCs w:val="21"/>
        </w:rPr>
        <w:t xml:space="preserve">En esta forma las etapas especiales se encuentra vinculada, incluso indisolublemente unidas, a la etapa general en cuanto por analogía y con su carácter de norma supletoria, es posible aplicarlas a todos y cada uno de los procesos, y en estos últimos solamente se catalogan o mencionan las actividades a cumplir sin pormenorizarlas. </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rPr>
        <w:t xml:space="preserve">La aspiración consiste en ofrecer un modelo extremadamente simple, uniforme, basado en lineamientos generales, para permitir la creatividad del juez pero sujeto a ciertas orientaciones básicas e indispensables para el éxito del proceso, </w:t>
      </w:r>
      <w:r w:rsidRPr="00E10347">
        <w:rPr>
          <w:rFonts w:ascii="Palatino Linotype" w:hAnsi="Palatino Linotype"/>
          <w:b/>
          <w:sz w:val="21"/>
          <w:szCs w:val="21"/>
        </w:rPr>
        <w:t>cuyo contenido debe ser necesariamente incorporado en un Código para la oralidad</w:t>
      </w:r>
      <w:r w:rsidRPr="00E10347">
        <w:rPr>
          <w:rFonts w:ascii="Palatino Linotype" w:hAnsi="Palatino Linotype"/>
          <w:sz w:val="21"/>
          <w:szCs w:val="21"/>
        </w:rPr>
        <w:t>.</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rPr>
        <w:t xml:space="preserve">Lo ideal consistiría en prever el desarrollo de los seis </w:t>
      </w:r>
      <w:r w:rsidRPr="00E10347">
        <w:rPr>
          <w:rFonts w:ascii="Palatino Linotype" w:hAnsi="Palatino Linotype"/>
          <w:b/>
          <w:sz w:val="21"/>
          <w:szCs w:val="21"/>
        </w:rPr>
        <w:t>actividades</w:t>
      </w:r>
      <w:r w:rsidRPr="00E10347">
        <w:rPr>
          <w:rFonts w:ascii="Palatino Linotype" w:hAnsi="Palatino Linotype"/>
          <w:sz w:val="21"/>
          <w:szCs w:val="21"/>
        </w:rPr>
        <w:t xml:space="preserve">  (no etapas) fundamentales de las audiencias orales en un repertorio muy claro:</w:t>
      </w:r>
    </w:p>
    <w:p w:rsidR="002014CA" w:rsidRPr="00E10347" w:rsidRDefault="002014CA" w:rsidP="00E10347">
      <w:pPr>
        <w:pStyle w:val="Sinespaciado"/>
        <w:ind w:firstLine="709"/>
        <w:rPr>
          <w:rFonts w:ascii="Palatino Linotype" w:hAnsi="Palatino Linotype" w:cs="Times New Roman"/>
          <w:sz w:val="21"/>
          <w:szCs w:val="21"/>
        </w:rPr>
      </w:pPr>
      <w:r w:rsidRPr="00E10347">
        <w:rPr>
          <w:rFonts w:ascii="Palatino Linotype" w:hAnsi="Palatino Linotype" w:cs="Times New Roman"/>
          <w:sz w:val="21"/>
          <w:szCs w:val="21"/>
        </w:rPr>
        <w:t xml:space="preserve">1.      </w:t>
      </w:r>
      <w:r w:rsidRPr="00E10347">
        <w:rPr>
          <w:rFonts w:ascii="Palatino Linotype" w:hAnsi="Palatino Linotype" w:cs="Times New Roman"/>
          <w:sz w:val="21"/>
          <w:szCs w:val="21"/>
        </w:rPr>
        <w:tab/>
        <w:t>La definición del contenido del proceso o el objeto mismo de la audiencia específica.</w:t>
      </w:r>
    </w:p>
    <w:p w:rsidR="002014CA" w:rsidRPr="00E10347" w:rsidRDefault="002014CA" w:rsidP="00E10347">
      <w:pPr>
        <w:pStyle w:val="Sinespaciado"/>
        <w:ind w:firstLine="709"/>
        <w:rPr>
          <w:rFonts w:ascii="Palatino Linotype" w:hAnsi="Palatino Linotype" w:cs="Times New Roman"/>
          <w:sz w:val="21"/>
          <w:szCs w:val="21"/>
        </w:rPr>
      </w:pPr>
      <w:r w:rsidRPr="00E10347">
        <w:rPr>
          <w:rFonts w:ascii="Palatino Linotype" w:hAnsi="Palatino Linotype" w:cs="Times New Roman"/>
          <w:sz w:val="21"/>
          <w:szCs w:val="21"/>
        </w:rPr>
        <w:lastRenderedPageBreak/>
        <w:t>2.</w:t>
      </w:r>
      <w:r w:rsidRPr="00E10347">
        <w:rPr>
          <w:rFonts w:ascii="Palatino Linotype" w:hAnsi="Palatino Linotype" w:cs="Times New Roman"/>
          <w:sz w:val="21"/>
          <w:szCs w:val="21"/>
        </w:rPr>
        <w:tab/>
        <w:t>La conciliación.</w:t>
      </w:r>
    </w:p>
    <w:p w:rsidR="002014CA" w:rsidRPr="00E10347" w:rsidRDefault="002014CA" w:rsidP="00E10347">
      <w:pPr>
        <w:pStyle w:val="Sinespaciado"/>
        <w:ind w:firstLine="709"/>
        <w:rPr>
          <w:rFonts w:ascii="Palatino Linotype" w:hAnsi="Palatino Linotype" w:cs="Times New Roman"/>
          <w:sz w:val="21"/>
          <w:szCs w:val="21"/>
        </w:rPr>
      </w:pPr>
      <w:r w:rsidRPr="00E10347">
        <w:rPr>
          <w:rFonts w:ascii="Palatino Linotype" w:hAnsi="Palatino Linotype" w:cs="Times New Roman"/>
          <w:sz w:val="21"/>
          <w:szCs w:val="21"/>
        </w:rPr>
        <w:t>3.</w:t>
      </w:r>
      <w:r w:rsidRPr="00E10347">
        <w:rPr>
          <w:rFonts w:ascii="Palatino Linotype" w:hAnsi="Palatino Linotype" w:cs="Times New Roman"/>
          <w:sz w:val="21"/>
          <w:szCs w:val="21"/>
        </w:rPr>
        <w:tab/>
        <w:t>El saneamiento.</w:t>
      </w:r>
    </w:p>
    <w:p w:rsidR="002014CA" w:rsidRPr="00E10347" w:rsidRDefault="002014CA" w:rsidP="00E10347">
      <w:pPr>
        <w:pStyle w:val="Sinespaciado"/>
        <w:ind w:firstLine="709"/>
        <w:rPr>
          <w:rFonts w:ascii="Palatino Linotype" w:hAnsi="Palatino Linotype" w:cs="Times New Roman"/>
          <w:sz w:val="21"/>
          <w:szCs w:val="21"/>
        </w:rPr>
      </w:pPr>
      <w:r w:rsidRPr="00E10347">
        <w:rPr>
          <w:rFonts w:ascii="Palatino Linotype" w:hAnsi="Palatino Linotype" w:cs="Times New Roman"/>
          <w:sz w:val="21"/>
          <w:szCs w:val="21"/>
        </w:rPr>
        <w:t xml:space="preserve">4.   </w:t>
      </w:r>
      <w:r w:rsidRPr="00E10347">
        <w:rPr>
          <w:rFonts w:ascii="Palatino Linotype" w:hAnsi="Palatino Linotype" w:cs="Times New Roman"/>
          <w:sz w:val="21"/>
          <w:szCs w:val="21"/>
        </w:rPr>
        <w:tab/>
        <w:t>La recepción de pruebas.</w:t>
      </w:r>
    </w:p>
    <w:p w:rsidR="002014CA" w:rsidRPr="00E10347" w:rsidRDefault="002014CA" w:rsidP="00E10347">
      <w:pPr>
        <w:pStyle w:val="Sinespaciado"/>
        <w:ind w:firstLine="709"/>
        <w:rPr>
          <w:rFonts w:ascii="Palatino Linotype" w:hAnsi="Palatino Linotype" w:cs="Times New Roman"/>
          <w:sz w:val="21"/>
          <w:szCs w:val="21"/>
        </w:rPr>
      </w:pPr>
      <w:r w:rsidRPr="00E10347">
        <w:rPr>
          <w:rFonts w:ascii="Palatino Linotype" w:hAnsi="Palatino Linotype" w:cs="Times New Roman"/>
          <w:sz w:val="21"/>
          <w:szCs w:val="21"/>
        </w:rPr>
        <w:t>5.        Las conclusiones de los abogados o las partes.</w:t>
      </w:r>
    </w:p>
    <w:p w:rsidR="002014CA" w:rsidRPr="00E10347" w:rsidRDefault="002014CA" w:rsidP="00E10347">
      <w:pPr>
        <w:pStyle w:val="Sinespaciado"/>
        <w:ind w:firstLine="709"/>
        <w:rPr>
          <w:rFonts w:ascii="Palatino Linotype" w:hAnsi="Palatino Linotype" w:cs="Times New Roman"/>
          <w:sz w:val="21"/>
          <w:szCs w:val="21"/>
        </w:rPr>
      </w:pPr>
      <w:r w:rsidRPr="00E10347">
        <w:rPr>
          <w:rFonts w:ascii="Palatino Linotype" w:hAnsi="Palatino Linotype" w:cs="Times New Roman"/>
          <w:sz w:val="21"/>
          <w:szCs w:val="21"/>
        </w:rPr>
        <w:t>6.       El dictado de la parte dispositiva de la sentencia, y la notificación del veredicto escrito.</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Del anterior elenco queda claro la existencia de </w:t>
      </w:r>
      <w:r w:rsidRPr="00E10347">
        <w:rPr>
          <w:rFonts w:ascii="Palatino Linotype" w:hAnsi="Palatino Linotype"/>
          <w:b/>
          <w:sz w:val="21"/>
          <w:szCs w:val="21"/>
          <w:u w:color="000000"/>
        </w:rPr>
        <w:t>dos etapas</w:t>
      </w:r>
      <w:r w:rsidRPr="00E10347">
        <w:rPr>
          <w:rFonts w:ascii="Palatino Linotype" w:hAnsi="Palatino Linotype"/>
          <w:sz w:val="21"/>
          <w:szCs w:val="21"/>
          <w:u w:color="000000"/>
        </w:rPr>
        <w:t xml:space="preserve">, estrictamente procesales, la primera </w:t>
      </w:r>
      <w:r w:rsidRPr="00E10347">
        <w:rPr>
          <w:rFonts w:ascii="Palatino Linotype" w:hAnsi="Palatino Linotype"/>
          <w:b/>
          <w:sz w:val="21"/>
          <w:szCs w:val="21"/>
          <w:u w:color="000000"/>
        </w:rPr>
        <w:t>preliminar</w:t>
      </w:r>
      <w:r w:rsidRPr="00E10347">
        <w:rPr>
          <w:rFonts w:ascii="Palatino Linotype" w:hAnsi="Palatino Linotype"/>
          <w:sz w:val="21"/>
          <w:szCs w:val="21"/>
          <w:u w:color="000000"/>
        </w:rPr>
        <w:t xml:space="preserve"> para el </w:t>
      </w:r>
      <w:r w:rsidRPr="00E10347">
        <w:rPr>
          <w:rFonts w:ascii="Palatino Linotype" w:hAnsi="Palatino Linotype"/>
          <w:b/>
          <w:sz w:val="21"/>
          <w:szCs w:val="21"/>
          <w:u w:color="000000"/>
        </w:rPr>
        <w:t xml:space="preserve">saneamiento total del proceso  </w:t>
      </w:r>
      <w:r w:rsidRPr="00E10347">
        <w:rPr>
          <w:rFonts w:ascii="Palatino Linotype" w:hAnsi="Palatino Linotype"/>
          <w:sz w:val="21"/>
          <w:szCs w:val="21"/>
          <w:u w:color="000000"/>
        </w:rPr>
        <w:t xml:space="preserve">(denominada en Portugal y Brasil como Despacho saneador, y en el Código Procesal Civil Modelo como audiencia preliminar, nombre este último difundido ampliamente por el proceso por audiencias en materia penal), antes de entrar a la etapa de la </w:t>
      </w:r>
      <w:r w:rsidRPr="00E10347">
        <w:rPr>
          <w:rFonts w:ascii="Palatino Linotype" w:hAnsi="Palatino Linotype"/>
          <w:b/>
          <w:sz w:val="21"/>
          <w:szCs w:val="21"/>
          <w:u w:color="000000"/>
        </w:rPr>
        <w:t>evacuación de prueba</w:t>
      </w:r>
      <w:r w:rsidRPr="00E10347">
        <w:rPr>
          <w:rFonts w:ascii="Palatino Linotype" w:hAnsi="Palatino Linotype"/>
          <w:sz w:val="21"/>
          <w:szCs w:val="21"/>
          <w:u w:color="000000"/>
        </w:rPr>
        <w:t xml:space="preserve">,  </w:t>
      </w:r>
      <w:r w:rsidRPr="00E10347">
        <w:rPr>
          <w:rFonts w:ascii="Palatino Linotype" w:hAnsi="Palatino Linotype"/>
          <w:b/>
          <w:sz w:val="21"/>
          <w:szCs w:val="21"/>
          <w:u w:color="000000"/>
        </w:rPr>
        <w:t>conclusiones de los abogados y dictado del resultado del debate</w:t>
      </w:r>
      <w:r w:rsidRPr="00E10347">
        <w:rPr>
          <w:rFonts w:ascii="Palatino Linotype" w:hAnsi="Palatino Linotype"/>
          <w:sz w:val="21"/>
          <w:szCs w:val="21"/>
          <w:u w:color="000000"/>
        </w:rPr>
        <w:t xml:space="preserve">, cuyo mejor nombre es </w:t>
      </w:r>
      <w:r w:rsidRPr="00E10347">
        <w:rPr>
          <w:rFonts w:ascii="Palatino Linotype" w:hAnsi="Palatino Linotype"/>
          <w:b/>
          <w:sz w:val="21"/>
          <w:szCs w:val="21"/>
          <w:u w:color="000000"/>
        </w:rPr>
        <w:t>audiencia complementaria</w:t>
      </w:r>
      <w:r w:rsidRPr="00E10347">
        <w:rPr>
          <w:rFonts w:ascii="Palatino Linotype" w:hAnsi="Palatino Linotype"/>
          <w:sz w:val="21"/>
          <w:szCs w:val="21"/>
          <w:u w:color="000000"/>
        </w:rPr>
        <w:t xml:space="preserve">  (también llamada, en círculos judiciales, como audiencia de pruebas)</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Las últimas tres actividades se cumplen en la audiencia de pruebas más conocida como audiencia complementaria, cuando estando el proceso totalmente saneado  y el Tribunal de Juicio procede a la evacuación de las pruebas debidamente admitidas en la preliminar, escucha las conclusiones de las partes sobre los hechos probados o no probados  y sobre el Derecho aplicable, y en forma casi inmediata: quizá en menos de 24 horas, se procede al dictado de la sentencia oral, consistente en la lectura de la parte dispositiva con una correcta explicación de los jueces de su convencimiento y de los elementos tomados en consideración para el dictado del fallo en ese mismo acto.  </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Posteriormente se debe dictar la sentencia oral consecuencia del debate y posteriormente la sentencia documento, indispensable para quienes deban recurrir a Casación pues el recurso se debe caracterizar por ser la es el órgano competente, y resulta muy difícil combatir o resolver sobre un fallo estrictamente oral. </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El recurso es técnico  no formalista.  Como dice un Proyecto de Código con una redacción muy pobre, autodenominado "antiformalista" para querer decir falta de técnica:  lo que conduce a menos posibilidades jurídicas reales para el sujeto recurrente detrás del abogado, y no para simplificarle la vida al jurisconsulto.</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Como hay muchos tipos de procesos, evidentemente  más simples de los ordinarios, es posible concentrar o unir ambas audiencias en una sola, así se puede determinar por la normativa.  En tal hipótesis el Juez sanea el proceso, admite y evacúa la prueba, y también dicta sentencia.  </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lastRenderedPageBreak/>
        <w:t>Esto puede ocurrir en todos los casos de los procesos ordinarios de puro derecho.  Cuando las partes someten el asunto a la mera solución del punto jurídico en discusión.  Esta práctica se encuentra muy difundida en los arbitrajes donde los árbitros aconsejan a las partes permitirles resolver el asunto sin evacuar pruebas para emitir el Laudo  (pero, desde luego, este tipo de justicia extrajudicial se rige por otros principios de fondo, aunque sigan el sistema de la oralidad).</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Las actividades denominadas como fundamentales en algunos casos podrían obviarse,  como se ha visto, porque las partes de acuerdo con los jueces, podrán acordar la supresión de alguna de ellas. Consecuentemente el mínimo de cualquier tipo de audiencia va a comprender la definición del contenido del proceso o la audiencia, la conciliación, las conclusiones y el dictado de la parte dispositiva de la sentencia o resolución.</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El propósito sería cumplir la audiencia en un mismo acto. A tal efecto habilita todas las horas del día para su cumplimiento, previendo la posibilidad de verificarse en una o varias sesiones del mismo día, o incluso continuar al día siguiente como una misma unidad procesal. Esto último solo podría ocurrir cuando por las especiales circunstancias no pudieren celebrarse todas las actividades necesarias, en el tiempo previsto para ellas,  resultare insuficiente, o incluso fuere necesario espaciar la audiencia en dos sesiones para permitir a los juzgadores reflexionar o consultar algún información vital.</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Es básico procurar el cierre de cualquier posibilidad de prolongar las audiencias, a través de su suspensión, como generalmente ocurre en la práctica judicial, previendo las excepciones calificadas, pero sancionando a su vez con la declaratoria legal del fracaso de la audiencia si mediare cualquier tipo de interrupción superior a 5 días.  Esto se piensa para evitar el vicio de  los arbitrajes donde los árbitros convencen a las partes para prolongarles los plazos, incluso el de causal de nulidad como sería el de laudar fuera del plazo previsto.</w:t>
      </w:r>
    </w:p>
    <w:p w:rsidR="008A02E9" w:rsidRDefault="008A02E9" w:rsidP="00E10347">
      <w:pPr>
        <w:tabs>
          <w:tab w:val="left" w:pos="1146"/>
          <w:tab w:val="right" w:pos="6134"/>
        </w:tabs>
        <w:jc w:val="both"/>
        <w:textAlignment w:val="center"/>
        <w:rPr>
          <w:rFonts w:ascii="Palatino Linotype" w:hAnsi="Palatino Linotype"/>
          <w:b/>
          <w:bCs/>
          <w:sz w:val="21"/>
          <w:szCs w:val="21"/>
          <w:u w:color="000000"/>
        </w:rPr>
      </w:pPr>
    </w:p>
    <w:p w:rsidR="002014CA" w:rsidRPr="00E10347" w:rsidRDefault="002014CA" w:rsidP="00E10347">
      <w:pPr>
        <w:tabs>
          <w:tab w:val="left" w:pos="1146"/>
          <w:tab w:val="right" w:pos="6134"/>
        </w:tabs>
        <w:jc w:val="both"/>
        <w:textAlignment w:val="center"/>
        <w:rPr>
          <w:rFonts w:ascii="Palatino Linotype" w:hAnsi="Palatino Linotype"/>
          <w:bCs/>
          <w:sz w:val="21"/>
          <w:szCs w:val="21"/>
          <w:u w:color="000000"/>
        </w:rPr>
      </w:pPr>
      <w:r w:rsidRPr="00E10347">
        <w:rPr>
          <w:rFonts w:ascii="Palatino Linotype" w:hAnsi="Palatino Linotype"/>
          <w:b/>
          <w:bCs/>
          <w:sz w:val="21"/>
          <w:szCs w:val="21"/>
          <w:u w:color="000000"/>
        </w:rPr>
        <w:t>B)  Las actividades de la audiencia preliminar</w:t>
      </w:r>
      <w:r w:rsidRPr="00E10347">
        <w:rPr>
          <w:rFonts w:ascii="Palatino Linotype" w:hAnsi="Palatino Linotype"/>
          <w:bCs/>
          <w:sz w:val="21"/>
          <w:szCs w:val="21"/>
          <w:u w:color="000000"/>
        </w:rPr>
        <w:t xml:space="preserve"> </w:t>
      </w:r>
    </w:p>
    <w:p w:rsidR="002014CA" w:rsidRPr="00E10347" w:rsidRDefault="002014CA" w:rsidP="00E10347">
      <w:pPr>
        <w:tabs>
          <w:tab w:val="left" w:pos="1146"/>
          <w:tab w:val="right" w:pos="6134"/>
        </w:tabs>
        <w:ind w:firstLine="709"/>
        <w:jc w:val="both"/>
        <w:textAlignment w:val="center"/>
        <w:rPr>
          <w:rFonts w:ascii="Palatino Linotype" w:hAnsi="Palatino Linotype"/>
          <w:sz w:val="21"/>
          <w:szCs w:val="21"/>
          <w:u w:color="000000"/>
        </w:rPr>
      </w:pPr>
      <w:r w:rsidRPr="00E10347">
        <w:rPr>
          <w:rFonts w:ascii="Palatino Linotype" w:hAnsi="Palatino Linotype"/>
          <w:bCs/>
          <w:sz w:val="21"/>
          <w:szCs w:val="21"/>
          <w:u w:color="000000"/>
        </w:rPr>
        <w:t>P</w:t>
      </w:r>
      <w:r w:rsidRPr="00E10347">
        <w:rPr>
          <w:rFonts w:ascii="Palatino Linotype" w:hAnsi="Palatino Linotype"/>
          <w:sz w:val="21"/>
          <w:szCs w:val="21"/>
          <w:u w:color="000000"/>
        </w:rPr>
        <w:t xml:space="preserve">or principio, después de la etapa de la demanda se cita a la </w:t>
      </w:r>
      <w:r w:rsidRPr="00E10347">
        <w:rPr>
          <w:rFonts w:ascii="Palatino Linotype" w:hAnsi="Palatino Linotype"/>
          <w:b/>
          <w:sz w:val="21"/>
          <w:szCs w:val="21"/>
          <w:u w:color="000000"/>
        </w:rPr>
        <w:t>primera audiencia</w:t>
      </w:r>
      <w:r w:rsidRPr="00E10347">
        <w:rPr>
          <w:rFonts w:ascii="Palatino Linotype" w:hAnsi="Palatino Linotype"/>
          <w:sz w:val="21"/>
          <w:szCs w:val="21"/>
          <w:u w:color="000000"/>
        </w:rPr>
        <w:t xml:space="preserve"> para el </w:t>
      </w:r>
      <w:r w:rsidRPr="00E10347">
        <w:rPr>
          <w:rFonts w:ascii="Palatino Linotype" w:hAnsi="Palatino Linotype"/>
          <w:b/>
          <w:sz w:val="21"/>
          <w:szCs w:val="21"/>
          <w:u w:color="000000"/>
        </w:rPr>
        <w:t>saneamiento</w:t>
      </w:r>
      <w:r w:rsidRPr="00E10347">
        <w:rPr>
          <w:rFonts w:ascii="Palatino Linotype" w:hAnsi="Palatino Linotype"/>
          <w:sz w:val="21"/>
          <w:szCs w:val="21"/>
          <w:u w:color="000000"/>
        </w:rPr>
        <w:t xml:space="preserve"> del proceso, difícil de obviar, pues con la demanda y la contestación, máxime cuando hay contrademanda y réplica, las partes plantean una serie de vicios procesales cuyo análisis debe pasarse a una etapa superior como sería la  recepción de la prueba generalmente de defensas previas.   </w:t>
      </w:r>
    </w:p>
    <w:p w:rsidR="002014CA" w:rsidRPr="00E10347" w:rsidRDefault="002014CA" w:rsidP="00E10347">
      <w:pPr>
        <w:tabs>
          <w:tab w:val="left" w:pos="1146"/>
          <w:tab w:val="right" w:pos="6134"/>
        </w:tabs>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Es de suyo encontrar siempre excepciones, defensas previas, medidas </w:t>
      </w:r>
      <w:r w:rsidRPr="00E10347">
        <w:rPr>
          <w:rFonts w:ascii="Palatino Linotype" w:hAnsi="Palatino Linotype"/>
          <w:sz w:val="21"/>
          <w:szCs w:val="21"/>
          <w:u w:color="000000"/>
        </w:rPr>
        <w:lastRenderedPageBreak/>
        <w:t xml:space="preserve">cautelares, invocación de nulidades, ofrecimiento de prueba, discusión sobre la estimación, siendo necesario para resolver todo ello un Juez encargado de sanear el proceso y entregárselo al Tribunal de la prueba y del dictado de la sentencia completamente instruido para centrarse en las tres tipos últimos de actividades.  </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Respecto de todas ellas se señalan los lineamientos y  parámetros para cumplir con sus objetivos. Empero las partes también pueden sugerir un orden distinto pues como todas las actividades se deberán cumplir en la misma audiencia, el orden perfectamente se puede cambiar.  Empero lo deseable es cumplir estrictamente, según se observa en el Derecho procesal comprado, con algunas actividades quizá no contempladas estrictamente en la normativa  (ejemplo máximo lo constituye el derecho alemán)  pero resultan importantes para la correcta identificación del proceso, sobre todo tener claras las pretensiones de las partes  (máxime cuando en el sistema propuesto resulta viable la admisión de ampliaciones o modificaciones a las pretensiones, a los hechos y a las pruebas).</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Antes de iniciarse la audiencia preliminar, por la existencia de jueces conciliadores especialidades en conciliar y no necesariamente en conocer sobre el proceso por el fondo, actúan por señalamiento del Tribunal, y generalmente también sobre el otorgamiento previo de medidas cautelares.</w:t>
      </w:r>
    </w:p>
    <w:p w:rsidR="008A02E9" w:rsidRDefault="008A02E9" w:rsidP="00E10347">
      <w:pPr>
        <w:jc w:val="both"/>
        <w:textAlignment w:val="center"/>
        <w:rPr>
          <w:rFonts w:ascii="Palatino Linotype" w:hAnsi="Palatino Linotype"/>
          <w:b/>
          <w:sz w:val="21"/>
          <w:szCs w:val="21"/>
          <w:u w:color="000000"/>
        </w:rPr>
      </w:pPr>
    </w:p>
    <w:p w:rsidR="002014CA" w:rsidRPr="00E10347" w:rsidRDefault="002014CA" w:rsidP="00E10347">
      <w:pPr>
        <w:jc w:val="both"/>
        <w:textAlignment w:val="center"/>
        <w:rPr>
          <w:rFonts w:ascii="Palatino Linotype" w:hAnsi="Palatino Linotype"/>
          <w:b/>
          <w:sz w:val="21"/>
          <w:szCs w:val="21"/>
          <w:u w:color="000000"/>
        </w:rPr>
      </w:pPr>
      <w:r w:rsidRPr="00E10347">
        <w:rPr>
          <w:rFonts w:ascii="Palatino Linotype" w:hAnsi="Palatino Linotype"/>
          <w:b/>
          <w:sz w:val="21"/>
          <w:szCs w:val="21"/>
          <w:u w:color="000000"/>
        </w:rPr>
        <w:t>C)  Actividades susceptibles de ser previas a la audiencia preliminar.</w:t>
      </w:r>
    </w:p>
    <w:p w:rsidR="002014CA" w:rsidRPr="00E10347" w:rsidRDefault="002014CA" w:rsidP="00E10347">
      <w:pPr>
        <w:textAlignment w:val="center"/>
        <w:rPr>
          <w:rFonts w:ascii="Palatino Linotype" w:hAnsi="Palatino Linotype"/>
          <w:b/>
          <w:bCs/>
          <w:sz w:val="21"/>
          <w:szCs w:val="21"/>
          <w:u w:color="000000"/>
        </w:rPr>
      </w:pPr>
      <w:r w:rsidRPr="00E10347">
        <w:rPr>
          <w:rFonts w:ascii="Palatino Linotype" w:hAnsi="Palatino Linotype"/>
          <w:b/>
          <w:sz w:val="21"/>
          <w:szCs w:val="21"/>
          <w:u w:color="000000"/>
        </w:rPr>
        <w:t>1.</w:t>
      </w:r>
      <w:r w:rsidRPr="00E10347">
        <w:rPr>
          <w:rFonts w:ascii="Palatino Linotype" w:hAnsi="Palatino Linotype"/>
          <w:b/>
          <w:bCs/>
          <w:sz w:val="21"/>
          <w:szCs w:val="21"/>
          <w:u w:color="000000"/>
        </w:rPr>
        <w:tab/>
        <w:t>Tentativa de conciliación</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Teóricamente en cualquier momento procede la conciliación.  Pero ello ocurre cuando el proceso está más avanzado, las partes y sus abogados conocen y se acercan al Juez.  Para tales efectos en el Sistema de la Oralidad se han concebido los Jueces conciliadores, diferentes completamente  (en su experiencia y formación) a los jueces tramitadores y decisores.  </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Ésta posibilidad del ejercicio de esta actividad facultan a los jueces y a las partes a procurarla, a través de cualquier medio. Esto significa prever siempre la conciliación previa recurriendo a expertos dispuestos para ella por el Poder Judicial, por medio de terceras personas en una etapa extraprocesal, por alguno de los medios alternativos de solución de conflictos, y hasta en la misma audiencia como conciliación judicial.</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En países como Uruguay y Argentina es obligatorio el intento de conciliación previa, como etapa anterior al proceso, pero esta etapa tan plausible ha resultado un fracaso porque existen órganos extrajudiciales de conciliación y </w:t>
      </w:r>
      <w:r w:rsidRPr="00E10347">
        <w:rPr>
          <w:rFonts w:ascii="Palatino Linotype" w:hAnsi="Palatino Linotype"/>
          <w:sz w:val="21"/>
          <w:szCs w:val="21"/>
          <w:u w:color="000000"/>
        </w:rPr>
        <w:lastRenderedPageBreak/>
        <w:t>mediación, cuyo fin se ha convertido en entregarle a la parte la certificación de la imposibilidad de conciliación  (sea porque una parte no asistió o porque no se intentó debidamente con las técnicas de rigor).  Consecuentemente se convierte en otro límite al acceso a la justicia con un determinado costo adicional.</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El límite objetivo para la conciliación son los derechos indisponibles de las partes. Naturalmente esto tiene sentido porque de lo contrario el proceso podría convertirse en un instrumento para burlar la normativa tuitiva de un conjunto de derechos económicos y sociales especialmente calificados como derechos fundamentales o incorporados dentro de la Carta Magna como garantías constitucionales. Violados por las partes porque no los reconocerían en forma directa para buscar la posibilidad de evitarlos también en el proceso. O violados por los jueces si los otorgan en perjuicio de los derechos de las partes, independientemente si se justifica en la armonía o la búsqueda de la paz.  Las orientaciones de la globalización o la desregulación en materia laboral constituyen un vivo ejemplo de la forma como se negocian derechos indisponibles si esta concepción ha calado mucho en los poderes judiciales.</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Las posibilidades ofrecidas a los jueces para promover la conciliación pretende darle gran libertad de acción y sobre todo seguridad sobre su imparcialidad. La libertad de acción se constata porque puede incluso mencionarle a las partes la forma como los tribunales han venido resolviendo casos similares, esto es señalando las normas y los criterios jurisprudenciales a los cuales deberá recurrir el juzgador si no media un arreglo conciliatorio en la misma audiencia. </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Se trata de una visión novedosa inspirada en la transparencia como actúa el juez alemán quien prácticamente en la misma audiencia brinda una clara impresión de las posibilidades de éxito o fracaso de la acción, y de las ventajas de cualquier entendimiento. Pero sobre todo se le garantiza al juzgador seguridad porque, al proponer posibilidades conciliatorias, necesariamente deberá expresarse libremente valorando el caso y viendo sus posibilidades de éxito. En tal sentido ninguna de sus manifestaciones, incluso las referidas al posible rumbo de la futura sentencia, podrían ser motivo de recusación, porque su accionar está dentro del marco del conflicto y en él la propuesta de soluciones no implica una toma de posición a favor de ninguno.</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Los efectos de la conciliación se rigen por los principios de las formas de terminación de los procesos. Si fuere conciliación parcial se homologará en la sentencia interlocutoria y si fuere total se aprobará en la sentencia definitiva. En </w:t>
      </w:r>
      <w:r w:rsidRPr="00E10347">
        <w:rPr>
          <w:rFonts w:ascii="Palatino Linotype" w:hAnsi="Palatino Linotype"/>
          <w:sz w:val="21"/>
          <w:szCs w:val="21"/>
          <w:u w:color="000000"/>
        </w:rPr>
        <w:lastRenderedPageBreak/>
        <w:t>ambos casos habrá cosa juzgada total o parcial.</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Se faculta a las partes y a los jueces a intentarla nuevamente, sea durante la etapa preliminar o la misma complementaria, porque antes o después de la recepción de la prueba, cuando el panorama se vaya aclarando aún más. </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Se trata de una obligación y no de una posibilidad o una opción. Esto es así porque la dinámica de la audiencia autoriza a procurarla en cualquier momento, sobre todo cuando las partes tienen más información, ven con más claridad sus posibilidades de éxito o fracaso. </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Igualmente se otorga a las partes el derecho a intentarla cuando lo juzguen conveniente, ello puede ocurrir judicial o extrajudicialmente, y en este último caso incluso podría suspenderse el juicio, por el plazo solicitado por las partes y autorizado por el juez, hasta tanto se pueda llegar a un arreglo o se decida continuar en la audiencia.  </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En este último caso las partes prefieren la no presencia del Juez para no expresar delante de él opiniones o criterios que pudieren servir para una condena parcial, o un rechazo a la misma demanda.  Empero hay un problema, de interpretación jurídica, en muchos jueces, quienes solo consideran la conciliación si se ha verificado delante de un Juez, y homologan el pacto, pero cuando el acuerdo es extrajudicial lo consideran una transacción y no lo homologan, con el peligro faltarle al acuerdo su condición de cosa juzgada.  </w:t>
      </w:r>
    </w:p>
    <w:p w:rsidR="008A02E9" w:rsidRDefault="008A02E9" w:rsidP="00E10347">
      <w:pPr>
        <w:textAlignment w:val="center"/>
        <w:rPr>
          <w:rFonts w:ascii="Palatino Linotype" w:hAnsi="Palatino Linotype"/>
          <w:b/>
          <w:sz w:val="21"/>
          <w:szCs w:val="21"/>
          <w:u w:color="000000"/>
        </w:rPr>
      </w:pPr>
    </w:p>
    <w:p w:rsidR="002014CA" w:rsidRPr="00E10347" w:rsidRDefault="002014CA" w:rsidP="00E10347">
      <w:pPr>
        <w:textAlignment w:val="center"/>
        <w:rPr>
          <w:rFonts w:ascii="Palatino Linotype" w:hAnsi="Palatino Linotype"/>
          <w:b/>
          <w:bCs/>
          <w:sz w:val="21"/>
          <w:szCs w:val="21"/>
          <w:u w:color="000000"/>
        </w:rPr>
      </w:pPr>
      <w:r w:rsidRPr="00E10347">
        <w:rPr>
          <w:rFonts w:ascii="Palatino Linotype" w:hAnsi="Palatino Linotype"/>
          <w:b/>
          <w:sz w:val="21"/>
          <w:szCs w:val="21"/>
          <w:u w:color="000000"/>
        </w:rPr>
        <w:t>2.</w:t>
      </w:r>
      <w:r w:rsidRPr="00E10347">
        <w:rPr>
          <w:rFonts w:ascii="Palatino Linotype" w:hAnsi="Palatino Linotype"/>
          <w:b/>
          <w:sz w:val="21"/>
          <w:szCs w:val="21"/>
          <w:u w:color="000000"/>
        </w:rPr>
        <w:tab/>
      </w:r>
      <w:r w:rsidRPr="00E10347">
        <w:rPr>
          <w:rFonts w:ascii="Palatino Linotype" w:hAnsi="Palatino Linotype"/>
          <w:b/>
          <w:bCs/>
          <w:sz w:val="21"/>
          <w:szCs w:val="21"/>
          <w:u w:color="000000"/>
        </w:rPr>
        <w:t>Resolver las medidas cautelares anticipadas</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Dado el impacto de este tipo de medidas en el eventual resultado del juicio, es posible plantearlas siempre en forma anticipada.</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Como las medidas cautelares se solicitan y se pueden otorgar </w:t>
      </w:r>
      <w:r w:rsidRPr="00E10347">
        <w:rPr>
          <w:rFonts w:ascii="Palatino Linotype" w:hAnsi="Palatino Linotype"/>
          <w:b/>
          <w:i/>
          <w:sz w:val="21"/>
          <w:szCs w:val="21"/>
          <w:u w:color="000000"/>
        </w:rPr>
        <w:t>inaudita partium</w:t>
      </w:r>
      <w:r w:rsidRPr="00E10347">
        <w:rPr>
          <w:rFonts w:ascii="Palatino Linotype" w:hAnsi="Palatino Linotype"/>
          <w:sz w:val="21"/>
          <w:szCs w:val="21"/>
          <w:u w:color="000000"/>
        </w:rPr>
        <w:t xml:space="preserve">, cuando medie el </w:t>
      </w:r>
      <w:r w:rsidRPr="00E10347">
        <w:rPr>
          <w:rFonts w:ascii="Palatino Linotype" w:hAnsi="Palatino Linotype"/>
          <w:b/>
          <w:i/>
          <w:sz w:val="21"/>
          <w:szCs w:val="21"/>
          <w:u w:color="000000"/>
        </w:rPr>
        <w:t>periculum in mora</w:t>
      </w:r>
      <w:r w:rsidRPr="00E10347">
        <w:rPr>
          <w:rFonts w:ascii="Palatino Linotype" w:hAnsi="Palatino Linotype"/>
          <w:sz w:val="21"/>
          <w:szCs w:val="21"/>
          <w:u w:color="000000"/>
        </w:rPr>
        <w:t xml:space="preserve">, son otorgadas por los jueces, en uso de facultades muy amplias, pero en relación a situaciones eventualmente cambiantes,  deben necesariamente llevar implícita la condición de combatirlas para restituir la situación original cuando hubiere mediado algún tipo de infracción, o se hubiere decretado y respetando los principios de proporcionalidad o razonabilidad. Esta decisión parece adecuada porque las medidas cautelares se otorgan ante el peligro de pérdida, alteración, o bien daño actual o potencial de la situación alegada, sea esto para asegurar resultados futuros o consolidar situaciones jurídicas ciertas o posibles. Y esto, naturalmente se otorga en un momento donde las circunstancias no están claras. Por tal razón se ha dispuesto de una actividad específica dentro de </w:t>
      </w:r>
      <w:r w:rsidRPr="00E10347">
        <w:rPr>
          <w:rFonts w:ascii="Palatino Linotype" w:hAnsi="Palatino Linotype"/>
          <w:sz w:val="21"/>
          <w:szCs w:val="21"/>
          <w:u w:color="000000"/>
        </w:rPr>
        <w:lastRenderedPageBreak/>
        <w:t>las audiencias, tanto en la preliminar como en la complementaria, para resolver todo lo referente a medidas cautelares, y desde luego en la sentencia.</w:t>
      </w:r>
    </w:p>
    <w:p w:rsidR="008A02E9" w:rsidRDefault="008A02E9" w:rsidP="00E10347">
      <w:pPr>
        <w:jc w:val="both"/>
        <w:textAlignment w:val="center"/>
        <w:rPr>
          <w:rFonts w:ascii="Palatino Linotype" w:hAnsi="Palatino Linotype"/>
          <w:b/>
          <w:sz w:val="21"/>
          <w:szCs w:val="21"/>
          <w:u w:color="000000"/>
        </w:rPr>
      </w:pPr>
    </w:p>
    <w:p w:rsidR="002014CA" w:rsidRPr="00E10347" w:rsidRDefault="002014CA" w:rsidP="00E10347">
      <w:pPr>
        <w:jc w:val="both"/>
        <w:textAlignment w:val="center"/>
        <w:rPr>
          <w:rFonts w:ascii="Palatino Linotype" w:hAnsi="Palatino Linotype"/>
          <w:b/>
          <w:sz w:val="21"/>
          <w:szCs w:val="21"/>
          <w:u w:color="000000"/>
        </w:rPr>
      </w:pPr>
      <w:r w:rsidRPr="00E10347">
        <w:rPr>
          <w:rFonts w:ascii="Palatino Linotype" w:hAnsi="Palatino Linotype"/>
          <w:b/>
          <w:sz w:val="21"/>
          <w:szCs w:val="21"/>
          <w:u w:color="000000"/>
        </w:rPr>
        <w:t>D)</w:t>
      </w:r>
      <w:r w:rsidRPr="00E10347">
        <w:rPr>
          <w:rFonts w:ascii="Palatino Linotype" w:hAnsi="Palatino Linotype"/>
          <w:sz w:val="21"/>
          <w:szCs w:val="21"/>
          <w:u w:color="000000"/>
        </w:rPr>
        <w:t xml:space="preserve"> </w:t>
      </w:r>
      <w:r w:rsidRPr="00E10347">
        <w:rPr>
          <w:rFonts w:ascii="Palatino Linotype" w:hAnsi="Palatino Linotype"/>
          <w:b/>
          <w:sz w:val="21"/>
          <w:szCs w:val="21"/>
          <w:u w:color="000000"/>
        </w:rPr>
        <w:t>Las actividades propias de la audiencia preliminar.</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El corazón de las actividades de la audiencia preliminar, sin negarle ese carácter a las posibles anticipadas serían las siguientes.</w:t>
      </w:r>
    </w:p>
    <w:p w:rsidR="008A02E9" w:rsidRDefault="008A02E9" w:rsidP="00E10347">
      <w:pPr>
        <w:textAlignment w:val="center"/>
        <w:rPr>
          <w:rFonts w:ascii="Palatino Linotype" w:hAnsi="Palatino Linotype"/>
          <w:b/>
          <w:sz w:val="21"/>
          <w:szCs w:val="21"/>
          <w:u w:color="000000"/>
        </w:rPr>
      </w:pPr>
    </w:p>
    <w:p w:rsidR="002014CA" w:rsidRPr="00E10347" w:rsidRDefault="002014CA" w:rsidP="00E10347">
      <w:pPr>
        <w:textAlignment w:val="center"/>
        <w:rPr>
          <w:rFonts w:ascii="Palatino Linotype" w:hAnsi="Palatino Linotype"/>
          <w:b/>
          <w:bCs/>
          <w:sz w:val="21"/>
          <w:szCs w:val="21"/>
          <w:u w:color="000000"/>
        </w:rPr>
      </w:pPr>
      <w:r w:rsidRPr="00E10347">
        <w:rPr>
          <w:rFonts w:ascii="Palatino Linotype" w:hAnsi="Palatino Linotype"/>
          <w:b/>
          <w:sz w:val="21"/>
          <w:szCs w:val="21"/>
          <w:u w:color="000000"/>
        </w:rPr>
        <w:t xml:space="preserve">3.   </w:t>
      </w:r>
      <w:r w:rsidRPr="00E10347">
        <w:rPr>
          <w:rFonts w:ascii="Palatino Linotype" w:hAnsi="Palatino Linotype"/>
          <w:b/>
          <w:bCs/>
          <w:sz w:val="21"/>
          <w:szCs w:val="21"/>
          <w:u w:color="000000"/>
        </w:rPr>
        <w:t>Resumen del objeto de la audiencia.</w:t>
      </w:r>
    </w:p>
    <w:p w:rsidR="002014CA" w:rsidRPr="00E10347" w:rsidRDefault="002014CA" w:rsidP="00E10347">
      <w:pPr>
        <w:ind w:firstLine="709"/>
        <w:jc w:val="both"/>
        <w:textAlignment w:val="center"/>
        <w:rPr>
          <w:rFonts w:ascii="Palatino Linotype" w:hAnsi="Palatino Linotype"/>
          <w:b/>
          <w:bCs/>
          <w:sz w:val="21"/>
          <w:szCs w:val="21"/>
          <w:u w:color="000000"/>
        </w:rPr>
      </w:pPr>
      <w:r w:rsidRPr="00E10347">
        <w:rPr>
          <w:rFonts w:ascii="Palatino Linotype" w:hAnsi="Palatino Linotype"/>
          <w:sz w:val="21"/>
          <w:szCs w:val="21"/>
          <w:u w:color="000000"/>
        </w:rPr>
        <w:t>El fin consiste en llevar al ambiente judicial, donde se han dado cita jueces y partes con sus abogados, todos los elementos sobre los cuales la audiencia para contribuir a esclarecer la idea del motivo de la comparecencia, y alcanzar así logros positivos y satisfactorios.</w:t>
      </w:r>
    </w:p>
    <w:p w:rsidR="002014CA" w:rsidRPr="00E10347" w:rsidRDefault="002014CA" w:rsidP="00E10347">
      <w:pPr>
        <w:ind w:firstLine="709"/>
        <w:jc w:val="both"/>
        <w:textAlignment w:val="center"/>
        <w:rPr>
          <w:rFonts w:ascii="Palatino Linotype" w:hAnsi="Palatino Linotype"/>
          <w:b/>
          <w:bCs/>
          <w:sz w:val="21"/>
          <w:szCs w:val="21"/>
          <w:u w:color="000000"/>
        </w:rPr>
      </w:pPr>
      <w:r w:rsidRPr="00E10347">
        <w:rPr>
          <w:rFonts w:ascii="Palatino Linotype" w:hAnsi="Palatino Linotype"/>
          <w:sz w:val="21"/>
          <w:szCs w:val="21"/>
          <w:u w:color="000000"/>
        </w:rPr>
        <w:t>En Uruguay esto se logra a través de la exposición sucinta de cada una de las partes del contenido de la demanda y de la contestación, y en su caso de la reconvención y la réplica, por parte de los litigantes (Código General del Proceso). En Alemania es el juez quien procede a informarle a las partes todo cuanto se está discutiendo en el proceso, las pretensiones, el objeto de la diligencia, e incluso adelanta oralmente la forma como observa el futuro resultado (</w:t>
      </w:r>
      <w:r w:rsidRPr="00E10347">
        <w:rPr>
          <w:rFonts w:ascii="Palatino Linotype" w:hAnsi="Palatino Linotype"/>
          <w:b/>
          <w:sz w:val="21"/>
          <w:szCs w:val="21"/>
          <w:u w:color="000000"/>
        </w:rPr>
        <w:t>LEIBLE</w:t>
      </w:r>
      <w:r w:rsidRPr="00E10347">
        <w:rPr>
          <w:rFonts w:ascii="Palatino Linotype" w:hAnsi="Palatino Linotype"/>
          <w:b/>
          <w:sz w:val="21"/>
          <w:szCs w:val="21"/>
        </w:rPr>
        <w:t>, S</w:t>
      </w:r>
      <w:r w:rsidRPr="00E10347">
        <w:rPr>
          <w:rFonts w:ascii="Palatino Linotype" w:hAnsi="Palatino Linotype"/>
          <w:sz w:val="21"/>
          <w:szCs w:val="21"/>
        </w:rPr>
        <w:t xml:space="preserve">., </w:t>
      </w:r>
      <w:r w:rsidRPr="00E10347">
        <w:rPr>
          <w:rFonts w:ascii="Palatino Linotype" w:hAnsi="Palatino Linotype"/>
          <w:b/>
          <w:i/>
          <w:sz w:val="21"/>
          <w:szCs w:val="21"/>
        </w:rPr>
        <w:t>Proceso civil alemán</w:t>
      </w:r>
      <w:r w:rsidRPr="00E10347">
        <w:rPr>
          <w:rFonts w:ascii="Palatino Linotype" w:hAnsi="Palatino Linotype"/>
          <w:sz w:val="21"/>
          <w:szCs w:val="21"/>
        </w:rPr>
        <w:t>, Diké, Medellín</w:t>
      </w:r>
      <w:r w:rsidRPr="00E10347">
        <w:rPr>
          <w:rFonts w:ascii="Palatino Linotype" w:hAnsi="Palatino Linotype"/>
          <w:sz w:val="21"/>
          <w:szCs w:val="21"/>
          <w:u w:color="000000"/>
        </w:rPr>
        <w:t>, 1999).</w:t>
      </w:r>
    </w:p>
    <w:p w:rsidR="002014CA" w:rsidRPr="00E10347" w:rsidRDefault="002014CA" w:rsidP="00E10347">
      <w:pPr>
        <w:ind w:firstLine="709"/>
        <w:jc w:val="both"/>
        <w:textAlignment w:val="center"/>
        <w:rPr>
          <w:rFonts w:ascii="Palatino Linotype" w:hAnsi="Palatino Linotype"/>
          <w:b/>
          <w:bCs/>
          <w:sz w:val="21"/>
          <w:szCs w:val="21"/>
          <w:u w:color="000000"/>
        </w:rPr>
      </w:pPr>
      <w:r w:rsidRPr="00E10347">
        <w:rPr>
          <w:rFonts w:ascii="Palatino Linotype" w:hAnsi="Palatino Linotype"/>
          <w:sz w:val="21"/>
          <w:szCs w:val="21"/>
          <w:u w:color="000000"/>
        </w:rPr>
        <w:t>Para impulsar la idea alemana se requeriría de un juez con una gran personalidad, consciente de los grandes poderes suyos otorgados para definir la contienda e incluso sin temor para adelantar, en cierta forma, algunas ideas de cómo podría ser resuelto el asunto. La figura jurídica uruguaya parece dejar a las partes grandes posibilidades para señalar y limitar el objeto de la contienda, sin embargo en la práctica la oralidad ha creado una figura un poco más evolucionada porque el juez al dirigir la audiencia señala y define, al finalizar la exposición de las partes, el objeto de la audiencia.</w:t>
      </w:r>
    </w:p>
    <w:p w:rsidR="002014CA" w:rsidRPr="00E10347" w:rsidRDefault="002014CA" w:rsidP="00E10347">
      <w:pPr>
        <w:ind w:firstLine="709"/>
        <w:jc w:val="both"/>
        <w:textAlignment w:val="center"/>
        <w:rPr>
          <w:rFonts w:ascii="Palatino Linotype" w:hAnsi="Palatino Linotype"/>
          <w:b/>
          <w:bCs/>
          <w:sz w:val="21"/>
          <w:szCs w:val="21"/>
          <w:u w:color="000000"/>
        </w:rPr>
      </w:pPr>
      <w:r w:rsidRPr="00E10347">
        <w:rPr>
          <w:rFonts w:ascii="Palatino Linotype" w:hAnsi="Palatino Linotype"/>
          <w:sz w:val="21"/>
          <w:szCs w:val="21"/>
          <w:u w:color="000000"/>
        </w:rPr>
        <w:t>Como la audiencia debe ser una integración de las tres partes en el Código Procesal General se ha optado por una solución un poco distinta. En primer lugar la definición corresponde al juez, luego a las partes, y finalmente a instancia de los jueces las partes procederán a dar explicaciones cuando algún extremo pudiere resultar oscuro, contradictorio o impreciso, pudiendo incluso las partes, al final, intervenir también para delimitar el objeto del juicio o la audiencia.</w:t>
      </w:r>
    </w:p>
    <w:p w:rsidR="002014CA" w:rsidRPr="00E10347" w:rsidRDefault="002014CA" w:rsidP="00E10347">
      <w:pPr>
        <w:ind w:firstLine="709"/>
        <w:jc w:val="both"/>
        <w:textAlignment w:val="center"/>
        <w:rPr>
          <w:rFonts w:ascii="Palatino Linotype" w:hAnsi="Palatino Linotype"/>
          <w:b/>
          <w:bCs/>
          <w:sz w:val="21"/>
          <w:szCs w:val="21"/>
          <w:u w:color="000000"/>
        </w:rPr>
      </w:pPr>
      <w:r w:rsidRPr="00E10347">
        <w:rPr>
          <w:rFonts w:ascii="Palatino Linotype" w:hAnsi="Palatino Linotype"/>
          <w:sz w:val="21"/>
          <w:szCs w:val="21"/>
          <w:u w:color="000000"/>
        </w:rPr>
        <w:t xml:space="preserve">Esta idea se sustenta en la necesidad de imponer a los jueces la obligación de explicar, al inicio mismo del debate, en forma detallada los hechos principales </w:t>
      </w:r>
      <w:r w:rsidRPr="00E10347">
        <w:rPr>
          <w:rFonts w:ascii="Palatino Linotype" w:hAnsi="Palatino Linotype"/>
          <w:sz w:val="21"/>
          <w:szCs w:val="21"/>
          <w:u w:color="000000"/>
        </w:rPr>
        <w:lastRenderedPageBreak/>
        <w:t>invocados por las partes así como el objeto de la pretensión y las excepciones interpuestas, porque ello va a garantizar un estudio previo del juzgador de todo cuanto se está discutiendo. En este sentido se rompe con la tesis de promover audiencias con jueces sin conocimiento previo del juicio para imponerse en el debate de todo cuanto se está discutiendo. Esto es así porque las particularidades propias de lo civil, laboral, familiar, agrario y contencioso administrativo, parecen exigir del juez un dominio de la problemática en discusión, porque en esa forma será el juez quien conduzca toda la actividad hacia un rumbo cierto, y no las partes quienes podrían sorprender a los juzgadores o permitir la formación de una impresión equivocada en los jueces de los alcances de lo discutido.</w:t>
      </w:r>
    </w:p>
    <w:p w:rsidR="002014CA" w:rsidRPr="00E10347" w:rsidRDefault="002014CA" w:rsidP="00E10347">
      <w:pPr>
        <w:ind w:firstLine="709"/>
        <w:jc w:val="both"/>
        <w:textAlignment w:val="center"/>
        <w:rPr>
          <w:rFonts w:ascii="Palatino Linotype" w:hAnsi="Palatino Linotype"/>
          <w:b/>
          <w:bCs/>
          <w:sz w:val="21"/>
          <w:szCs w:val="21"/>
          <w:u w:color="000000"/>
        </w:rPr>
      </w:pPr>
      <w:r w:rsidRPr="00E10347">
        <w:rPr>
          <w:rFonts w:ascii="Palatino Linotype" w:hAnsi="Palatino Linotype"/>
          <w:sz w:val="21"/>
          <w:szCs w:val="21"/>
          <w:u w:color="000000"/>
        </w:rPr>
        <w:t>Verificada la explicación del juez continuarán las partes explicando en forma sintética los hechos y las pretensiones. Solo así, efectivamente, las partes podrán contribuir con el proceso. Desde luego cualquier parte podría conformarse con las explicaciones brindadas sin embargo lo importante es iniciar el contradictorio, fomentar el diálogo, generar la discusión, permitir a la contraria escuchar la versión propia, en fin darle una mayor dimensión a todo cuanto pudo haber percibido el juez de los actos de proposición.</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Y aún cumplido lo anterior bien pueden los jueces solicitar aclaraciones y hasta las partes pedirlas a la contraria para dejar más claro el panorama.</w:t>
      </w:r>
    </w:p>
    <w:p w:rsidR="008A02E9" w:rsidRDefault="008A02E9" w:rsidP="00E10347">
      <w:pPr>
        <w:textAlignment w:val="center"/>
        <w:rPr>
          <w:rFonts w:ascii="Palatino Linotype" w:hAnsi="Palatino Linotype"/>
          <w:b/>
          <w:sz w:val="21"/>
          <w:szCs w:val="21"/>
          <w:u w:color="000000"/>
        </w:rPr>
      </w:pPr>
    </w:p>
    <w:p w:rsidR="002014CA" w:rsidRPr="00E10347" w:rsidRDefault="002014CA" w:rsidP="00E10347">
      <w:pPr>
        <w:textAlignment w:val="center"/>
        <w:rPr>
          <w:rFonts w:ascii="Palatino Linotype" w:hAnsi="Palatino Linotype"/>
          <w:b/>
          <w:bCs/>
          <w:sz w:val="21"/>
          <w:szCs w:val="21"/>
          <w:u w:color="000000"/>
        </w:rPr>
      </w:pPr>
      <w:r w:rsidRPr="00E10347">
        <w:rPr>
          <w:rFonts w:ascii="Palatino Linotype" w:hAnsi="Palatino Linotype"/>
          <w:b/>
          <w:sz w:val="21"/>
          <w:szCs w:val="21"/>
          <w:u w:color="000000"/>
        </w:rPr>
        <w:t>4.</w:t>
      </w:r>
      <w:r w:rsidRPr="00E10347">
        <w:rPr>
          <w:rFonts w:ascii="Palatino Linotype" w:hAnsi="Palatino Linotype"/>
          <w:sz w:val="21"/>
          <w:szCs w:val="21"/>
          <w:u w:color="000000"/>
        </w:rPr>
        <w:tab/>
      </w:r>
      <w:r w:rsidRPr="00E10347">
        <w:rPr>
          <w:rFonts w:ascii="Palatino Linotype" w:hAnsi="Palatino Linotype"/>
          <w:b/>
          <w:bCs/>
          <w:sz w:val="21"/>
          <w:szCs w:val="21"/>
          <w:u w:color="000000"/>
        </w:rPr>
        <w:t>Saneamiento del proceso</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Se trata de la </w:t>
      </w:r>
      <w:r w:rsidRPr="00E10347">
        <w:rPr>
          <w:rFonts w:ascii="Palatino Linotype" w:hAnsi="Palatino Linotype"/>
          <w:b/>
          <w:i/>
          <w:sz w:val="21"/>
          <w:szCs w:val="21"/>
          <w:u w:color="000000"/>
        </w:rPr>
        <w:t>mise en scéne</w:t>
      </w:r>
      <w:r w:rsidRPr="00E10347">
        <w:rPr>
          <w:rFonts w:ascii="Palatino Linotype" w:hAnsi="Palatino Linotype"/>
          <w:sz w:val="21"/>
          <w:szCs w:val="21"/>
          <w:u w:color="000000"/>
        </w:rPr>
        <w:t xml:space="preserve">  del despacho saneador. En este momento se deben resolver todos los problemas planteados en el juicio con el objeto de dejar allanado el camino para abrirle paso a la audiencia de pruebas o audiencia complementaria cuyo fin es el dictado de la sentencia definitiva. En toda la filosofía del despacho saneador también deben resolverse las nulidades formuladas así como las defensas previas.</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Los jueces deberán resolver primero las excepciones previas interpuestas con la contestación de la demanda o contrademanda. También deberán resolver cualquier tipo de nulidades denunciadas por las partes, para lo cual tienen tiempo hasta el momento mismo de la audiencia. E igual acontecerá en relación a posibles vicios advertidos por los jueces, por sí o denunciado por la parte, durante el trámite.</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Se resolverán primero las excepciones previas, cuando hubieren sido dejadas para resolver en la audiencia. Si fuere declarada con lugar alguna de litis pendencia, cosa juzgada, transacción, prescripción, caducidad, la sentencia </w:t>
      </w:r>
      <w:r w:rsidRPr="00E10347">
        <w:rPr>
          <w:rFonts w:ascii="Palatino Linotype" w:hAnsi="Palatino Linotype"/>
          <w:sz w:val="21"/>
          <w:szCs w:val="21"/>
          <w:u w:color="000000"/>
        </w:rPr>
        <w:lastRenderedPageBreak/>
        <w:t>interlocutoria debería declarar terminado anticipadamente el proceso. Las otras defensas no resueltas, cuando fueren falta de capacidad o defectuosa representación, indebida acumulación de pretensiones, litisconsorcio necesario incompleto, y el acuerdo arbitral, son susceptibles de saneamiento. Sobre ellas la sentencia interlocutoria debería disponer la forma de subsanación del vicio, imponiendo a quien corresponde esa responsabilidad con las sanciones respectivas.</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Posteriormente deben sanearse todas las nulidades denunciadas y los vicios advertidos. Para tal efecto en la sentencia interlocutoria se dispondrá la forma como se corrigen los defectos o se reponen los actos con el objeto de impedir cualquier nulidad, incluso podría adecuar los procedimientos para remitirlos a otra vía.</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Dadas las características de la audiencia oral los fundamentos de esta sentencia deberían dictarse en el mismo acto, en forma inmediata o previo un receso, sin embargo, cuando la complejidad del asunto lo amerite, podrá diferirse a otra audiencia posterior a celebrarse en un plazo mayor de 3 días.</w:t>
      </w:r>
    </w:p>
    <w:p w:rsidR="008A02E9" w:rsidRDefault="008A02E9" w:rsidP="00E10347">
      <w:pPr>
        <w:textAlignment w:val="center"/>
        <w:rPr>
          <w:rFonts w:ascii="Palatino Linotype" w:hAnsi="Palatino Linotype"/>
          <w:b/>
          <w:sz w:val="21"/>
          <w:szCs w:val="21"/>
          <w:u w:color="000000"/>
        </w:rPr>
      </w:pPr>
    </w:p>
    <w:p w:rsidR="002014CA" w:rsidRPr="00E10347" w:rsidRDefault="002014CA" w:rsidP="00E10347">
      <w:pPr>
        <w:textAlignment w:val="center"/>
        <w:rPr>
          <w:rFonts w:ascii="Palatino Linotype" w:hAnsi="Palatino Linotype"/>
          <w:b/>
          <w:bCs/>
          <w:sz w:val="21"/>
          <w:szCs w:val="21"/>
          <w:u w:color="000000"/>
        </w:rPr>
      </w:pPr>
      <w:r w:rsidRPr="00E10347">
        <w:rPr>
          <w:rFonts w:ascii="Palatino Linotype" w:hAnsi="Palatino Linotype"/>
          <w:b/>
          <w:sz w:val="21"/>
          <w:szCs w:val="21"/>
          <w:u w:color="000000"/>
        </w:rPr>
        <w:t>5.</w:t>
      </w:r>
      <w:r w:rsidRPr="00E10347">
        <w:rPr>
          <w:rFonts w:ascii="Palatino Linotype" w:hAnsi="Palatino Linotype"/>
          <w:b/>
          <w:sz w:val="21"/>
          <w:szCs w:val="21"/>
          <w:u w:color="000000"/>
        </w:rPr>
        <w:tab/>
      </w:r>
      <w:r w:rsidRPr="00E10347">
        <w:rPr>
          <w:rFonts w:ascii="Palatino Linotype" w:hAnsi="Palatino Linotype"/>
          <w:b/>
          <w:bCs/>
          <w:sz w:val="21"/>
          <w:szCs w:val="21"/>
          <w:u w:color="000000"/>
        </w:rPr>
        <w:t>Recepción de prueba sobre defensas previas.</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Cuando se hubiere ofrecido prueba sobre las excepciones previas interpuestas, en el momento de contestar la demanda o la contrademanda, los jueces podrán ordenar recibirla en la audiencia.</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Es obligatorio de las partes ofrecer la prueba de las defensas previas con la contestación y obligatorio presentarlas a la audiencia. Es potestativo de los jueces admitirlas, y solo si hubieren hechos a probar indispensables para resolverlas. Como no existe ningún momento entre el ofrecimiento y la audiencia, la eventual admisión y evacuación operan en la misma audiencia, consecuentemente la falta de presentación corre a riesgo de quien la ofreció.</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Ordenada la recepción de las pruebas se evacuarán inmediatamente. Cuando se trate de pruebas fundamentales para probar las defensas previas, en forma excepcional por tratarse de casos muy calificados, los jueces podrán suspender los procedimientos, hasta por 24 horas, para evacuarlas.</w:t>
      </w:r>
    </w:p>
    <w:p w:rsidR="008A02E9" w:rsidRDefault="008A02E9" w:rsidP="00E10347">
      <w:pPr>
        <w:textAlignment w:val="center"/>
        <w:rPr>
          <w:rFonts w:ascii="Palatino Linotype" w:hAnsi="Palatino Linotype"/>
          <w:b/>
          <w:sz w:val="21"/>
          <w:szCs w:val="21"/>
          <w:u w:color="000000"/>
        </w:rPr>
      </w:pPr>
    </w:p>
    <w:p w:rsidR="002014CA" w:rsidRPr="00E10347" w:rsidRDefault="002014CA" w:rsidP="00E10347">
      <w:pPr>
        <w:textAlignment w:val="center"/>
        <w:rPr>
          <w:rFonts w:ascii="Palatino Linotype" w:hAnsi="Palatino Linotype"/>
          <w:b/>
          <w:bCs/>
          <w:sz w:val="21"/>
          <w:szCs w:val="21"/>
          <w:u w:color="000000"/>
        </w:rPr>
      </w:pPr>
      <w:r w:rsidRPr="00E10347">
        <w:rPr>
          <w:rFonts w:ascii="Palatino Linotype" w:hAnsi="Palatino Linotype"/>
          <w:b/>
          <w:sz w:val="21"/>
          <w:szCs w:val="21"/>
          <w:u w:color="000000"/>
        </w:rPr>
        <w:t>6.</w:t>
      </w:r>
      <w:r w:rsidRPr="00E10347">
        <w:rPr>
          <w:rFonts w:ascii="Palatino Linotype" w:hAnsi="Palatino Linotype"/>
          <w:b/>
          <w:bCs/>
          <w:sz w:val="21"/>
          <w:szCs w:val="21"/>
          <w:u w:color="000000"/>
        </w:rPr>
        <w:tab/>
        <w:t>Contestación de las defensas previas.</w:t>
      </w:r>
    </w:p>
    <w:p w:rsidR="002014CA" w:rsidRPr="00E10347" w:rsidRDefault="002014CA" w:rsidP="00E10347">
      <w:pPr>
        <w:ind w:firstLine="709"/>
        <w:jc w:val="both"/>
        <w:textAlignment w:val="center"/>
        <w:rPr>
          <w:rFonts w:ascii="Palatino Linotype" w:hAnsi="Palatino Linotype"/>
          <w:b/>
          <w:bCs/>
          <w:sz w:val="21"/>
          <w:szCs w:val="21"/>
          <w:u w:color="000000"/>
        </w:rPr>
      </w:pPr>
      <w:r w:rsidRPr="00E10347">
        <w:rPr>
          <w:rFonts w:ascii="Palatino Linotype" w:hAnsi="Palatino Linotype"/>
          <w:sz w:val="21"/>
          <w:szCs w:val="21"/>
          <w:u w:color="000000"/>
        </w:rPr>
        <w:t>El actor, o en su caso el reconventor en los ordinarios cuando medie contrademanda, estarán facultados para interponer defensas previas junto con las excepciones.  Las primeras deberán resolverse en la audiencia preliminar.</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Con el traslado de la demanda el Juez Tramitador previene a la parte </w:t>
      </w:r>
      <w:r w:rsidRPr="00E10347">
        <w:rPr>
          <w:rFonts w:ascii="Palatino Linotype" w:hAnsi="Palatino Linotype"/>
          <w:sz w:val="21"/>
          <w:szCs w:val="21"/>
          <w:u w:color="000000"/>
        </w:rPr>
        <w:lastRenderedPageBreak/>
        <w:t>excepcionada a contestarlas primero por escrito.  Posteriormente se procederá a su discusión entre las partes de los alcances de las defensas interpuestas, tanto las previas como las de fondo.</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Naturalmente en la etapa preliminar no se pueden conocer las excepciones de fondo, solo las defensas previas.  </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El Juez podrá declarar con lugar o rechazar las defensas previas.  En el primer caso debería acoger las que procedan  (generalmente son, aunque el Nuevo Código Procesal Civil, como se analizará en un capítulo ad hoc no se encuentran todas) alguna de litis pendencia, cosa juzgada, transacción, prescripción y caducidad.</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Si las declara con lugar el proceso estaría terminado, si las rechaza o decide que deben ser resueltas en la sentencia por el fondo, el proceso queda saneado en este aspecto y se continúa con las otras actividades, dejándolas para resolver en la sentencia de fondo.</w:t>
      </w:r>
    </w:p>
    <w:p w:rsidR="002014CA" w:rsidRPr="00E10347" w:rsidRDefault="002014CA" w:rsidP="00E10347">
      <w:pPr>
        <w:ind w:firstLine="709"/>
        <w:jc w:val="both"/>
        <w:textAlignment w:val="center"/>
        <w:rPr>
          <w:rFonts w:ascii="Palatino Linotype" w:hAnsi="Palatino Linotype"/>
          <w:b/>
          <w:bCs/>
          <w:sz w:val="21"/>
          <w:szCs w:val="21"/>
          <w:u w:color="000000"/>
        </w:rPr>
      </w:pPr>
      <w:r w:rsidRPr="00E10347">
        <w:rPr>
          <w:rFonts w:ascii="Palatino Linotype" w:hAnsi="Palatino Linotype"/>
          <w:sz w:val="21"/>
          <w:szCs w:val="21"/>
          <w:u w:color="000000"/>
        </w:rPr>
        <w:t>Contra la admisibilidad de una defensa previa cabe el recurso de apelación ante el Superior.  Si lo resuelto sobre la admisión de las previas se revoca se estaría saneando ese aspecto, y se continúa con las otras actividades de la audiencia.  Pero si se rechaza el recurso, es decir son declaradas con lugar, el proceso fenece.</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Sobre las de fondo, como se ha dicho, no se resolverá absolutamente nada en este momento procesal porque se trata solo de analizar los alcances de cada una de ellas, explicándolas y discutiéndolas.</w:t>
      </w:r>
    </w:p>
    <w:p w:rsidR="008A02E9" w:rsidRDefault="008A02E9" w:rsidP="00E10347">
      <w:pPr>
        <w:textAlignment w:val="center"/>
        <w:rPr>
          <w:rFonts w:ascii="Palatino Linotype" w:hAnsi="Palatino Linotype"/>
          <w:b/>
          <w:sz w:val="21"/>
          <w:szCs w:val="21"/>
          <w:u w:color="000000"/>
        </w:rPr>
      </w:pPr>
    </w:p>
    <w:p w:rsidR="002014CA" w:rsidRPr="00E10347" w:rsidRDefault="002014CA" w:rsidP="00E10347">
      <w:pPr>
        <w:textAlignment w:val="center"/>
        <w:rPr>
          <w:rFonts w:ascii="Palatino Linotype" w:hAnsi="Palatino Linotype"/>
          <w:b/>
          <w:bCs/>
          <w:sz w:val="21"/>
          <w:szCs w:val="21"/>
          <w:u w:color="000000"/>
        </w:rPr>
      </w:pPr>
      <w:r w:rsidRPr="00E10347">
        <w:rPr>
          <w:rFonts w:ascii="Palatino Linotype" w:hAnsi="Palatino Linotype"/>
          <w:b/>
          <w:sz w:val="21"/>
          <w:szCs w:val="21"/>
          <w:u w:color="000000"/>
        </w:rPr>
        <w:t>7.</w:t>
      </w:r>
      <w:r w:rsidRPr="00E10347">
        <w:rPr>
          <w:rFonts w:ascii="Palatino Linotype" w:hAnsi="Palatino Linotype"/>
          <w:b/>
          <w:bCs/>
          <w:sz w:val="21"/>
          <w:szCs w:val="21"/>
          <w:u w:color="000000"/>
        </w:rPr>
        <w:tab/>
        <w:t>Sentencia anticipada</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En la misma forma como se pretende sanear el proceso para avanzar con él por las diversas etapas sin necesidad de regresar al inicio en ningún momento, también existe interés público en evitar su avance por diversas etapas si evidentemente la demanda no va a tener éxito o se prevé con claridad su eventual resultado.</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Esto se podría prever solo en las siguientes causales de sentencia anticipada:</w:t>
      </w:r>
    </w:p>
    <w:p w:rsidR="002014CA" w:rsidRPr="00E10347" w:rsidRDefault="002014CA" w:rsidP="00E10347">
      <w:pPr>
        <w:pStyle w:val="Sinespaciado"/>
        <w:ind w:firstLine="709"/>
        <w:rPr>
          <w:rFonts w:ascii="Palatino Linotype" w:hAnsi="Palatino Linotype" w:cs="Times New Roman"/>
          <w:sz w:val="21"/>
          <w:szCs w:val="21"/>
          <w:u w:color="000000"/>
        </w:rPr>
      </w:pPr>
      <w:r w:rsidRPr="00E10347">
        <w:rPr>
          <w:rFonts w:ascii="Palatino Linotype" w:hAnsi="Palatino Linotype" w:cs="Times New Roman"/>
          <w:sz w:val="21"/>
          <w:szCs w:val="21"/>
          <w:u w:color="000000"/>
        </w:rPr>
        <w:t>a)     falta evidente de legitimación,</w:t>
      </w:r>
    </w:p>
    <w:p w:rsidR="002014CA" w:rsidRPr="00E10347" w:rsidRDefault="002014CA" w:rsidP="00E10347">
      <w:pPr>
        <w:pStyle w:val="Sinespaciado"/>
        <w:ind w:firstLine="709"/>
        <w:rPr>
          <w:rFonts w:ascii="Palatino Linotype" w:hAnsi="Palatino Linotype" w:cs="Times New Roman"/>
          <w:sz w:val="21"/>
          <w:szCs w:val="21"/>
          <w:u w:color="000000"/>
        </w:rPr>
      </w:pPr>
      <w:r w:rsidRPr="00E10347">
        <w:rPr>
          <w:rFonts w:ascii="Palatino Linotype" w:hAnsi="Palatino Linotype" w:cs="Times New Roman"/>
          <w:sz w:val="21"/>
          <w:szCs w:val="21"/>
          <w:u w:color="000000"/>
        </w:rPr>
        <w:t>b)    demanda improponible,</w:t>
      </w:r>
    </w:p>
    <w:p w:rsidR="002014CA" w:rsidRPr="00E10347" w:rsidRDefault="002014CA" w:rsidP="00E10347">
      <w:pPr>
        <w:pStyle w:val="Sinespaciado"/>
        <w:ind w:firstLine="709"/>
        <w:rPr>
          <w:rFonts w:ascii="Palatino Linotype" w:hAnsi="Palatino Linotype" w:cs="Times New Roman"/>
          <w:sz w:val="21"/>
          <w:szCs w:val="21"/>
          <w:u w:color="000000"/>
        </w:rPr>
      </w:pPr>
      <w:r w:rsidRPr="00E10347">
        <w:rPr>
          <w:rFonts w:ascii="Palatino Linotype" w:hAnsi="Palatino Linotype" w:cs="Times New Roman"/>
          <w:sz w:val="21"/>
          <w:szCs w:val="21"/>
          <w:u w:color="000000"/>
        </w:rPr>
        <w:t>c)    vicio insubsanable conducente a la terminación del proceso,</w:t>
      </w:r>
    </w:p>
    <w:p w:rsidR="002014CA" w:rsidRPr="00E10347" w:rsidRDefault="002014CA" w:rsidP="00E10347">
      <w:pPr>
        <w:pStyle w:val="Sinespaciado"/>
        <w:ind w:firstLine="709"/>
        <w:rPr>
          <w:rFonts w:ascii="Palatino Linotype" w:hAnsi="Palatino Linotype" w:cs="Times New Roman"/>
          <w:sz w:val="21"/>
          <w:szCs w:val="21"/>
          <w:u w:color="000000"/>
        </w:rPr>
      </w:pPr>
      <w:r w:rsidRPr="00E10347">
        <w:rPr>
          <w:rFonts w:ascii="Palatino Linotype" w:hAnsi="Palatino Linotype" w:cs="Times New Roman"/>
          <w:sz w:val="21"/>
          <w:szCs w:val="21"/>
          <w:u w:color="000000"/>
        </w:rPr>
        <w:t>d)   por contener pretensiones abiertamente improponibles,  por razones claras o por existir precedentes de casación referidos expresamente al caso concreto.</w:t>
      </w:r>
    </w:p>
    <w:p w:rsidR="002014CA" w:rsidRPr="00E10347" w:rsidRDefault="002014CA" w:rsidP="00E10347">
      <w:pPr>
        <w:textAlignment w:val="center"/>
        <w:rPr>
          <w:rFonts w:ascii="Palatino Linotype" w:hAnsi="Palatino Linotype"/>
          <w:b/>
          <w:bCs/>
          <w:sz w:val="21"/>
          <w:szCs w:val="21"/>
          <w:u w:color="000000"/>
        </w:rPr>
      </w:pPr>
      <w:r w:rsidRPr="00E10347">
        <w:rPr>
          <w:rFonts w:ascii="Palatino Linotype" w:hAnsi="Palatino Linotype"/>
          <w:b/>
          <w:sz w:val="21"/>
          <w:szCs w:val="21"/>
          <w:u w:color="000000"/>
        </w:rPr>
        <w:lastRenderedPageBreak/>
        <w:t>8.</w:t>
      </w:r>
      <w:r w:rsidRPr="00E10347">
        <w:rPr>
          <w:rFonts w:ascii="Palatino Linotype" w:hAnsi="Palatino Linotype"/>
          <w:b/>
          <w:bCs/>
          <w:sz w:val="21"/>
          <w:szCs w:val="21"/>
          <w:u w:color="000000"/>
        </w:rPr>
        <w:tab/>
        <w:t>Definición de la cuantía del asunto</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Cuando hubiere sido objetada la cuantía en los procesos ordinarios, y atendiendo a las razones planteadas así como a la prueba ofrecida, los jueces deberán definir la cuantía del asunto.</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La fijación de la cuantía solo tiene como efecto determinar las pretensiones máximas de la parte, pues no podrá formularse distinción procesal en función de la estimación.</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El juez deberá definir la cuantía en los ordinarios, tomando en cuenta si ella fue objetada, o si no,  admitir la estimación de la parte actora, o bien estimar un monto superior si la contrademanda tuviere una estimación más alta, tomando en cuenta sus criterios de lógica y experiencia. </w:t>
      </w:r>
    </w:p>
    <w:p w:rsidR="008A02E9" w:rsidRDefault="008A02E9" w:rsidP="00E10347">
      <w:pPr>
        <w:tabs>
          <w:tab w:val="left" w:pos="556"/>
          <w:tab w:val="right" w:pos="6963"/>
        </w:tabs>
        <w:textAlignment w:val="center"/>
        <w:rPr>
          <w:rFonts w:ascii="Palatino Linotype" w:hAnsi="Palatino Linotype"/>
          <w:b/>
          <w:sz w:val="21"/>
          <w:szCs w:val="21"/>
          <w:u w:color="000000"/>
        </w:rPr>
      </w:pPr>
    </w:p>
    <w:p w:rsidR="002014CA" w:rsidRPr="00E10347" w:rsidRDefault="002014CA" w:rsidP="00E10347">
      <w:pPr>
        <w:tabs>
          <w:tab w:val="left" w:pos="556"/>
          <w:tab w:val="right" w:pos="6963"/>
        </w:tabs>
        <w:textAlignment w:val="center"/>
        <w:rPr>
          <w:rFonts w:ascii="Palatino Linotype" w:hAnsi="Palatino Linotype"/>
          <w:b/>
          <w:sz w:val="21"/>
          <w:szCs w:val="21"/>
          <w:u w:color="000000"/>
        </w:rPr>
      </w:pPr>
      <w:r w:rsidRPr="00E10347">
        <w:rPr>
          <w:rFonts w:ascii="Palatino Linotype" w:hAnsi="Palatino Linotype"/>
          <w:b/>
          <w:sz w:val="21"/>
          <w:szCs w:val="21"/>
          <w:u w:color="000000"/>
        </w:rPr>
        <w:t>9.</w:t>
      </w:r>
      <w:r w:rsidRPr="00E10347">
        <w:rPr>
          <w:rFonts w:ascii="Palatino Linotype" w:hAnsi="Palatino Linotype"/>
          <w:sz w:val="21"/>
          <w:szCs w:val="21"/>
          <w:u w:color="000000"/>
        </w:rPr>
        <w:t xml:space="preserve">     </w:t>
      </w:r>
      <w:r w:rsidRPr="00E10347">
        <w:rPr>
          <w:rFonts w:ascii="Palatino Linotype" w:hAnsi="Palatino Linotype"/>
          <w:b/>
          <w:sz w:val="21"/>
          <w:szCs w:val="21"/>
          <w:u w:color="000000"/>
        </w:rPr>
        <w:t>Otorgamiento o modificación de medidas cautelares</w:t>
      </w:r>
    </w:p>
    <w:p w:rsidR="002014CA" w:rsidRPr="00E10347" w:rsidRDefault="002014CA" w:rsidP="00E10347">
      <w:pPr>
        <w:tabs>
          <w:tab w:val="left" w:pos="556"/>
          <w:tab w:val="right" w:pos="6963"/>
        </w:tabs>
        <w:ind w:firstLine="709"/>
        <w:jc w:val="both"/>
        <w:textAlignment w:val="center"/>
        <w:rPr>
          <w:rFonts w:ascii="Palatino Linotype" w:hAnsi="Palatino Linotype"/>
          <w:sz w:val="21"/>
          <w:szCs w:val="21"/>
          <w:u w:color="000000"/>
        </w:rPr>
      </w:pPr>
      <w:r w:rsidRPr="00E10347">
        <w:rPr>
          <w:rFonts w:ascii="Palatino Linotype" w:hAnsi="Palatino Linotype"/>
          <w:b/>
          <w:sz w:val="21"/>
          <w:szCs w:val="21"/>
          <w:u w:color="000000"/>
        </w:rPr>
        <w:tab/>
      </w:r>
      <w:r w:rsidRPr="00E10347">
        <w:rPr>
          <w:rFonts w:ascii="Palatino Linotype" w:hAnsi="Palatino Linotype"/>
          <w:sz w:val="21"/>
          <w:szCs w:val="21"/>
          <w:u w:color="000000"/>
        </w:rPr>
        <w:t>Si no se hubieren solicitado medidas cautelares anticipadamente también podrán interponerse con la demanda o la contrademanda.  En tales circunstancias el Juez de la audiencia preliminar las podrá otorgar, lo que da motivo a la contraria para apelarlas, o rechazarlas caso en el cual no existe recurso contra lo resuelto.</w:t>
      </w:r>
    </w:p>
    <w:p w:rsidR="002014CA" w:rsidRPr="00E10347" w:rsidRDefault="002014CA" w:rsidP="00E10347">
      <w:pPr>
        <w:tabs>
          <w:tab w:val="left" w:pos="556"/>
          <w:tab w:val="right" w:pos="6963"/>
        </w:tabs>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ab/>
        <w:t xml:space="preserve">También sería posible, a gestión de la parte perjudicada, solicitar la modificación e incluso la revocatoria de las medidas cautelares otorgadas </w:t>
      </w:r>
      <w:r w:rsidRPr="00E10347">
        <w:rPr>
          <w:rFonts w:ascii="Palatino Linotype" w:hAnsi="Palatino Linotype"/>
          <w:b/>
          <w:i/>
          <w:sz w:val="21"/>
          <w:szCs w:val="21"/>
          <w:u w:color="000000"/>
        </w:rPr>
        <w:t>inauditio partium</w:t>
      </w:r>
      <w:r w:rsidRPr="00E10347">
        <w:rPr>
          <w:rFonts w:ascii="Palatino Linotype" w:hAnsi="Palatino Linotype"/>
          <w:sz w:val="21"/>
          <w:szCs w:val="21"/>
          <w:u w:color="000000"/>
        </w:rPr>
        <w:t>, en forma anticipada.  En tal circunstancia seguramente se otorgará prueba cuya evacuación se verificará en forma inmediata.</w:t>
      </w:r>
    </w:p>
    <w:p w:rsidR="002014CA" w:rsidRPr="00E10347" w:rsidRDefault="002014CA" w:rsidP="00E10347">
      <w:pPr>
        <w:tabs>
          <w:tab w:val="left" w:pos="556"/>
          <w:tab w:val="right" w:pos="6963"/>
        </w:tabs>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ab/>
        <w:t>En la audiencia preliminar las medidas cautelares podrían mantenerse, o bien como puede corresponder en cualquier etapa del proceso las modifica o las anula.</w:t>
      </w:r>
    </w:p>
    <w:p w:rsidR="008A02E9" w:rsidRDefault="008A02E9" w:rsidP="00E10347">
      <w:pPr>
        <w:tabs>
          <w:tab w:val="left" w:pos="1113"/>
          <w:tab w:val="right" w:pos="6859"/>
        </w:tabs>
        <w:jc w:val="both"/>
        <w:textAlignment w:val="center"/>
        <w:rPr>
          <w:rFonts w:ascii="Palatino Linotype" w:hAnsi="Palatino Linotype"/>
          <w:b/>
          <w:sz w:val="21"/>
          <w:szCs w:val="21"/>
          <w:u w:color="000000"/>
        </w:rPr>
      </w:pPr>
    </w:p>
    <w:p w:rsidR="002014CA" w:rsidRPr="00E10347" w:rsidRDefault="002014CA" w:rsidP="00E10347">
      <w:pPr>
        <w:tabs>
          <w:tab w:val="left" w:pos="1113"/>
          <w:tab w:val="right" w:pos="6859"/>
        </w:tabs>
        <w:jc w:val="both"/>
        <w:textAlignment w:val="center"/>
        <w:rPr>
          <w:rFonts w:ascii="Palatino Linotype" w:hAnsi="Palatino Linotype"/>
          <w:b/>
          <w:bCs/>
          <w:sz w:val="21"/>
          <w:szCs w:val="21"/>
          <w:u w:color="000000"/>
        </w:rPr>
      </w:pPr>
      <w:r w:rsidRPr="00E10347">
        <w:rPr>
          <w:rFonts w:ascii="Palatino Linotype" w:hAnsi="Palatino Linotype"/>
          <w:b/>
          <w:sz w:val="21"/>
          <w:szCs w:val="21"/>
          <w:u w:color="000000"/>
        </w:rPr>
        <w:t xml:space="preserve">10.  Determinación de los hechos controvertidos  y los alcances de la pretensión: </w:t>
      </w:r>
      <w:r w:rsidRPr="00E10347">
        <w:rPr>
          <w:rFonts w:ascii="Palatino Linotype" w:hAnsi="Palatino Linotype"/>
          <w:b/>
          <w:bCs/>
          <w:sz w:val="21"/>
          <w:szCs w:val="21"/>
          <w:u w:color="000000"/>
        </w:rPr>
        <w:t>fijación definitiva del objeto principal del proceso.</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Generalmente, previo a dar traslado a la demanda, el Juez previene al actor a la modificación, corrección o eliminación de una serie de hechos, e igualmente a la modificación o precisación de la pretensión, lo cual constituye un principio de saneamiento.  </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Esta constituye la actividad más importante de la audiencia preliminar, pues consiste en concretar la contienda sobre la cual deberá pronunciarse el Tribunal en la audiencia complementaria.</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Consiste en un análisis minucioso de los hechos, verificado por el Juez y las </w:t>
      </w:r>
      <w:r w:rsidRPr="00E10347">
        <w:rPr>
          <w:rFonts w:ascii="Palatino Linotype" w:hAnsi="Palatino Linotype"/>
          <w:sz w:val="21"/>
          <w:szCs w:val="21"/>
          <w:u w:color="000000"/>
        </w:rPr>
        <w:lastRenderedPageBreak/>
        <w:t xml:space="preserve">partes, para cumplir con las exigencias de plantear hechos concretos, puros y simples, eliminando todo tipo de valoraciones, conclusiones o apreciaciones indebidas.  En esta actividad se procede a cambiar los hechos de la demanda, la contestación, la contrademanda e incluso la réplica.  </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En el fondo constituye una verdadera corrección impulsada por el Juez, para definir en forma técnica y correcta lo que deberá ser tenido como el objeto del debate.</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Generalmente la intervención de la parte demandada es sumamente activa para eliminarlos o sustituirlos, mientras la parte actora consciente de los defectos los admite o se opone a las observaciones para mantenerlos incólumes si tales modificaciones pueden llegar a cambiar la estrategia pensada para lograr la declaratoria adecuada de su pretensión.  </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De lo definido se consagran los hechos en un acta o se redactan en forma separada por el Juez para el debido conocimiento del Tribunal.</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Más complejo aún constituye la determinación del </w:t>
      </w:r>
      <w:r w:rsidRPr="00E10347">
        <w:rPr>
          <w:rFonts w:ascii="Palatino Linotype" w:hAnsi="Palatino Linotype"/>
          <w:b/>
          <w:i/>
          <w:sz w:val="21"/>
          <w:szCs w:val="21"/>
          <w:u w:color="000000"/>
        </w:rPr>
        <w:t>petitium</w:t>
      </w:r>
      <w:r w:rsidRPr="00E10347">
        <w:rPr>
          <w:rFonts w:ascii="Palatino Linotype" w:hAnsi="Palatino Linotype"/>
          <w:sz w:val="21"/>
          <w:szCs w:val="21"/>
          <w:u w:color="000000"/>
        </w:rPr>
        <w:t xml:space="preserve">, pues este ha sido objeto de gran reflexión en la formulación de la demanda o la contrademanda, y cualquier cambio le resulta a la parte proponente un verdadero atropello a su derecho de pedir.  En este ámbito el Juez debe ser sumamente prudente pues sería preferible no exigirle modificaciones a una parte, salvo repeticiones o aspectos vagos o imprecisos. </w:t>
      </w:r>
      <w:r w:rsidRPr="00E10347">
        <w:rPr>
          <w:rFonts w:ascii="Palatino Linotype" w:hAnsi="Palatino Linotype"/>
          <w:sz w:val="21"/>
          <w:szCs w:val="21"/>
          <w:u w:color="000000"/>
        </w:rPr>
        <w:tab/>
      </w:r>
    </w:p>
    <w:p w:rsidR="008A02E9" w:rsidRDefault="008A02E9" w:rsidP="00E10347">
      <w:pPr>
        <w:jc w:val="both"/>
        <w:textAlignment w:val="center"/>
        <w:rPr>
          <w:rFonts w:ascii="Palatino Linotype" w:hAnsi="Palatino Linotype"/>
          <w:b/>
          <w:sz w:val="21"/>
          <w:szCs w:val="21"/>
          <w:u w:color="000000"/>
        </w:rPr>
      </w:pPr>
    </w:p>
    <w:p w:rsidR="002014CA" w:rsidRPr="00E10347" w:rsidRDefault="002014CA" w:rsidP="00E10347">
      <w:pPr>
        <w:jc w:val="both"/>
        <w:textAlignment w:val="center"/>
        <w:rPr>
          <w:rFonts w:ascii="Palatino Linotype" w:hAnsi="Palatino Linotype"/>
          <w:b/>
          <w:sz w:val="21"/>
          <w:szCs w:val="21"/>
          <w:u w:color="000000"/>
        </w:rPr>
      </w:pPr>
      <w:r w:rsidRPr="00E10347">
        <w:rPr>
          <w:rFonts w:ascii="Palatino Linotype" w:hAnsi="Palatino Linotype"/>
          <w:b/>
          <w:sz w:val="21"/>
          <w:szCs w:val="21"/>
          <w:u w:color="000000"/>
        </w:rPr>
        <w:t>11.</w:t>
      </w:r>
      <w:r w:rsidRPr="00E10347">
        <w:rPr>
          <w:rFonts w:ascii="Palatino Linotype" w:hAnsi="Palatino Linotype"/>
          <w:sz w:val="21"/>
          <w:szCs w:val="21"/>
          <w:u w:color="000000"/>
        </w:rPr>
        <w:t xml:space="preserve">  </w:t>
      </w:r>
      <w:r w:rsidRPr="00E10347">
        <w:rPr>
          <w:rFonts w:ascii="Palatino Linotype" w:hAnsi="Palatino Linotype"/>
          <w:b/>
          <w:sz w:val="21"/>
          <w:szCs w:val="21"/>
          <w:u w:color="000000"/>
        </w:rPr>
        <w:t>Admisibilidad de la prueba.</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En esta actividad de la audiencia preliminar generalmente hay debate en torno a la prueba testimonial, o a la pericial, no tanto a la documental.</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Debe comprenderse en el ofrecimiento de las pruebas la gran diferencia existente entre la escritura y la oralidad.  Por lo general con la escritura se introducen grandes cantidades de facturas, de documentos representativos de los daños y perjuicios, y en fin de un sinnúmero de probanzas generalmente sobre las cuales los jueces no se detienen a considerar, pero llegan a conformar una inmensa cantidad de documentos conformadores de varios tomos.</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Con la oralidad lo recomendable es presentar en vez de las facturas una certificación de un Contador Público Autorizado quien ha estudiado las facturas, y se las deja en su despacho.  Igual con diferentes tipos de documentación susceptible de ser valorada por un técnico y se anexa solamente su certificación.</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En este caso el ofrecimiento probatorio va a ser el del Contador Público </w:t>
      </w:r>
      <w:r w:rsidRPr="00E10347">
        <w:rPr>
          <w:rFonts w:ascii="Palatino Linotype" w:hAnsi="Palatino Linotype"/>
          <w:sz w:val="21"/>
          <w:szCs w:val="21"/>
          <w:u w:color="000000"/>
        </w:rPr>
        <w:lastRenderedPageBreak/>
        <w:t>Autorizado o de cualquier otro tipo de profesional, quien comparece a declarar oralmente sobre las facturas o documentos, a quien interroga la parte oferente, la contraria y finalmente los jueces.</w:t>
      </w:r>
    </w:p>
    <w:p w:rsidR="002014CA" w:rsidRPr="00E10347" w:rsidRDefault="002014CA" w:rsidP="00E10347">
      <w:pPr>
        <w:ind w:firstLine="709"/>
        <w:jc w:val="both"/>
        <w:textAlignment w:val="center"/>
        <w:rPr>
          <w:rFonts w:ascii="Palatino Linotype" w:hAnsi="Palatino Linotype"/>
          <w:b/>
          <w:sz w:val="21"/>
          <w:szCs w:val="21"/>
          <w:u w:color="000000"/>
        </w:rPr>
      </w:pPr>
      <w:r w:rsidRPr="00E10347">
        <w:rPr>
          <w:rFonts w:ascii="Palatino Linotype" w:hAnsi="Palatino Linotype"/>
          <w:sz w:val="21"/>
          <w:szCs w:val="21"/>
          <w:u w:color="000000"/>
        </w:rPr>
        <w:t xml:space="preserve">Este tema es sumamente casuístico sin embargo es claro que la prueba es ofrecida para probar los hechos y en esta forma fundamentar los elementos necesarios para conseguir el fin del </w:t>
      </w:r>
      <w:r w:rsidRPr="00E10347">
        <w:rPr>
          <w:rFonts w:ascii="Palatino Linotype" w:hAnsi="Palatino Linotype"/>
          <w:b/>
          <w:i/>
          <w:sz w:val="21"/>
          <w:szCs w:val="21"/>
          <w:u w:color="000000"/>
        </w:rPr>
        <w:t>petitium</w:t>
      </w:r>
      <w:r w:rsidRPr="00E10347">
        <w:rPr>
          <w:rFonts w:ascii="Palatino Linotype" w:hAnsi="Palatino Linotype"/>
          <w:sz w:val="21"/>
          <w:szCs w:val="21"/>
          <w:u w:color="000000"/>
        </w:rPr>
        <w:t>, sea para declarar con lugar la demanda, o admitir las excepciones.</w:t>
      </w:r>
      <w:r w:rsidRPr="00E10347">
        <w:rPr>
          <w:rFonts w:ascii="Palatino Linotype" w:hAnsi="Palatino Linotype"/>
          <w:b/>
          <w:sz w:val="21"/>
          <w:szCs w:val="21"/>
          <w:u w:color="000000"/>
        </w:rPr>
        <w:t xml:space="preserve"> </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En la admisibilidad de la prueba los Jueces no pueden ser restrictivos, pues afectan el derecho-obligación de las partes de probar, y porque generalmente constituye causal de casación la denegación de prueba admisible.</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Este tema es altamente peligroso.  Porque el Juez tramitadora puede ser muy estricto en la admisibilidad y contra esa decisión solo cabe revocatoria.  No se prevé la apelación y en el Nuevo Código Procesal Civil no se incluyó la causal de casación por la denegación de pruebas ofrecidas y no admitida que puedan causar indfensión.</w:t>
      </w:r>
    </w:p>
    <w:p w:rsidR="008A02E9" w:rsidRDefault="008A02E9" w:rsidP="00E10347">
      <w:pPr>
        <w:tabs>
          <w:tab w:val="left" w:pos="1113"/>
          <w:tab w:val="right" w:pos="6859"/>
        </w:tabs>
        <w:textAlignment w:val="center"/>
        <w:rPr>
          <w:rFonts w:ascii="Palatino Linotype" w:hAnsi="Palatino Linotype"/>
          <w:b/>
          <w:sz w:val="21"/>
          <w:szCs w:val="21"/>
          <w:u w:color="000000"/>
        </w:rPr>
      </w:pPr>
    </w:p>
    <w:p w:rsidR="002014CA" w:rsidRPr="00E10347" w:rsidRDefault="002014CA" w:rsidP="00E10347">
      <w:pPr>
        <w:tabs>
          <w:tab w:val="left" w:pos="1113"/>
          <w:tab w:val="right" w:pos="6859"/>
        </w:tabs>
        <w:textAlignment w:val="center"/>
        <w:rPr>
          <w:rFonts w:ascii="Palatino Linotype" w:hAnsi="Palatino Linotype"/>
          <w:b/>
          <w:sz w:val="21"/>
          <w:szCs w:val="21"/>
          <w:u w:color="000000"/>
        </w:rPr>
      </w:pPr>
      <w:r w:rsidRPr="00E10347">
        <w:rPr>
          <w:rFonts w:ascii="Palatino Linotype" w:hAnsi="Palatino Linotype"/>
          <w:b/>
          <w:sz w:val="21"/>
          <w:szCs w:val="21"/>
          <w:u w:color="000000"/>
        </w:rPr>
        <w:t>12.</w:t>
      </w:r>
      <w:r w:rsidRPr="00E10347">
        <w:rPr>
          <w:rFonts w:ascii="Palatino Linotype" w:hAnsi="Palatino Linotype"/>
          <w:b/>
          <w:bCs/>
          <w:sz w:val="21"/>
          <w:szCs w:val="21"/>
          <w:u w:color="000000"/>
        </w:rPr>
        <w:t xml:space="preserve">  </w:t>
      </w:r>
      <w:r w:rsidRPr="00E10347">
        <w:rPr>
          <w:rFonts w:ascii="Palatino Linotype" w:hAnsi="Palatino Linotype"/>
          <w:b/>
          <w:sz w:val="21"/>
          <w:szCs w:val="21"/>
          <w:u w:color="000000"/>
        </w:rPr>
        <w:t>Fijación de fecha para la audiencia complementaria.</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La audiencia preliminar concluye con el anuncio, por parte del Juez, del señalamiento de hora y fecha de la audiencia complementaria.</w:t>
      </w:r>
    </w:p>
    <w:p w:rsidR="008A02E9" w:rsidRDefault="008A02E9" w:rsidP="00E10347">
      <w:pPr>
        <w:tabs>
          <w:tab w:val="left" w:pos="1146"/>
          <w:tab w:val="right" w:pos="6134"/>
        </w:tabs>
        <w:textAlignment w:val="center"/>
        <w:rPr>
          <w:rFonts w:ascii="Palatino Linotype" w:hAnsi="Palatino Linotype"/>
          <w:b/>
          <w:bCs/>
          <w:sz w:val="21"/>
          <w:szCs w:val="21"/>
          <w:u w:color="000000"/>
        </w:rPr>
      </w:pPr>
    </w:p>
    <w:p w:rsidR="002014CA" w:rsidRPr="00E10347" w:rsidRDefault="002014CA" w:rsidP="00E10347">
      <w:pPr>
        <w:tabs>
          <w:tab w:val="left" w:pos="1146"/>
          <w:tab w:val="right" w:pos="6134"/>
        </w:tabs>
        <w:textAlignment w:val="center"/>
        <w:rPr>
          <w:rFonts w:ascii="Palatino Linotype" w:hAnsi="Palatino Linotype"/>
          <w:b/>
          <w:bCs/>
          <w:sz w:val="21"/>
          <w:szCs w:val="21"/>
          <w:u w:color="000000"/>
        </w:rPr>
      </w:pPr>
      <w:r w:rsidRPr="00E10347">
        <w:rPr>
          <w:rFonts w:ascii="Palatino Linotype" w:hAnsi="Palatino Linotype"/>
          <w:b/>
          <w:bCs/>
          <w:sz w:val="21"/>
          <w:szCs w:val="21"/>
          <w:u w:color="000000"/>
        </w:rPr>
        <w:t>E)  Las actividades de la audiencia complementaria</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Saneado se inicia la etapa fundamental del proceso por audiencias, con la denominada audiencia de pruebas o audiencia complementaria.  Ella, en apariencia resulta más fácil, por contener menos actividades,  sin embargo la complejidad deriva del orden y del conocimiento de los jueces y de los abogados del </w:t>
      </w:r>
      <w:r w:rsidRPr="00E10347">
        <w:rPr>
          <w:rFonts w:ascii="Palatino Linotype" w:hAnsi="Palatino Linotype"/>
          <w:b/>
          <w:i/>
          <w:sz w:val="21"/>
          <w:szCs w:val="21"/>
          <w:u w:color="000000"/>
        </w:rPr>
        <w:t>thema decidendum</w:t>
      </w:r>
      <w:r w:rsidRPr="00E10347">
        <w:rPr>
          <w:rFonts w:ascii="Palatino Linotype" w:hAnsi="Palatino Linotype"/>
          <w:sz w:val="21"/>
          <w:szCs w:val="21"/>
          <w:u w:color="000000"/>
        </w:rPr>
        <w:t>.</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Se trata de actividades en apariencia más sencillas, porque son menos, sin embargo contienen tres de gran importancia: la exposición del caso, la recepción de la prueba y las conclusiones, con prolongaciones imprevisibles.</w:t>
      </w:r>
    </w:p>
    <w:p w:rsidR="008A02E9" w:rsidRDefault="008A02E9" w:rsidP="00E10347">
      <w:pPr>
        <w:jc w:val="both"/>
        <w:textAlignment w:val="center"/>
        <w:rPr>
          <w:rFonts w:ascii="Palatino Linotype" w:hAnsi="Palatino Linotype"/>
          <w:b/>
          <w:sz w:val="21"/>
          <w:szCs w:val="21"/>
          <w:u w:color="000000"/>
        </w:rPr>
      </w:pPr>
    </w:p>
    <w:p w:rsidR="002014CA" w:rsidRPr="00E10347" w:rsidRDefault="002014CA" w:rsidP="00E10347">
      <w:pPr>
        <w:jc w:val="both"/>
        <w:textAlignment w:val="center"/>
        <w:rPr>
          <w:rFonts w:ascii="Palatino Linotype" w:hAnsi="Palatino Linotype"/>
          <w:b/>
          <w:sz w:val="21"/>
          <w:szCs w:val="21"/>
          <w:u w:color="000000"/>
        </w:rPr>
      </w:pPr>
      <w:r w:rsidRPr="00E10347">
        <w:rPr>
          <w:rFonts w:ascii="Palatino Linotype" w:hAnsi="Palatino Linotype"/>
          <w:b/>
          <w:sz w:val="21"/>
          <w:szCs w:val="21"/>
          <w:u w:color="000000"/>
        </w:rPr>
        <w:t>13.  La apertura de la audiencia.</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El Presidente del Tribunal abrirá la audiencia indicando brevemente la hora y fecha, el nombre completo de los jueces, un breve resumen explicativo para las partes y sus abogados, así como la forma como se desarrollará la audiencia.</w:t>
      </w:r>
    </w:p>
    <w:p w:rsidR="008A02E9" w:rsidRDefault="008A02E9" w:rsidP="00E10347">
      <w:pPr>
        <w:jc w:val="both"/>
        <w:textAlignment w:val="center"/>
        <w:rPr>
          <w:rFonts w:ascii="Palatino Linotype" w:hAnsi="Palatino Linotype"/>
          <w:b/>
          <w:sz w:val="21"/>
          <w:szCs w:val="21"/>
          <w:u w:color="000000"/>
        </w:rPr>
      </w:pPr>
    </w:p>
    <w:p w:rsidR="002014CA" w:rsidRPr="00E10347" w:rsidRDefault="002014CA" w:rsidP="00E10347">
      <w:pPr>
        <w:jc w:val="both"/>
        <w:textAlignment w:val="center"/>
        <w:rPr>
          <w:rFonts w:ascii="Palatino Linotype" w:hAnsi="Palatino Linotype"/>
          <w:b/>
          <w:sz w:val="21"/>
          <w:szCs w:val="21"/>
          <w:u w:color="000000"/>
        </w:rPr>
      </w:pPr>
      <w:r w:rsidRPr="00E10347">
        <w:rPr>
          <w:rFonts w:ascii="Palatino Linotype" w:hAnsi="Palatino Linotype"/>
          <w:b/>
          <w:sz w:val="21"/>
          <w:szCs w:val="21"/>
          <w:u w:color="000000"/>
        </w:rPr>
        <w:lastRenderedPageBreak/>
        <w:t>14. La exposición sucinta de las partes en relación con los hechos y las pretensiones.</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Inicialmente se le dará el uso de la palabra al actor para que proceda a formular una explicación de hechos formulados en la demanda y principalmente deberá referirse técnicamente a la procedencia de  las pretensiones formuladas, para solicitar el acogimiento de ellas y el rechazo de las excepciones a las cuales podrá referirse.</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La parte demandada refutará todo cuanto se refiera a los hechos y defenderá técnicamente las excepciones formuladas. </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Si hubiere contrademanda se actuará en la misma forma con la contrademanda y con la réplica, en la misma intervención, o si lo prefieren los jueces, sea por sí o por sugerencia de las partes, en forma separada para mayor claridad de los distintos hechos y pretensiones contradictorias.</w:t>
      </w:r>
    </w:p>
    <w:p w:rsidR="008A02E9" w:rsidRDefault="008A02E9" w:rsidP="00E10347">
      <w:pPr>
        <w:jc w:val="both"/>
        <w:textAlignment w:val="center"/>
        <w:rPr>
          <w:rFonts w:ascii="Palatino Linotype" w:hAnsi="Palatino Linotype"/>
          <w:b/>
          <w:sz w:val="21"/>
          <w:szCs w:val="21"/>
          <w:u w:color="000000"/>
        </w:rPr>
      </w:pPr>
    </w:p>
    <w:p w:rsidR="002014CA" w:rsidRPr="00E10347" w:rsidRDefault="002014CA" w:rsidP="00E10347">
      <w:pPr>
        <w:jc w:val="both"/>
        <w:textAlignment w:val="center"/>
        <w:rPr>
          <w:rFonts w:ascii="Palatino Linotype" w:hAnsi="Palatino Linotype"/>
          <w:b/>
          <w:sz w:val="21"/>
          <w:szCs w:val="21"/>
          <w:u w:color="000000"/>
        </w:rPr>
      </w:pPr>
      <w:r w:rsidRPr="00E10347">
        <w:rPr>
          <w:rFonts w:ascii="Palatino Linotype" w:hAnsi="Palatino Linotype"/>
          <w:b/>
          <w:sz w:val="21"/>
          <w:szCs w:val="21"/>
          <w:u w:color="000000"/>
        </w:rPr>
        <w:t>15. Recepción de las pruebas.</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En el orden establecido por el Tribunal se procederá a la evacuación de la prueba ofrecida por las partes, siendo lo más lógico primero las de la parte actora y de seguido las de la demandada.</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Igualmente las pruebas de las partes serán primero interrogadas por los abogados de la oferente, en la forma más abierta posible, posteriormente  el abogado de la contraria repreguntará solicitando adiciones y aclaraciones sobre lo declarado, sin que pueda formular preguntas nuevas o distintas a las de la oferente porque solo interrogará la oferente.</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Esto ocurrirá tanto en la prueba pericial, donde es posible el auxilio de peritos o expertos quienes podrán participar libremente en el interrogatorio o contrainterrogatorio; la de los consultores en ciencia, arte o técnica;  la testimonial dentro de la cual se encuentra la de testigos así como de testigos expertos.</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Será contrario el interrogatorio respecto de la confesional o  la declaración de la parte, pues siendo de la contraria esta procederá a interrogar, sin poder hacerlo la no oferente: ni siquiera en adiciones o aclaraciones.</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Optativamente, primero el Presidente del Tribunal, y posteriormente los otros Jueces, formularán preguntas libremente a todos los declarantes sobre extremos de su interés para esclarecer aún más el contenido de la prueba. </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En algunos casos, cuando del debate con las pruebas, surgiere interés en algunas otras, se dispondrá declararla como “prueba complementaria” y la parte </w:t>
      </w:r>
      <w:r w:rsidRPr="00E10347">
        <w:rPr>
          <w:rFonts w:ascii="Palatino Linotype" w:hAnsi="Palatino Linotype"/>
          <w:sz w:val="21"/>
          <w:szCs w:val="21"/>
          <w:u w:color="000000"/>
        </w:rPr>
        <w:lastRenderedPageBreak/>
        <w:t>interesada o los jueces ordenarán su citación, para ser evacuada en otra parte de la audiencia.</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Los abogados en la audiencia complementaria deben tener clara su misión de darle contenido real al contradictorio.  Para ello se requiere una investigación previa de todos los elementos probatorios ofrecidos por la contraria.  Para conocer sus debilidades en cuanto a la complacencia o falta de un asidero a la técnica o a la realidad sobre la cual han fundado sus declaraciones.  </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En este aspecto juega un papel fundamental el conocimiento de las técnicas del interrogatorio o examen directo de la prueba y del contrainterrogatorio consistente en repreguntar.  </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Con el interrogatorio o examen directo se les formula a los testigos que soporten la teoría del caso del interrogatorio, es caracterizado por preguntas abiertas (comienzan con las expresiones qué, dónde, cómo, cuándo, quién, porqué  (el porqué jamás se debe utilizar en el contradictorio, según consejo unánime de los expertos por subjetivizar la respuesta).  En el interrogatorio el testigo es el protagonista y tiene el control sobre el testimonio.  Siempre comienza a interrogar quien ofreció la  prueba.</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El contrainterrogatorio se ejerce como un instrumento de contradicción de la prueba adversa.  El contradictorio implica la última confrontación, la de estar cara a cara con la prueba contraria.  Se les formula a los testigos que cuestionan la teoría del caso del contrainterrogador, se caracteriza por preguntas cerradas del tipo sugestivo o asertivo, el contrainterrogador es el protagonista y tiene el control sobre el testigo y su testimonio.  Siempre prosigue al examen directo.  Lógicamente contrainterroga la parte contraria a quien ofreció la prueba. </w:t>
      </w:r>
    </w:p>
    <w:p w:rsidR="008A02E9" w:rsidRDefault="008A02E9" w:rsidP="00E10347">
      <w:pPr>
        <w:jc w:val="both"/>
        <w:textAlignment w:val="center"/>
        <w:rPr>
          <w:rFonts w:ascii="Palatino Linotype" w:hAnsi="Palatino Linotype"/>
          <w:b/>
          <w:sz w:val="21"/>
          <w:szCs w:val="21"/>
          <w:u w:color="000000"/>
        </w:rPr>
      </w:pPr>
    </w:p>
    <w:p w:rsidR="002014CA" w:rsidRPr="00E10347" w:rsidRDefault="002014CA" w:rsidP="00E10347">
      <w:pPr>
        <w:jc w:val="both"/>
        <w:textAlignment w:val="center"/>
        <w:rPr>
          <w:rFonts w:ascii="Palatino Linotype" w:hAnsi="Palatino Linotype"/>
          <w:b/>
          <w:sz w:val="21"/>
          <w:szCs w:val="21"/>
          <w:u w:color="000000"/>
        </w:rPr>
      </w:pPr>
      <w:r w:rsidRPr="00E10347">
        <w:rPr>
          <w:rFonts w:ascii="Palatino Linotype" w:hAnsi="Palatino Linotype"/>
          <w:b/>
          <w:sz w:val="21"/>
          <w:szCs w:val="21"/>
          <w:u w:color="000000"/>
        </w:rPr>
        <w:t>16. Conclusiones.</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Constituye el momento sublime, más técnico, de la actividad de los abogados.  Inmediatamente después de la recepción de la prueba,  dentro del plazo concedido por el Tribunal, deberán expresar sus conclusiones las cuales resultan distintas según se trate del actor o el demandado.</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En la estrategia del abogado de la parte actora seguramente se inclinará por  justificar la prueba de los hechos, con la debida indicación de cual o cuales de las probanzas llega a demostrar la existencia de cada uno de los expuestos cuando los sintetizó al iniciar la audiencia,  o en forma general sobre los presupuestos jurídicos sobre los que se fundamentó la acción.  Combatirá igualmente, en cuanto le fuere </w:t>
      </w:r>
      <w:r w:rsidRPr="00E10347">
        <w:rPr>
          <w:rFonts w:ascii="Palatino Linotype" w:hAnsi="Palatino Linotype"/>
          <w:sz w:val="21"/>
          <w:szCs w:val="21"/>
          <w:u w:color="000000"/>
        </w:rPr>
        <w:lastRenderedPageBreak/>
        <w:t>posible, la prueba de la contraria.</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El abogado del actor en sus conclusiones deberá necesariamente convencer al Tribunal del acogimiento de su pretensión y del rechazo de las excepciones formuladas por la parte demandada.</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El abogado de la parte demandada asume un papel totalmente diferente.  En sus conclusiones pretenderá  convencer al Tribunal de la falta de demostración de los hechos alegados.  Expresará con claridad y precisión la ausencia de probanzas idóneas para los hechos viscerales de la demanda.  Y en esta forma  solicita el acogimiento de sus excepciones para el rechazo de la demanda.</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Ambos abogados deberán explicar jurídicamente la procedencia de sus gestiones, esgrimiendo las normas a favor de sus partes, para reforzar y estructurar la tesis de su estrategia. Sus conclusiones jamás podrían limitarse a las pruebas, al contradictorio o a los hechos porque la discusión no es solo fáctica sino especialmente jurídica.  Y en tal sentido deberá prever el tiempo necesario para incursionar en este tema tan álgido del debate.</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En ambos casos los abogados recurrirán a la doctrina y la jurisprudencia para abundar en razonamientos que le den más soporte a sus conclusiones, sin que sea necesaria la lectura íntegra de textos sino solo algunas breves o la mención de su existencia con las citas jurisprudenciales o la mención de libros importantes, no obstante el </w:t>
      </w:r>
      <w:r w:rsidRPr="00E10347">
        <w:rPr>
          <w:rFonts w:ascii="Palatino Linotype" w:hAnsi="Palatino Linotype"/>
          <w:b/>
          <w:i/>
          <w:sz w:val="21"/>
          <w:szCs w:val="21"/>
          <w:u w:color="000000"/>
        </w:rPr>
        <w:t>iura novit curia</w:t>
      </w:r>
      <w:r w:rsidRPr="00E10347">
        <w:rPr>
          <w:rFonts w:ascii="Palatino Linotype" w:hAnsi="Palatino Linotype"/>
          <w:sz w:val="21"/>
          <w:szCs w:val="21"/>
          <w:u w:color="000000"/>
        </w:rPr>
        <w:t>.</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Esta es, seguramente, la actividad más dramática de toda la audiencia complementaria.  Por el esfuerzo de las partes para resumir un caso, seguramente desarrollado en varias audiencias, con mucha prueba, con la firme esperanza de los abogados de poder haber convencido a los jueces para inclinarse por las tesis expuestas, pues en esta compleja actividad de la audiencia los abogados deben estar muy atentos con que los juzgadores se encuentren sintonizados con el debate y no pensando en otras cosas por la falta de la pericia de los abogados de no dejar a los jueces distraerse o ausentarse mentalmente del complejo debate.  </w:t>
      </w:r>
    </w:p>
    <w:p w:rsidR="008A02E9" w:rsidRDefault="008A02E9" w:rsidP="00E10347">
      <w:pPr>
        <w:jc w:val="both"/>
        <w:textAlignment w:val="center"/>
        <w:rPr>
          <w:rFonts w:ascii="Palatino Linotype" w:hAnsi="Palatino Linotype"/>
          <w:b/>
          <w:sz w:val="21"/>
          <w:szCs w:val="21"/>
          <w:u w:color="000000"/>
        </w:rPr>
      </w:pPr>
    </w:p>
    <w:p w:rsidR="002014CA" w:rsidRPr="00E10347" w:rsidRDefault="002014CA" w:rsidP="00E10347">
      <w:pPr>
        <w:jc w:val="both"/>
        <w:textAlignment w:val="center"/>
        <w:rPr>
          <w:rFonts w:ascii="Palatino Linotype" w:hAnsi="Palatino Linotype"/>
          <w:b/>
          <w:sz w:val="21"/>
          <w:szCs w:val="21"/>
          <w:u w:color="000000"/>
        </w:rPr>
      </w:pPr>
      <w:r w:rsidRPr="00E10347">
        <w:rPr>
          <w:rFonts w:ascii="Palatino Linotype" w:hAnsi="Palatino Linotype"/>
          <w:b/>
          <w:sz w:val="21"/>
          <w:szCs w:val="21"/>
          <w:u w:color="000000"/>
        </w:rPr>
        <w:t>17.  Deliberación.</w:t>
      </w:r>
    </w:p>
    <w:p w:rsidR="002014CA" w:rsidRPr="00E10347" w:rsidRDefault="002014CA" w:rsidP="00E10347">
      <w:pPr>
        <w:ind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Finalizadas las conclusiones de los abogados, el Tribunal se retira a deliberar.  Se supone la presencia de un anteproyecto concebido  por el Presidente del Tribunal, quien conjuntamente con la opinión de los otros jueces, en los espacios de recesos o en deliberaciones previas, van conformando la tesis de la sentencia. Pero este tema, aún para quienes han tenido mucha experiencia, saben muy como </w:t>
      </w:r>
      <w:r w:rsidRPr="00E10347">
        <w:rPr>
          <w:rFonts w:ascii="Palatino Linotype" w:hAnsi="Palatino Linotype"/>
          <w:sz w:val="21"/>
          <w:szCs w:val="21"/>
          <w:u w:color="000000"/>
        </w:rPr>
        <w:lastRenderedPageBreak/>
        <w:t>el resultado se inclina por la tesis de uno o varios de los jueces hacia alguna solución anterior, ante la jurisprudencia, o por la convicción del caso.</w:t>
      </w:r>
    </w:p>
    <w:p w:rsidR="008A02E9" w:rsidRDefault="008A02E9" w:rsidP="00E10347">
      <w:pPr>
        <w:jc w:val="both"/>
        <w:textAlignment w:val="center"/>
        <w:rPr>
          <w:rFonts w:ascii="Palatino Linotype" w:hAnsi="Palatino Linotype"/>
          <w:b/>
          <w:sz w:val="21"/>
          <w:szCs w:val="21"/>
          <w:u w:color="000000"/>
        </w:rPr>
      </w:pPr>
    </w:p>
    <w:p w:rsidR="002014CA" w:rsidRPr="00E10347" w:rsidRDefault="002014CA" w:rsidP="00E10347">
      <w:pPr>
        <w:jc w:val="both"/>
        <w:textAlignment w:val="center"/>
        <w:rPr>
          <w:rFonts w:ascii="Palatino Linotype" w:hAnsi="Palatino Linotype"/>
          <w:b/>
          <w:sz w:val="21"/>
          <w:szCs w:val="21"/>
          <w:u w:color="000000"/>
        </w:rPr>
      </w:pPr>
      <w:r w:rsidRPr="00E10347">
        <w:rPr>
          <w:rFonts w:ascii="Palatino Linotype" w:hAnsi="Palatino Linotype"/>
          <w:b/>
          <w:sz w:val="21"/>
          <w:szCs w:val="21"/>
          <w:u w:color="000000"/>
        </w:rPr>
        <w:t>18. Dictado de la sentencia oral.</w:t>
      </w:r>
    </w:p>
    <w:p w:rsidR="002014CA" w:rsidRPr="00E10347" w:rsidRDefault="002014CA" w:rsidP="00E10347">
      <w:pPr>
        <w:pStyle w:val="Prrafodelista"/>
        <w:ind w:left="0"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 xml:space="preserve">Inmediatamente después de la deliberación los Jueces, a la hora señalada de previo, deberán explicar los hechos tenidos como probados y no probados, los fundamentos para tenerlos como tales conforme a  la prueba evacuada, los fundamentos jurídicos tomados en cuenta para la resolución del caso y dictarán la parte dispositiva del fallo.  </w:t>
      </w:r>
    </w:p>
    <w:p w:rsidR="002014CA" w:rsidRPr="00E10347" w:rsidRDefault="002014CA" w:rsidP="00E10347">
      <w:pPr>
        <w:pStyle w:val="Prrafodelista"/>
        <w:ind w:left="0"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En unos casos la sentencia queda registrada a través de algún medio tecnológico.  En estas circunstancias la parte perdedora total o  parcialmente debe recurrir al mismo medio para combatir la sentencia formulando el Recurso de Casación.  Y en  la misma situación estará la Sala quien, para resolver el recurso formulado deberá acudir a su registro tecnológico.</w:t>
      </w:r>
    </w:p>
    <w:p w:rsidR="002014CA" w:rsidRPr="00E10347" w:rsidRDefault="002014CA" w:rsidP="00E10347">
      <w:pPr>
        <w:pStyle w:val="Prrafodelista"/>
        <w:ind w:left="0" w:firstLine="709"/>
        <w:jc w:val="both"/>
        <w:textAlignment w:val="center"/>
        <w:rPr>
          <w:rFonts w:ascii="Palatino Linotype" w:hAnsi="Palatino Linotype"/>
          <w:sz w:val="21"/>
          <w:szCs w:val="21"/>
          <w:u w:color="000000"/>
        </w:rPr>
      </w:pPr>
      <w:r w:rsidRPr="00E10347">
        <w:rPr>
          <w:rFonts w:ascii="Palatino Linotype" w:hAnsi="Palatino Linotype"/>
          <w:sz w:val="21"/>
          <w:szCs w:val="21"/>
          <w:u w:color="000000"/>
        </w:rPr>
        <w:t>Aún cuando se dicte la sentencia oralmente, esto no es propio de la oralidad, pues algunas partes fundamentales, entre ellas la sentencia, deben consagrarse en forma escrita.</w:t>
      </w:r>
    </w:p>
    <w:p w:rsidR="008A02E9" w:rsidRDefault="008A02E9" w:rsidP="00E10347">
      <w:pPr>
        <w:pStyle w:val="NormalWeb"/>
        <w:shd w:val="clear" w:color="auto" w:fill="FFFFFF"/>
        <w:spacing w:before="0" w:beforeAutospacing="0" w:after="0" w:afterAutospacing="0"/>
        <w:jc w:val="both"/>
        <w:rPr>
          <w:rFonts w:ascii="Palatino Linotype" w:hAnsi="Palatino Linotype"/>
          <w:b/>
          <w:sz w:val="21"/>
          <w:szCs w:val="21"/>
        </w:rPr>
      </w:pPr>
    </w:p>
    <w:p w:rsidR="002014CA" w:rsidRPr="00E10347" w:rsidRDefault="002014CA" w:rsidP="00E10347">
      <w:pPr>
        <w:pStyle w:val="NormalWeb"/>
        <w:shd w:val="clear" w:color="auto" w:fill="FFFFFF"/>
        <w:spacing w:before="0" w:beforeAutospacing="0" w:after="0" w:afterAutospacing="0"/>
        <w:jc w:val="both"/>
        <w:rPr>
          <w:rFonts w:ascii="Palatino Linotype" w:hAnsi="Palatino Linotype"/>
          <w:b/>
          <w:sz w:val="21"/>
          <w:szCs w:val="21"/>
        </w:rPr>
      </w:pPr>
      <w:r w:rsidRPr="00E10347">
        <w:rPr>
          <w:rFonts w:ascii="Palatino Linotype" w:hAnsi="Palatino Linotype"/>
          <w:b/>
          <w:sz w:val="21"/>
          <w:szCs w:val="21"/>
        </w:rPr>
        <w:t>9 (sigue).   Los graves pecados de omisiones en el tratamiento de las actividades del Sistema de la Oralidad en el Nuevo Código Procesal Civil: abuso de la simplicidad con falta de técnica, con omisiones serias e incomprensión de la importancia de la casación por violación de las normas del procedimiento.</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La nueva normativa dedica su Artículo 50 a desarrollar las audiencias orales.  Pero resulta altamente omisa en gran cantidad de actividades, y a su vez incorpora dentro de esa norma, esperadamente general, muchos temas ajenos a las audiencias cuya ubicación no corresponde a esta norma aparentemente centro del Sistema de la Oralidad.</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En esa forma panorámicamente se encuentran los siguientes temas tratados dentro de las audiencias orales:</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50.1.   Concentración de actividad.</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50.2.   Asistencia y efectos de la incompetencia</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ab/>
        <w:t>1.  Deber de asistencia</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ab/>
        <w:t>2. Inasistencia a la audiencia preliminar</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ab/>
        <w:t>3.  Inasistencia a la audiencia de prueba.</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ab/>
        <w:t>4.  Inasistencia a la audiencia en los procesos de audiencia única.</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lastRenderedPageBreak/>
        <w:tab/>
        <w:t>5.  Inasistencia del Juez o miembro del tribunal.</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50.3.   Posposición y suspensión de las audiencias</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50.4.</w:t>
      </w:r>
      <w:r w:rsidRPr="00E10347">
        <w:rPr>
          <w:rFonts w:ascii="Palatino Linotype" w:hAnsi="Palatino Linotype"/>
          <w:sz w:val="21"/>
          <w:szCs w:val="21"/>
        </w:rPr>
        <w:tab/>
        <w:t>Dirección de la audiencia</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50.5.</w:t>
      </w:r>
      <w:r w:rsidRPr="00E10347">
        <w:rPr>
          <w:rFonts w:ascii="Palatino Linotype" w:hAnsi="Palatino Linotype"/>
          <w:sz w:val="21"/>
          <w:szCs w:val="21"/>
        </w:rPr>
        <w:tab/>
        <w:t>Documentos de la audiencia</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ab/>
        <w:t xml:space="preserve">1.  Documentación mediante soporte aptos para la grabación de imagen y  sonido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ab/>
        <w:t>2.  Documentación mediante acta.</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50.6.   Deliberación.</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En consecuencia, como parte de las actividades de las audiencias el Código queda limitado a las siguientes disposiciones:</w:t>
      </w:r>
      <w:r w:rsidRPr="00E10347">
        <w:rPr>
          <w:rFonts w:ascii="Palatino Linotype" w:hAnsi="Palatino Linotype"/>
          <w:sz w:val="21"/>
          <w:szCs w:val="21"/>
        </w:rPr>
        <w:tab/>
      </w:r>
    </w:p>
    <w:p w:rsidR="002014CA" w:rsidRPr="00E10347" w:rsidRDefault="002014CA" w:rsidP="008A02E9">
      <w:pPr>
        <w:pStyle w:val="Textoindependiente"/>
        <w:spacing w:after="0"/>
        <w:ind w:left="851" w:right="851"/>
        <w:jc w:val="both"/>
        <w:rPr>
          <w:rFonts w:ascii="Palatino Linotype" w:hAnsi="Palatino Linotype" w:cs="Times New Roman"/>
          <w:sz w:val="21"/>
          <w:szCs w:val="21"/>
        </w:rPr>
      </w:pPr>
      <w:r w:rsidRPr="00E10347">
        <w:rPr>
          <w:rFonts w:ascii="Palatino Linotype" w:hAnsi="Palatino Linotype" w:cs="Times New Roman"/>
          <w:b/>
          <w:bCs/>
          <w:sz w:val="21"/>
          <w:szCs w:val="21"/>
        </w:rPr>
        <w:t>50.1.  Concentración de actividad.</w:t>
      </w:r>
      <w:r w:rsidRPr="00E10347">
        <w:rPr>
          <w:rFonts w:ascii="Palatino Linotype" w:hAnsi="Palatino Linotype" w:cs="Times New Roman"/>
          <w:bCs/>
          <w:sz w:val="21"/>
          <w:szCs w:val="21"/>
        </w:rPr>
        <w:t xml:space="preserve">  </w:t>
      </w:r>
      <w:r w:rsidRPr="00E10347">
        <w:rPr>
          <w:rFonts w:ascii="Palatino Linotype" w:hAnsi="Palatino Linotype" w:cs="Times New Roman"/>
          <w:sz w:val="21"/>
          <w:szCs w:val="21"/>
        </w:rPr>
        <w:t xml:space="preserve">Las audiencias podrán verificarse en una o varias sesiones separadas por recesos e incluso continuarse el día siguiente como una misma unidad procesal. </w:t>
      </w:r>
    </w:p>
    <w:p w:rsidR="002014CA" w:rsidRPr="00E10347" w:rsidRDefault="002014CA" w:rsidP="008A02E9">
      <w:pPr>
        <w:pStyle w:val="Textoindependiente"/>
        <w:tabs>
          <w:tab w:val="left" w:pos="142"/>
        </w:tabs>
        <w:spacing w:after="0"/>
        <w:ind w:left="851" w:right="851"/>
        <w:jc w:val="both"/>
        <w:rPr>
          <w:rFonts w:ascii="Palatino Linotype" w:hAnsi="Palatino Linotype" w:cs="Times New Roman"/>
          <w:sz w:val="21"/>
          <w:szCs w:val="21"/>
        </w:rPr>
      </w:pPr>
      <w:r w:rsidRPr="00E10347">
        <w:rPr>
          <w:rFonts w:ascii="Palatino Linotype" w:hAnsi="Palatino Linotype" w:cs="Times New Roman"/>
          <w:b/>
          <w:bCs/>
          <w:sz w:val="21"/>
          <w:szCs w:val="21"/>
        </w:rPr>
        <w:t xml:space="preserve">50.4.  Dirección de la audiencia. </w:t>
      </w:r>
      <w:r w:rsidRPr="00E10347">
        <w:rPr>
          <w:rFonts w:ascii="Palatino Linotype" w:hAnsi="Palatino Linotype" w:cs="Times New Roman"/>
          <w:sz w:val="21"/>
          <w:szCs w:val="21"/>
        </w:rPr>
        <w:t xml:space="preserve"> El tribunal dirigirá las audiencias según los poderes y deberes que le confiere la ley. Verificará y consignará al inicio de cada audiencia la hora, la fecha, la naturaleza de la audiencia, la identificación de las partes, los testigos y demás auxiliares que comparezcan a ella.  </w:t>
      </w:r>
    </w:p>
    <w:p w:rsidR="002014CA" w:rsidRPr="00E10347" w:rsidRDefault="002014CA" w:rsidP="008A02E9">
      <w:pPr>
        <w:pStyle w:val="Textoindependiente"/>
        <w:tabs>
          <w:tab w:val="left" w:pos="284"/>
        </w:tabs>
        <w:spacing w:after="0"/>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Explicará a las partes sobre los fines y las actividades de la audiencia. Hará las advertencias legales que correspondan, evitará la formulación de preguntas impertinentes, la lectura innecesaria de textos y documentos, moderará el debate evitando divagaciones impertinentes sin coartar el derecho de defensa, retirará el uso de la palabra  o le ordenará el abandono del recinto a quien no siga sus instrucciones, mantendrá el orden y velará por que se guarde el respeto y la consideración debidos, usando para ello las potestades de corrección y disciplina que le confiere la ley. </w:t>
      </w:r>
    </w:p>
    <w:p w:rsidR="002014CA" w:rsidRPr="00E10347" w:rsidRDefault="002014CA" w:rsidP="008A02E9">
      <w:pPr>
        <w:pStyle w:val="Textoindependiente"/>
        <w:spacing w:after="0"/>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Cuando a una parte la asista más de un abogado, solo podrá intervenir uno por declarante. En las demás actividades que no tenga que ver con declaraciones, entre ellos decidirán a cual corresponderá actuar.</w:t>
      </w:r>
    </w:p>
    <w:p w:rsidR="002014CA" w:rsidRPr="00E10347" w:rsidRDefault="002014CA" w:rsidP="008A02E9">
      <w:pPr>
        <w:pStyle w:val="Textoindependiente"/>
        <w:tabs>
          <w:tab w:val="left" w:pos="284"/>
        </w:tabs>
        <w:spacing w:after="0"/>
        <w:ind w:left="851" w:right="851" w:firstLine="709"/>
        <w:jc w:val="both"/>
        <w:rPr>
          <w:rFonts w:ascii="Palatino Linotype" w:hAnsi="Palatino Linotype" w:cs="Times New Roman"/>
          <w:sz w:val="21"/>
          <w:szCs w:val="21"/>
        </w:rPr>
      </w:pPr>
      <w:r w:rsidRPr="00E10347">
        <w:rPr>
          <w:rFonts w:ascii="Palatino Linotype" w:hAnsi="Palatino Linotype" w:cs="Times New Roman"/>
          <w:b/>
          <w:bCs/>
          <w:sz w:val="21"/>
          <w:szCs w:val="21"/>
        </w:rPr>
        <w:t xml:space="preserve">50.6.  Deliberación. </w:t>
      </w:r>
      <w:r w:rsidRPr="00E10347">
        <w:rPr>
          <w:rFonts w:ascii="Palatino Linotype" w:hAnsi="Palatino Linotype" w:cs="Times New Roman"/>
          <w:sz w:val="21"/>
          <w:szCs w:val="21"/>
        </w:rPr>
        <w:t xml:space="preserve"> La deliberación para resolver será siempre secreta y el tribunal, cuando lo estime necesario, </w:t>
      </w:r>
      <w:r w:rsidRPr="00E10347">
        <w:rPr>
          <w:rFonts w:ascii="Palatino Linotype" w:hAnsi="Palatino Linotype" w:cs="Times New Roman"/>
          <w:sz w:val="21"/>
          <w:szCs w:val="21"/>
        </w:rPr>
        <w:lastRenderedPageBreak/>
        <w:t xml:space="preserve">analizará si se retira de la sala de audiencia.   Tratándose de sentencias, el plazo para deliberar no deberá exceder de dos días, salvo en procesos complejos en los cuales se extenderá a cinco. Terminada la redacción se comunicará lo resuelto. Cuando se trate de la sentencia deberá constituirse en la audiencia al menos un juez del tribunal. </w:t>
      </w:r>
    </w:p>
    <w:p w:rsidR="002014CA" w:rsidRPr="00E10347" w:rsidRDefault="002014CA" w:rsidP="00E10347">
      <w:pPr>
        <w:pStyle w:val="Textoindependiente"/>
        <w:tabs>
          <w:tab w:val="left" w:pos="2726"/>
        </w:tabs>
        <w:spacing w:after="0"/>
        <w:ind w:firstLine="709"/>
        <w:rPr>
          <w:rFonts w:ascii="Palatino Linotype" w:hAnsi="Palatino Linotype" w:cs="Times New Roman"/>
          <w:bCs/>
          <w:sz w:val="21"/>
          <w:szCs w:val="21"/>
        </w:rPr>
      </w:pPr>
      <w:r w:rsidRPr="00E10347">
        <w:rPr>
          <w:rFonts w:ascii="Palatino Linotype" w:hAnsi="Palatino Linotype" w:cs="Times New Roman"/>
          <w:bCs/>
          <w:sz w:val="21"/>
          <w:szCs w:val="21"/>
        </w:rPr>
        <w:t>Seguidamente se mencionan las actividades de las audiencias de los procesos de conocimiento.  En el Capítulo referido al Proceso ordinario contempla las actividades de la Audiencia Preliminar en el Artículo 102.3 y las de la Audiencia Complementaria.  En el proceso sumario las incorpora en el Artículo 103.3.</w:t>
      </w:r>
    </w:p>
    <w:p w:rsidR="002014CA" w:rsidRPr="00E10347" w:rsidRDefault="002014CA" w:rsidP="008A02E9">
      <w:pPr>
        <w:ind w:left="851" w:right="851" w:firstLine="709"/>
        <w:jc w:val="center"/>
        <w:rPr>
          <w:rFonts w:ascii="Palatino Linotype" w:hAnsi="Palatino Linotype" w:cs="Times New Roman"/>
          <w:b/>
          <w:bCs/>
          <w:sz w:val="21"/>
          <w:szCs w:val="21"/>
        </w:rPr>
      </w:pPr>
      <w:r w:rsidRPr="00E10347">
        <w:rPr>
          <w:rFonts w:ascii="Palatino Linotype" w:hAnsi="Palatino Linotype" w:cs="Times New Roman"/>
          <w:b/>
          <w:bCs/>
          <w:sz w:val="21"/>
          <w:szCs w:val="21"/>
        </w:rPr>
        <w:t>ACTIVIDADES EN LAS AUDIENCIAS DEL PROCESO ORDNARIO</w:t>
      </w:r>
    </w:p>
    <w:p w:rsidR="002014CA" w:rsidRPr="00E10347" w:rsidRDefault="002014CA" w:rsidP="008A02E9">
      <w:pPr>
        <w:pStyle w:val="Sinespaciado"/>
        <w:ind w:left="851" w:right="851"/>
        <w:jc w:val="both"/>
        <w:rPr>
          <w:rFonts w:ascii="Palatino Linotype" w:hAnsi="Palatino Linotype" w:cs="Times New Roman"/>
          <w:sz w:val="21"/>
          <w:szCs w:val="21"/>
        </w:rPr>
      </w:pPr>
      <w:r w:rsidRPr="00E10347">
        <w:rPr>
          <w:rFonts w:ascii="Palatino Linotype" w:hAnsi="Palatino Linotype" w:cs="Times New Roman"/>
          <w:b/>
          <w:bCs/>
          <w:sz w:val="21"/>
          <w:szCs w:val="21"/>
        </w:rPr>
        <w:t xml:space="preserve">102.3.  Audiencia preliminar. </w:t>
      </w:r>
      <w:r w:rsidRPr="00E10347">
        <w:rPr>
          <w:rFonts w:ascii="Palatino Linotype" w:hAnsi="Palatino Linotype" w:cs="Times New Roman"/>
          <w:sz w:val="21"/>
          <w:szCs w:val="21"/>
        </w:rPr>
        <w:t xml:space="preserve"> (...)  En dicha audiencia se cumplirán las siguientes actividades.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1.  Informe a las partes sobre el objeto del proceso y el orden en que se conocerán las cuestiones a resolver.</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2.  Conciliación.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bCs/>
          <w:sz w:val="21"/>
          <w:szCs w:val="21"/>
        </w:rPr>
        <w:t>3.  Ratificación, aclaración, ajuste y subsanación de las proposiciones de las partes, cuando a criterio del tribunal sean oscuras, imprecisas u omisas, cuando con anterioridad se hubiera omitido hacerlo.</w:t>
      </w:r>
      <w:r w:rsidRPr="00E10347">
        <w:rPr>
          <w:rFonts w:ascii="Palatino Linotype" w:hAnsi="Palatino Linotype" w:cs="Times New Roman"/>
          <w:bCs/>
          <w:sz w:val="21"/>
          <w:szCs w:val="21"/>
        </w:rPr>
        <w:tab/>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4.  Contestación por el actor o reconventor de las excepciones opuestas, ofrecimiento y presentación de contraprueba.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5.  Recepción, admisión y práctica de prueba pertinente sobre alegaciones de actividad procesal defectuosa no resueltas anteriormente, vicios de procedimiento invocados en la audiencia y  excepciones procesales.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6.  Resolución sobre alegaciones de actividad procesal defectuosa, excepciones procesales y saneamiento.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7.  Definición de la cuantía del proceso.</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8.  Fijación de lo que será objeto del debate.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9.  Admisión de pruebas, disposiciones para su práctica y señalamiento para la audiencia complementaria cuando sea necesaria.</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10.  Resolución sobre suspensión, cancelación o modificación de medidas cautelares, cuando exista solicitud pendiente.</w:t>
      </w:r>
    </w:p>
    <w:p w:rsidR="002014CA" w:rsidRPr="00E10347" w:rsidRDefault="002014CA" w:rsidP="008A02E9">
      <w:pPr>
        <w:pStyle w:val="Sinespaciado"/>
        <w:ind w:left="851" w:right="851"/>
        <w:jc w:val="both"/>
        <w:rPr>
          <w:rFonts w:ascii="Palatino Linotype" w:hAnsi="Palatino Linotype" w:cs="Times New Roman"/>
          <w:sz w:val="21"/>
          <w:szCs w:val="21"/>
        </w:rPr>
      </w:pPr>
      <w:r w:rsidRPr="00E10347">
        <w:rPr>
          <w:rFonts w:ascii="Palatino Linotype" w:hAnsi="Palatino Linotype" w:cs="Times New Roman"/>
          <w:b/>
          <w:bCs/>
          <w:sz w:val="21"/>
          <w:szCs w:val="21"/>
        </w:rPr>
        <w:tab/>
      </w:r>
      <w:r w:rsidRPr="00E10347">
        <w:rPr>
          <w:rFonts w:ascii="Palatino Linotype" w:hAnsi="Palatino Linotype" w:cs="Times New Roman"/>
          <w:b/>
          <w:sz w:val="21"/>
          <w:szCs w:val="21"/>
        </w:rPr>
        <w:t>102.5.</w:t>
      </w:r>
      <w:r w:rsidRPr="00E10347">
        <w:rPr>
          <w:rFonts w:ascii="Palatino Linotype" w:hAnsi="Palatino Linotype" w:cs="Times New Roman"/>
          <w:sz w:val="21"/>
          <w:szCs w:val="21"/>
        </w:rPr>
        <w:t xml:space="preserve"> </w:t>
      </w:r>
      <w:r w:rsidRPr="00E10347">
        <w:rPr>
          <w:rFonts w:ascii="Palatino Linotype" w:hAnsi="Palatino Linotype" w:cs="Times New Roman"/>
          <w:b/>
          <w:sz w:val="21"/>
          <w:szCs w:val="21"/>
        </w:rPr>
        <w:t>Audiencia complementaria</w:t>
      </w:r>
      <w:r w:rsidRPr="00E10347">
        <w:rPr>
          <w:rFonts w:ascii="Palatino Linotype" w:hAnsi="Palatino Linotype" w:cs="Times New Roman"/>
          <w:sz w:val="21"/>
          <w:szCs w:val="21"/>
        </w:rPr>
        <w:t>. (...)  En esta audiencia deberán cumplirse las siguientes actividades.</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1.  Práctica de prueba.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2.  Conclusiones de las partes.</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3.  Deliberación y dictado de la sentencia.</w:t>
      </w:r>
    </w:p>
    <w:p w:rsidR="002014CA" w:rsidRPr="00E10347" w:rsidRDefault="002014CA" w:rsidP="008A02E9">
      <w:pPr>
        <w:pStyle w:val="Textoindependiente"/>
        <w:tabs>
          <w:tab w:val="left" w:pos="2726"/>
        </w:tabs>
        <w:spacing w:after="0"/>
        <w:ind w:left="851" w:right="851" w:firstLine="709"/>
        <w:jc w:val="center"/>
        <w:rPr>
          <w:rFonts w:ascii="Palatino Linotype" w:hAnsi="Palatino Linotype" w:cs="Times New Roman"/>
          <w:b/>
          <w:bCs/>
          <w:sz w:val="21"/>
          <w:szCs w:val="21"/>
        </w:rPr>
      </w:pPr>
      <w:r w:rsidRPr="00E10347">
        <w:rPr>
          <w:rFonts w:ascii="Palatino Linotype" w:hAnsi="Palatino Linotype" w:cs="Times New Roman"/>
          <w:b/>
          <w:bCs/>
          <w:sz w:val="21"/>
          <w:szCs w:val="21"/>
        </w:rPr>
        <w:t>ACTIVIDADES EN LAS AUDIENCIAS DEL PROCESO SUMARIO</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b/>
          <w:sz w:val="21"/>
          <w:szCs w:val="21"/>
        </w:rPr>
        <w:t>103.3.  Audiencia</w:t>
      </w:r>
      <w:r w:rsidRPr="00E10347">
        <w:rPr>
          <w:rFonts w:ascii="Palatino Linotype" w:hAnsi="Palatino Linotype" w:cs="Times New Roman"/>
          <w:sz w:val="21"/>
          <w:szCs w:val="21"/>
        </w:rPr>
        <w:t xml:space="preserve">.   (...)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Según las particularidades de cada proceso sumario, en la audiencia se cumplirán las siguientes actividades: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1. Informe a las partes sobre el objeto del proceso y el orden en que se conocerán las cuestiones a resolver.</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1.  Conciliación.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2.  Aclaración de las proposiciones de las partes, cuando a criterio del tribunal sean oscuras, imprecisas u omisas, cuando con anterioridad se hubiera omitido hacerlo.</w:t>
      </w:r>
      <w:r w:rsidRPr="00E10347">
        <w:rPr>
          <w:rFonts w:ascii="Palatino Linotype" w:hAnsi="Palatino Linotype" w:cs="Times New Roman"/>
          <w:sz w:val="21"/>
          <w:szCs w:val="21"/>
        </w:rPr>
        <w:tab/>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3.  Contestación por el actor de las excepciones opuestas, ofrecimiento y presentación de contraprueba.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4.  Recepción, admisión y práctica de prueba pertinente sobre alegaciones de actividad procesal defectuosa no resueltas anteriormente, vicios de procedimiento invocados en la audiencia y  excepciones procesales.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5.  Resolución sobre alegaciones de actividad procesal defectuosa, excepciones procesales y saneamiento.  </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6.  Definición de la cuantía del proceso.</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7.  Fijación de lo que será objeto del debate.</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8.  Admisión  y práctica de pruebas.</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9.  Resolución sobre suspensión, cancelación o modificación de medidas  cautelares, cuando exista solicitud pendiente de resolución.</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10.  Conclusiones de las partes.</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11.  Dictado de la sentencia.</w:t>
      </w:r>
    </w:p>
    <w:p w:rsidR="008A02E9" w:rsidRDefault="008A02E9" w:rsidP="00E10347">
      <w:pPr>
        <w:pStyle w:val="NormalWeb"/>
        <w:shd w:val="clear" w:color="auto" w:fill="FFFFFF"/>
        <w:spacing w:before="0" w:beforeAutospacing="0" w:after="0" w:afterAutospacing="0"/>
        <w:jc w:val="both"/>
        <w:rPr>
          <w:rFonts w:ascii="Palatino Linotype" w:hAnsi="Palatino Linotype"/>
          <w:b/>
          <w:sz w:val="21"/>
          <w:szCs w:val="21"/>
        </w:rPr>
      </w:pPr>
    </w:p>
    <w:p w:rsidR="002014CA" w:rsidRPr="00E10347" w:rsidRDefault="002014CA" w:rsidP="00E10347">
      <w:pPr>
        <w:pStyle w:val="NormalWeb"/>
        <w:shd w:val="clear" w:color="auto" w:fill="FFFFFF"/>
        <w:spacing w:before="0" w:beforeAutospacing="0" w:after="0" w:afterAutospacing="0"/>
        <w:jc w:val="both"/>
        <w:rPr>
          <w:rFonts w:ascii="Palatino Linotype" w:hAnsi="Palatino Linotype"/>
          <w:sz w:val="21"/>
          <w:szCs w:val="21"/>
        </w:rPr>
      </w:pPr>
      <w:r w:rsidRPr="00E10347">
        <w:rPr>
          <w:rFonts w:ascii="Palatino Linotype" w:hAnsi="Palatino Linotype"/>
          <w:b/>
          <w:sz w:val="21"/>
          <w:szCs w:val="21"/>
        </w:rPr>
        <w:t xml:space="preserve">10. (sigue).  Pecados contra las causales de  Casación por infracción de las normas procesales en el Sistema de la Oralidad.  Desmantelamiento, por falta de  dominio técnico, de estas causales en tanto garantes de la protección de los derechos fundamentales de las partes en el proceso.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Posiblemente el instituto del Recurso de Casación  del Nuevo Código Procesal Civil es el más indeterminado, inexacto, incierto y problemático de todos los vinculados con el Sistema de la Oralidad,  con el que debería ser indeludiblemente congruente, y a su vez gozar de los caracteres de organicidad y completes.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Esto es la Casación en el Sistema de la Oralidad difiere tajantemente con el Sistema de la Escritura.  Por tal razón aún cuando pueden existir causales útiles de la escritura en la oralidad, y viceversa, hay varias absolutamente propias de cada sistema sin cabida en el otro.</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Una de las características sobresalientes de la Casación oral consiste en la inexistencia de la violación indirecta de las normas sustantivas.  Es decir no se contemplan como causales los errores de hecho o de derecho en la valoración de la prueba con la debida indicación de las normas de fondo conculcadas.  De todas formas en la mayoría de los países donde se institucionalizó primero la Casación  (Francia, Italia, España) en materia procesal civil no existe la violación indirecta de las normas de fondo, como sí fue institucionalizado en Costa Rica.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Un análisis breve de las causales del </w:t>
      </w:r>
      <w:r w:rsidRPr="00E10347">
        <w:rPr>
          <w:rFonts w:ascii="Palatino Linotype" w:hAnsi="Palatino Linotype"/>
          <w:b/>
          <w:i/>
          <w:sz w:val="21"/>
          <w:szCs w:val="21"/>
        </w:rPr>
        <w:t>Codex</w:t>
      </w:r>
      <w:r w:rsidRPr="00E10347">
        <w:rPr>
          <w:rFonts w:ascii="Palatino Linotype" w:hAnsi="Palatino Linotype"/>
          <w:sz w:val="21"/>
          <w:szCs w:val="21"/>
        </w:rPr>
        <w:t xml:space="preserve"> denotan una grave falta de comprensión de sus particularidades:  omite algunas decisivas, deja de explicar otras cuya claridad es necesaria, separa algunas traídas de otros modelos creando confusión y en fin no toma en consideración en forma clara las propias de la oralidad.</w:t>
      </w:r>
    </w:p>
    <w:p w:rsidR="002014CA" w:rsidRPr="00E10347" w:rsidRDefault="002014CA" w:rsidP="008A02E9">
      <w:pPr>
        <w:pStyle w:val="NormalWeb"/>
        <w:shd w:val="clear" w:color="auto" w:fill="FFFFFF"/>
        <w:spacing w:before="0" w:beforeAutospacing="0" w:after="0" w:afterAutospacing="0"/>
        <w:ind w:left="851" w:right="851" w:firstLine="709"/>
        <w:jc w:val="center"/>
        <w:rPr>
          <w:rFonts w:ascii="Palatino Linotype" w:hAnsi="Palatino Linotype"/>
          <w:b/>
          <w:sz w:val="21"/>
          <w:szCs w:val="21"/>
        </w:rPr>
      </w:pPr>
      <w:r w:rsidRPr="00E10347">
        <w:rPr>
          <w:rFonts w:ascii="Palatino Linotype" w:hAnsi="Palatino Linotype"/>
          <w:b/>
          <w:sz w:val="21"/>
          <w:szCs w:val="21"/>
        </w:rPr>
        <w:t>NUEVO CÓDIGO PROCESAL CIVIL</w:t>
      </w:r>
    </w:p>
    <w:p w:rsidR="002014CA" w:rsidRPr="00E10347" w:rsidRDefault="002014CA" w:rsidP="008A02E9">
      <w:pPr>
        <w:pStyle w:val="Sinespaciado"/>
        <w:ind w:left="851" w:right="851"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ARTÍCULO 69.- </w:t>
      </w:r>
      <w:r w:rsidRPr="00E10347">
        <w:rPr>
          <w:rFonts w:ascii="Palatino Linotype" w:hAnsi="Palatino Linotype" w:cs="Times New Roman"/>
          <w:sz w:val="21"/>
          <w:szCs w:val="21"/>
        </w:rPr>
        <w:tab/>
        <w:t>Recurso de casación</w:t>
      </w:r>
    </w:p>
    <w:p w:rsidR="002014CA" w:rsidRPr="00E10347" w:rsidRDefault="002014CA" w:rsidP="008A02E9">
      <w:pPr>
        <w:pStyle w:val="Sinespaciado"/>
        <w:ind w:left="851" w:right="851" w:firstLine="709"/>
        <w:jc w:val="both"/>
        <w:rPr>
          <w:rFonts w:ascii="Palatino Linotype" w:hAnsi="Palatino Linotype" w:cs="Times New Roman"/>
          <w:sz w:val="21"/>
          <w:szCs w:val="21"/>
          <w:lang w:val="es-MX"/>
        </w:rPr>
      </w:pPr>
      <w:r w:rsidRPr="00E10347">
        <w:rPr>
          <w:rFonts w:ascii="Palatino Linotype" w:hAnsi="Palatino Linotype" w:cs="Times New Roman"/>
          <w:sz w:val="21"/>
          <w:szCs w:val="21"/>
          <w:lang w:val="es-MX"/>
        </w:rPr>
        <w:tab/>
        <w:t>69.2.  Causales.  El recurso de casación podrá fundarse en razones procesales y de fondo.</w:t>
      </w:r>
    </w:p>
    <w:p w:rsidR="002014CA" w:rsidRPr="00E10347" w:rsidRDefault="002014CA" w:rsidP="008A02E9">
      <w:pPr>
        <w:pStyle w:val="Sinespaciado"/>
        <w:ind w:left="851" w:right="851" w:firstLine="709"/>
        <w:jc w:val="both"/>
        <w:rPr>
          <w:rFonts w:ascii="Palatino Linotype" w:hAnsi="Palatino Linotype" w:cs="Times New Roman"/>
          <w:sz w:val="21"/>
          <w:szCs w:val="21"/>
          <w:lang w:val="es-MX"/>
        </w:rPr>
      </w:pPr>
      <w:r w:rsidRPr="00E10347">
        <w:rPr>
          <w:rFonts w:ascii="Palatino Linotype" w:hAnsi="Palatino Linotype" w:cs="Times New Roman"/>
          <w:sz w:val="21"/>
          <w:szCs w:val="21"/>
          <w:lang w:val="es-MX"/>
        </w:rPr>
        <w:lastRenderedPageBreak/>
        <w:tab/>
        <w:t>Procederá por motivos de orden procesal cuando se funde en:</w:t>
      </w:r>
    </w:p>
    <w:p w:rsidR="002014CA" w:rsidRPr="00E10347" w:rsidRDefault="002014CA" w:rsidP="008A02E9">
      <w:pPr>
        <w:pStyle w:val="Sinespaciado"/>
        <w:ind w:left="851" w:right="851" w:firstLine="709"/>
        <w:jc w:val="both"/>
        <w:rPr>
          <w:rFonts w:ascii="Palatino Linotype" w:hAnsi="Palatino Linotype" w:cs="Times New Roman"/>
          <w:sz w:val="21"/>
          <w:szCs w:val="21"/>
          <w:lang w:val="es-MX"/>
        </w:rPr>
      </w:pPr>
      <w:r w:rsidRPr="00E10347">
        <w:rPr>
          <w:rFonts w:ascii="Palatino Linotype" w:hAnsi="Palatino Linotype" w:cs="Times New Roman"/>
          <w:sz w:val="21"/>
          <w:szCs w:val="21"/>
          <w:lang w:val="es-MX"/>
        </w:rPr>
        <w:t>1.</w:t>
      </w:r>
      <w:r w:rsidRPr="00E10347">
        <w:rPr>
          <w:rFonts w:ascii="Palatino Linotype" w:hAnsi="Palatino Linotype" w:cs="Times New Roman"/>
          <w:sz w:val="21"/>
          <w:szCs w:val="21"/>
          <w:lang w:val="es-MX"/>
        </w:rPr>
        <w:tab/>
        <w:t>Infracción o errónea aplicación de normas procesales que sean esenciales para la garantía del debido proceso, siempre que la actividad defectuosa no se haya subsanado conforme a la ley.</w:t>
      </w:r>
    </w:p>
    <w:p w:rsidR="002014CA" w:rsidRPr="00E10347" w:rsidRDefault="002014CA" w:rsidP="008A02E9">
      <w:pPr>
        <w:pStyle w:val="Sinespaciado"/>
        <w:ind w:left="851" w:right="851" w:firstLine="709"/>
        <w:jc w:val="both"/>
        <w:rPr>
          <w:rFonts w:ascii="Palatino Linotype" w:hAnsi="Palatino Linotype" w:cs="Times New Roman"/>
          <w:sz w:val="21"/>
          <w:szCs w:val="21"/>
          <w:lang w:val="es-MX"/>
        </w:rPr>
      </w:pPr>
      <w:r w:rsidRPr="00E10347">
        <w:rPr>
          <w:rFonts w:ascii="Palatino Linotype" w:hAnsi="Palatino Linotype" w:cs="Times New Roman"/>
          <w:sz w:val="21"/>
          <w:szCs w:val="21"/>
          <w:lang w:val="es-MX"/>
        </w:rPr>
        <w:t>2.</w:t>
      </w:r>
      <w:r w:rsidRPr="00E10347">
        <w:rPr>
          <w:rFonts w:ascii="Palatino Linotype" w:hAnsi="Palatino Linotype" w:cs="Times New Roman"/>
          <w:sz w:val="21"/>
          <w:szCs w:val="21"/>
          <w:lang w:val="es-MX"/>
        </w:rPr>
        <w:tab/>
        <w:t>Vulneración del principio de inmediación por ausencia de jueces en la audiencia de prueba, conclusiones o deliberación.</w:t>
      </w:r>
    </w:p>
    <w:p w:rsidR="002014CA" w:rsidRPr="00E10347" w:rsidRDefault="002014CA" w:rsidP="008A02E9">
      <w:pPr>
        <w:pStyle w:val="Sinespaciado"/>
        <w:ind w:left="851" w:right="851" w:firstLine="709"/>
        <w:jc w:val="both"/>
        <w:rPr>
          <w:rFonts w:ascii="Palatino Linotype" w:hAnsi="Palatino Linotype" w:cs="Times New Roman"/>
          <w:sz w:val="21"/>
          <w:szCs w:val="21"/>
          <w:lang w:val="es-MX"/>
        </w:rPr>
      </w:pPr>
      <w:r w:rsidRPr="00E10347">
        <w:rPr>
          <w:rFonts w:ascii="Palatino Linotype" w:hAnsi="Palatino Linotype" w:cs="Times New Roman"/>
          <w:sz w:val="21"/>
          <w:szCs w:val="21"/>
          <w:lang w:val="es-MX"/>
        </w:rPr>
        <w:t>3.</w:t>
      </w:r>
      <w:r w:rsidRPr="00E10347">
        <w:rPr>
          <w:rFonts w:ascii="Palatino Linotype" w:hAnsi="Palatino Linotype" w:cs="Times New Roman"/>
          <w:sz w:val="21"/>
          <w:szCs w:val="21"/>
          <w:lang w:val="es-MX"/>
        </w:rPr>
        <w:tab/>
        <w:t>Haberse dictado la sentencia por un número menor de los jueces exigidos por ley.</w:t>
      </w:r>
    </w:p>
    <w:p w:rsidR="002014CA" w:rsidRPr="00E10347" w:rsidRDefault="002014CA" w:rsidP="008A02E9">
      <w:pPr>
        <w:pStyle w:val="Sinespaciado"/>
        <w:ind w:left="851" w:right="851" w:firstLine="709"/>
        <w:jc w:val="both"/>
        <w:rPr>
          <w:rFonts w:ascii="Palatino Linotype" w:hAnsi="Palatino Linotype" w:cs="Times New Roman"/>
          <w:sz w:val="21"/>
          <w:szCs w:val="21"/>
          <w:lang w:val="es-MX"/>
        </w:rPr>
      </w:pPr>
      <w:r w:rsidRPr="00E10347">
        <w:rPr>
          <w:rFonts w:ascii="Palatino Linotype" w:hAnsi="Palatino Linotype" w:cs="Times New Roman"/>
          <w:sz w:val="21"/>
          <w:szCs w:val="21"/>
          <w:lang w:val="es-MX"/>
        </w:rPr>
        <w:t>4.</w:t>
      </w:r>
      <w:r w:rsidRPr="00E10347">
        <w:rPr>
          <w:rFonts w:ascii="Palatino Linotype" w:hAnsi="Palatino Linotype" w:cs="Times New Roman"/>
          <w:sz w:val="21"/>
          <w:szCs w:val="21"/>
          <w:lang w:val="es-MX"/>
        </w:rPr>
        <w:tab/>
        <w:t>Ausencia o contradicción grave en la fundamentación.</w:t>
      </w:r>
    </w:p>
    <w:p w:rsidR="002014CA" w:rsidRPr="00E10347" w:rsidRDefault="002014CA" w:rsidP="008A02E9">
      <w:pPr>
        <w:pStyle w:val="Sinespaciado"/>
        <w:ind w:left="851" w:right="851" w:firstLine="709"/>
        <w:jc w:val="both"/>
        <w:rPr>
          <w:rFonts w:ascii="Palatino Linotype" w:hAnsi="Palatino Linotype" w:cs="Times New Roman"/>
          <w:sz w:val="21"/>
          <w:szCs w:val="21"/>
          <w:lang w:val="es-MX"/>
        </w:rPr>
      </w:pPr>
      <w:r w:rsidRPr="00E10347">
        <w:rPr>
          <w:rFonts w:ascii="Palatino Linotype" w:hAnsi="Palatino Linotype" w:cs="Times New Roman"/>
          <w:sz w:val="21"/>
          <w:szCs w:val="21"/>
          <w:lang w:val="es-MX"/>
        </w:rPr>
        <w:t>5.</w:t>
      </w:r>
      <w:r w:rsidRPr="00E10347">
        <w:rPr>
          <w:rFonts w:ascii="Palatino Linotype" w:hAnsi="Palatino Linotype" w:cs="Times New Roman"/>
          <w:sz w:val="21"/>
          <w:szCs w:val="21"/>
          <w:lang w:val="es-MX"/>
        </w:rPr>
        <w:tab/>
        <w:t>Haberse fundado en medios probatorios ilegítimos o introducidos ilegalmente al proceso.</w:t>
      </w:r>
    </w:p>
    <w:p w:rsidR="002014CA" w:rsidRPr="00E10347" w:rsidRDefault="002014CA" w:rsidP="008A02E9">
      <w:pPr>
        <w:pStyle w:val="Sinespaciado"/>
        <w:ind w:left="851" w:right="851" w:firstLine="709"/>
        <w:jc w:val="both"/>
        <w:rPr>
          <w:rFonts w:ascii="Palatino Linotype" w:hAnsi="Palatino Linotype" w:cs="Times New Roman"/>
          <w:sz w:val="21"/>
          <w:szCs w:val="21"/>
          <w:lang w:val="es-MX"/>
        </w:rPr>
      </w:pPr>
      <w:r w:rsidRPr="00E10347">
        <w:rPr>
          <w:rFonts w:ascii="Palatino Linotype" w:hAnsi="Palatino Linotype" w:cs="Times New Roman"/>
          <w:sz w:val="21"/>
          <w:szCs w:val="21"/>
          <w:lang w:val="es-MX"/>
        </w:rPr>
        <w:t>6.</w:t>
      </w:r>
      <w:r w:rsidRPr="00E10347">
        <w:rPr>
          <w:rFonts w:ascii="Palatino Linotype" w:hAnsi="Palatino Linotype" w:cs="Times New Roman"/>
          <w:sz w:val="21"/>
          <w:szCs w:val="21"/>
          <w:lang w:val="es-MX"/>
        </w:rPr>
        <w:tab/>
        <w:t xml:space="preserve">Incongruencia.  </w:t>
      </w:r>
    </w:p>
    <w:p w:rsidR="002014CA" w:rsidRPr="00E10347" w:rsidRDefault="002014CA" w:rsidP="008A02E9">
      <w:pPr>
        <w:pStyle w:val="Sinespaciado"/>
        <w:ind w:left="851" w:right="851" w:firstLine="709"/>
        <w:jc w:val="both"/>
        <w:rPr>
          <w:rFonts w:ascii="Palatino Linotype" w:hAnsi="Palatino Linotype" w:cs="Times New Roman"/>
          <w:sz w:val="21"/>
          <w:szCs w:val="21"/>
          <w:lang w:val="es-MX"/>
        </w:rPr>
      </w:pPr>
      <w:r w:rsidRPr="00E10347">
        <w:rPr>
          <w:rFonts w:ascii="Palatino Linotype" w:hAnsi="Palatino Linotype" w:cs="Times New Roman"/>
          <w:sz w:val="21"/>
          <w:szCs w:val="21"/>
          <w:lang w:val="es-MX"/>
        </w:rPr>
        <w:t xml:space="preserve"> (...)</w:t>
      </w:r>
      <w:r w:rsidRPr="00E10347">
        <w:rPr>
          <w:rFonts w:ascii="Palatino Linotype" w:hAnsi="Palatino Linotype" w:cs="Times New Roman"/>
          <w:sz w:val="21"/>
          <w:szCs w:val="21"/>
          <w:lang w:val="es-MX"/>
        </w:rPr>
        <w:tab/>
      </w:r>
    </w:p>
    <w:p w:rsidR="002014CA" w:rsidRPr="00E10347" w:rsidRDefault="002014CA" w:rsidP="008A02E9">
      <w:pPr>
        <w:pStyle w:val="Sinespaciado"/>
        <w:ind w:left="851" w:right="851" w:firstLine="709"/>
        <w:jc w:val="both"/>
        <w:rPr>
          <w:rFonts w:ascii="Palatino Linotype" w:hAnsi="Palatino Linotype" w:cs="Times New Roman"/>
          <w:sz w:val="21"/>
          <w:szCs w:val="21"/>
          <w:lang w:val="es-MX"/>
        </w:rPr>
      </w:pPr>
      <w:r w:rsidRPr="00E10347">
        <w:rPr>
          <w:rFonts w:ascii="Palatino Linotype" w:hAnsi="Palatino Linotype" w:cs="Times New Roman"/>
          <w:sz w:val="21"/>
          <w:szCs w:val="21"/>
          <w:lang w:val="es-MX"/>
        </w:rPr>
        <w:tab/>
        <w:t>I)  Inicialmente solo se van a comentar las causales por razones de forma:</w:t>
      </w:r>
    </w:p>
    <w:p w:rsidR="008A02E9" w:rsidRDefault="008A02E9" w:rsidP="00E10347">
      <w:pPr>
        <w:pStyle w:val="Sinespaciado"/>
        <w:jc w:val="both"/>
        <w:rPr>
          <w:rFonts w:ascii="Palatino Linotype" w:hAnsi="Palatino Linotype" w:cs="Times New Roman"/>
          <w:sz w:val="21"/>
          <w:szCs w:val="21"/>
          <w:lang w:val="es-MX"/>
        </w:rPr>
      </w:pPr>
    </w:p>
    <w:p w:rsidR="002014CA" w:rsidRPr="00E10347" w:rsidRDefault="002014CA" w:rsidP="00E10347">
      <w:pPr>
        <w:pStyle w:val="Sinespaciado"/>
        <w:jc w:val="both"/>
        <w:rPr>
          <w:rFonts w:ascii="Palatino Linotype" w:hAnsi="Palatino Linotype" w:cs="Times New Roman"/>
          <w:sz w:val="21"/>
          <w:szCs w:val="21"/>
          <w:lang w:val="es-MX"/>
        </w:rPr>
      </w:pPr>
      <w:r w:rsidRPr="00E10347">
        <w:rPr>
          <w:rFonts w:ascii="Palatino Linotype" w:hAnsi="Palatino Linotype" w:cs="Times New Roman"/>
          <w:sz w:val="21"/>
          <w:szCs w:val="21"/>
          <w:lang w:val="es-MX"/>
        </w:rPr>
        <w:t xml:space="preserve">A)  </w:t>
      </w:r>
      <w:r w:rsidRPr="00E10347">
        <w:rPr>
          <w:rFonts w:ascii="Palatino Linotype" w:hAnsi="Palatino Linotype" w:cs="Times New Roman"/>
          <w:b/>
          <w:sz w:val="21"/>
          <w:szCs w:val="21"/>
          <w:lang w:val="es-MX"/>
        </w:rPr>
        <w:t>Omisión de causales tradicionales idóneas para la oralidad</w:t>
      </w:r>
      <w:r w:rsidRPr="00E10347">
        <w:rPr>
          <w:rFonts w:ascii="Palatino Linotype" w:hAnsi="Palatino Linotype" w:cs="Times New Roman"/>
          <w:sz w:val="21"/>
          <w:szCs w:val="21"/>
          <w:lang w:val="es-MX"/>
        </w:rPr>
        <w:t>:</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lang w:val="es-MX"/>
        </w:rPr>
        <w:t>a)  "</w:t>
      </w:r>
      <w:r w:rsidRPr="00E10347">
        <w:rPr>
          <w:rFonts w:ascii="Palatino Linotype" w:hAnsi="Palatino Linotype" w:cs="Times New Roman"/>
          <w:sz w:val="21"/>
          <w:szCs w:val="21"/>
        </w:rPr>
        <w:t xml:space="preserve"> Por </w:t>
      </w:r>
      <w:r w:rsidRPr="00E10347">
        <w:rPr>
          <w:rFonts w:ascii="Palatino Linotype" w:hAnsi="Palatino Linotype" w:cs="Times New Roman"/>
          <w:b/>
          <w:sz w:val="21"/>
          <w:szCs w:val="21"/>
        </w:rPr>
        <w:t>falta de emplazamiento</w:t>
      </w:r>
      <w:r w:rsidRPr="00E10347">
        <w:rPr>
          <w:rFonts w:ascii="Palatino Linotype" w:hAnsi="Palatino Linotype" w:cs="Times New Roman"/>
          <w:sz w:val="21"/>
          <w:szCs w:val="21"/>
        </w:rPr>
        <w:t xml:space="preserve"> o notificación defectuosa de éste, no solo a las partes sino a los intervinientes principales"  594.1 Procesal Civil.</w:t>
      </w:r>
    </w:p>
    <w:p w:rsidR="002014CA" w:rsidRPr="00E10347" w:rsidRDefault="002014CA" w:rsidP="00E10347">
      <w:pPr>
        <w:pStyle w:val="Sinespaciado"/>
        <w:ind w:firstLine="709"/>
        <w:jc w:val="both"/>
        <w:rPr>
          <w:rFonts w:ascii="Palatino Linotype" w:hAnsi="Palatino Linotype" w:cs="Times New Roman"/>
          <w:sz w:val="21"/>
          <w:szCs w:val="21"/>
          <w:lang w:eastAsia="es-CR"/>
        </w:rPr>
      </w:pPr>
      <w:r w:rsidRPr="00E10347">
        <w:rPr>
          <w:rFonts w:ascii="Palatino Linotype" w:hAnsi="Palatino Linotype" w:cs="Times New Roman"/>
          <w:sz w:val="21"/>
          <w:szCs w:val="21"/>
        </w:rPr>
        <w:t>"</w:t>
      </w:r>
      <w:r w:rsidRPr="00E10347">
        <w:rPr>
          <w:rFonts w:ascii="Palatino Linotype" w:hAnsi="Palatino Linotype" w:cs="Times New Roman"/>
          <w:sz w:val="21"/>
          <w:szCs w:val="21"/>
          <w:lang w:eastAsia="es-CR"/>
        </w:rPr>
        <w:t xml:space="preserve"> Falta de emplazamiento, incluso la deficiencia en la composición de la litis, así como la notificación defectuosa del emplazamie</w:t>
      </w:r>
      <w:r w:rsidR="008A0E38">
        <w:rPr>
          <w:rFonts w:ascii="Palatino Linotype" w:hAnsi="Palatino Linotype" w:cs="Times New Roman"/>
          <w:sz w:val="21"/>
          <w:szCs w:val="21"/>
          <w:lang w:eastAsia="es-CR"/>
        </w:rPr>
        <w:t xml:space="preserve">nto a las partes principales": </w:t>
      </w:r>
      <w:r w:rsidRPr="00E10347">
        <w:rPr>
          <w:rFonts w:ascii="Palatino Linotype" w:hAnsi="Palatino Linotype" w:cs="Times New Roman"/>
          <w:sz w:val="21"/>
          <w:szCs w:val="21"/>
          <w:lang w:eastAsia="es-CR"/>
        </w:rPr>
        <w:t>137.1.a) Contencioso Administrativo.</w:t>
      </w:r>
    </w:p>
    <w:p w:rsidR="002014CA" w:rsidRPr="00E10347" w:rsidRDefault="002014CA" w:rsidP="008A0E38">
      <w:pPr>
        <w:pStyle w:val="Sinespaciado"/>
        <w:ind w:firstLine="708"/>
        <w:jc w:val="both"/>
        <w:rPr>
          <w:rFonts w:ascii="Palatino Linotype" w:hAnsi="Palatino Linotype" w:cs="Times New Roman"/>
          <w:sz w:val="21"/>
          <w:szCs w:val="21"/>
        </w:rPr>
      </w:pPr>
      <w:r w:rsidRPr="00E10347">
        <w:rPr>
          <w:rFonts w:ascii="Palatino Linotype" w:hAnsi="Palatino Linotype" w:cs="Times New Roman"/>
          <w:sz w:val="21"/>
          <w:szCs w:val="21"/>
          <w:lang w:eastAsia="es-CR"/>
        </w:rPr>
        <w:t>"</w:t>
      </w:r>
      <w:r w:rsidRPr="00E10347">
        <w:rPr>
          <w:rFonts w:ascii="Palatino Linotype" w:hAnsi="Palatino Linotype" w:cs="Times New Roman"/>
          <w:sz w:val="21"/>
          <w:szCs w:val="21"/>
        </w:rPr>
        <w:t>Falta de emplazamiento o notificación defectuosa de este a las partes o a los intervinientes principales, también contra quien debió figurar necesariamente como parte demandada en el proceso, cuando no se haya subsanado la falta, y como consecuencia de ello se hubiere dictado sentencia en su contra"  53.3.b) Procesal General</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lang w:eastAsia="es-CR"/>
        </w:rPr>
        <w:t>b)  "</w:t>
      </w:r>
      <w:r w:rsidRPr="00E10347">
        <w:rPr>
          <w:rFonts w:ascii="Palatino Linotype" w:hAnsi="Palatino Linotype" w:cs="Times New Roman"/>
          <w:sz w:val="21"/>
          <w:szCs w:val="21"/>
        </w:rPr>
        <w:t xml:space="preserve">Por </w:t>
      </w:r>
      <w:r w:rsidRPr="00E10347">
        <w:rPr>
          <w:rFonts w:ascii="Palatino Linotype" w:hAnsi="Palatino Linotype" w:cs="Times New Roman"/>
          <w:b/>
          <w:sz w:val="21"/>
          <w:szCs w:val="21"/>
        </w:rPr>
        <w:t>denegación de pruebas admisibles</w:t>
      </w:r>
      <w:r w:rsidRPr="00E10347">
        <w:rPr>
          <w:rFonts w:ascii="Palatino Linotype" w:hAnsi="Palatino Linotype" w:cs="Times New Roman"/>
          <w:sz w:val="21"/>
          <w:szCs w:val="21"/>
        </w:rPr>
        <w:t xml:space="preserve"> o falta de citación para alguna diligencia probatoria durante la tramitación, cuyas faltas hayan podido producir indefensión". 354.2) C. Procesal Civil</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 xml:space="preserve">c)  " Si el proceso </w:t>
      </w:r>
      <w:r w:rsidRPr="00E10347">
        <w:rPr>
          <w:rFonts w:ascii="Palatino Linotype" w:hAnsi="Palatino Linotype" w:cs="Times New Roman"/>
          <w:b/>
          <w:sz w:val="21"/>
          <w:szCs w:val="21"/>
        </w:rPr>
        <w:t>no fuere de competencia</w:t>
      </w:r>
      <w:r w:rsidRPr="00E10347">
        <w:rPr>
          <w:rFonts w:ascii="Palatino Linotype" w:hAnsi="Palatino Linotype" w:cs="Times New Roman"/>
          <w:sz w:val="21"/>
          <w:szCs w:val="21"/>
        </w:rPr>
        <w:t xml:space="preserve"> de los tribunales ci</w:t>
      </w:r>
      <w:r w:rsidR="008A0E38">
        <w:rPr>
          <w:rFonts w:ascii="Palatino Linotype" w:hAnsi="Palatino Linotype" w:cs="Times New Roman"/>
          <w:sz w:val="21"/>
          <w:szCs w:val="21"/>
        </w:rPr>
        <w:t xml:space="preserve">viles, ya sea por </w:t>
      </w:r>
      <w:r w:rsidRPr="00E10347">
        <w:rPr>
          <w:rFonts w:ascii="Palatino Linotype" w:hAnsi="Palatino Linotype" w:cs="Times New Roman"/>
          <w:sz w:val="21"/>
          <w:szCs w:val="21"/>
        </w:rPr>
        <w:t>razón de territorio nacional o por razón de materia"  594.4) C. Procesal Civil.</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rPr>
        <w:t>"</w:t>
      </w:r>
      <w:r w:rsidRPr="00E10347">
        <w:rPr>
          <w:rFonts w:ascii="Palatino Linotype" w:hAnsi="Palatino Linotype" w:cs="Times New Roman"/>
          <w:b/>
          <w:sz w:val="21"/>
          <w:szCs w:val="21"/>
          <w:lang w:eastAsia="es-CR"/>
        </w:rPr>
        <w:t>Incompetencia</w:t>
      </w:r>
      <w:r w:rsidRPr="00E10347">
        <w:rPr>
          <w:rFonts w:ascii="Palatino Linotype" w:hAnsi="Palatino Linotype" w:cs="Times New Roman"/>
          <w:sz w:val="21"/>
          <w:szCs w:val="21"/>
          <w:lang w:eastAsia="es-CR"/>
        </w:rPr>
        <w:t xml:space="preserve"> de los tribunales costarricenses, habiendo sido alegada y rechazada en el momento procesal correspondiente" 137.1.e)   Contencioso </w:t>
      </w:r>
      <w:r w:rsidRPr="00E10347">
        <w:rPr>
          <w:rFonts w:ascii="Palatino Linotype" w:hAnsi="Palatino Linotype" w:cs="Times New Roman"/>
          <w:sz w:val="21"/>
          <w:szCs w:val="21"/>
          <w:lang w:eastAsia="es-CR"/>
        </w:rPr>
        <w:tab/>
        <w:t>Administrativo</w:t>
      </w:r>
    </w:p>
    <w:p w:rsidR="002014CA" w:rsidRPr="00E10347" w:rsidRDefault="002014CA" w:rsidP="00E10347">
      <w:pPr>
        <w:pStyle w:val="Sinespaciado"/>
        <w:ind w:firstLine="709"/>
        <w:jc w:val="both"/>
        <w:rPr>
          <w:rFonts w:ascii="Palatino Linotype" w:hAnsi="Palatino Linotype" w:cs="Times New Roman"/>
          <w:sz w:val="21"/>
          <w:szCs w:val="21"/>
          <w:lang w:eastAsia="es-CR"/>
        </w:rPr>
      </w:pPr>
      <w:r w:rsidRPr="00E10347">
        <w:rPr>
          <w:rFonts w:ascii="Palatino Linotype" w:hAnsi="Palatino Linotype" w:cs="Times New Roman"/>
          <w:sz w:val="21"/>
          <w:szCs w:val="21"/>
        </w:rPr>
        <w:t>d)  "</w:t>
      </w:r>
      <w:r w:rsidRPr="00E10347">
        <w:rPr>
          <w:rFonts w:ascii="Palatino Linotype" w:hAnsi="Palatino Linotype" w:cs="Times New Roman"/>
          <w:b/>
          <w:sz w:val="21"/>
          <w:szCs w:val="21"/>
          <w:lang w:eastAsia="es-CR"/>
        </w:rPr>
        <w:t>Indefensión</w:t>
      </w:r>
      <w:r w:rsidRPr="00E10347">
        <w:rPr>
          <w:rFonts w:ascii="Palatino Linotype" w:hAnsi="Palatino Linotype" w:cs="Times New Roman"/>
          <w:sz w:val="21"/>
          <w:szCs w:val="21"/>
          <w:lang w:eastAsia="es-CR"/>
        </w:rPr>
        <w:t xml:space="preserve"> de la parte, que no le sea imputable, cuando se le afecten los derechos de defensa y del debido proceso"  137.1.7 Contencioso Administrativo</w:t>
      </w:r>
    </w:p>
    <w:p w:rsidR="002014CA" w:rsidRPr="00E10347" w:rsidRDefault="002014CA" w:rsidP="00E10347">
      <w:pPr>
        <w:pStyle w:val="Sinespaciado"/>
        <w:ind w:firstLine="708"/>
        <w:jc w:val="both"/>
        <w:rPr>
          <w:rFonts w:ascii="Palatino Linotype" w:hAnsi="Palatino Linotype" w:cs="Times New Roman"/>
          <w:sz w:val="21"/>
          <w:szCs w:val="21"/>
          <w:lang w:val="es-MX"/>
        </w:rPr>
      </w:pPr>
      <w:r w:rsidRPr="00E10347">
        <w:rPr>
          <w:rFonts w:ascii="Palatino Linotype" w:hAnsi="Palatino Linotype" w:cs="Times New Roman"/>
          <w:sz w:val="21"/>
          <w:szCs w:val="21"/>
          <w:lang w:eastAsia="es-CR"/>
        </w:rPr>
        <w:t xml:space="preserve">e)  </w:t>
      </w:r>
      <w:r w:rsidRPr="00E10347">
        <w:rPr>
          <w:rFonts w:ascii="Palatino Linotype" w:hAnsi="Palatino Linotype" w:cs="Times New Roman"/>
          <w:sz w:val="21"/>
          <w:szCs w:val="21"/>
          <w:lang w:val="es-MX"/>
        </w:rPr>
        <w:t>"</w:t>
      </w:r>
      <w:r w:rsidRPr="00E10347">
        <w:rPr>
          <w:rFonts w:ascii="Palatino Linotype" w:hAnsi="Palatino Linotype" w:cs="Times New Roman"/>
          <w:sz w:val="21"/>
          <w:szCs w:val="21"/>
        </w:rPr>
        <w:t>Falta de determinación clara y precisa, en la sentencia, de los hechos acreditados por el tribunal o haberse fundado en medios probatorios ilegítimos o introducidos ilegalmente al proceso"  53.3.c)   Procesal General</w:t>
      </w:r>
    </w:p>
    <w:p w:rsidR="008A0E38" w:rsidRDefault="008A0E38" w:rsidP="00E10347">
      <w:pPr>
        <w:pStyle w:val="Sinespaciado"/>
        <w:jc w:val="both"/>
        <w:rPr>
          <w:rFonts w:ascii="Palatino Linotype" w:hAnsi="Palatino Linotype" w:cs="Times New Roman"/>
          <w:sz w:val="21"/>
          <w:szCs w:val="21"/>
          <w:lang w:val="es-MX"/>
        </w:rPr>
      </w:pPr>
    </w:p>
    <w:p w:rsidR="002014CA" w:rsidRPr="00E10347" w:rsidRDefault="002014CA" w:rsidP="00E10347">
      <w:pPr>
        <w:pStyle w:val="Sinespaciado"/>
        <w:jc w:val="both"/>
        <w:rPr>
          <w:rFonts w:ascii="Palatino Linotype" w:hAnsi="Palatino Linotype" w:cs="Times New Roman"/>
          <w:sz w:val="21"/>
          <w:szCs w:val="21"/>
          <w:lang w:val="es-MX"/>
        </w:rPr>
      </w:pPr>
      <w:r w:rsidRPr="00E10347">
        <w:rPr>
          <w:rFonts w:ascii="Palatino Linotype" w:hAnsi="Palatino Linotype" w:cs="Times New Roman"/>
          <w:sz w:val="21"/>
          <w:szCs w:val="21"/>
          <w:lang w:val="es-MX"/>
        </w:rPr>
        <w:t xml:space="preserve">B)  </w:t>
      </w:r>
      <w:r w:rsidRPr="00E10347">
        <w:rPr>
          <w:rFonts w:ascii="Palatino Linotype" w:hAnsi="Palatino Linotype" w:cs="Times New Roman"/>
          <w:b/>
          <w:sz w:val="21"/>
          <w:szCs w:val="21"/>
          <w:lang w:val="es-MX"/>
        </w:rPr>
        <w:t>Causales más explicitas de la de "Incongruencia" del Nuevo Código.</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lang w:val="es-MX"/>
        </w:rPr>
        <w:t>a)  "</w:t>
      </w:r>
      <w:r w:rsidRPr="00E10347">
        <w:rPr>
          <w:rFonts w:ascii="Palatino Linotype" w:hAnsi="Palatino Linotype" w:cs="Times New Roman"/>
          <w:sz w:val="21"/>
          <w:szCs w:val="21"/>
        </w:rPr>
        <w:t xml:space="preserve">Si el fallo fuere incongruente con las pretensiones oportunamente </w:t>
      </w:r>
      <w:r w:rsidRPr="00E10347">
        <w:rPr>
          <w:rFonts w:ascii="Palatino Linotype" w:hAnsi="Palatino Linotype" w:cs="Times New Roman"/>
          <w:sz w:val="21"/>
          <w:szCs w:val="21"/>
        </w:rPr>
        <w:tab/>
        <w:t xml:space="preserve">deducidas por las partes, u omitiere hacer declaraciones sobre alguna de tales </w:t>
      </w:r>
      <w:r w:rsidRPr="00E10347">
        <w:rPr>
          <w:rFonts w:ascii="Palatino Linotype" w:hAnsi="Palatino Linotype" w:cs="Times New Roman"/>
          <w:sz w:val="21"/>
          <w:szCs w:val="21"/>
        </w:rPr>
        <w:tab/>
        <w:t xml:space="preserve">pretensiones, hechas </w:t>
      </w:r>
      <w:r w:rsidRPr="00E10347">
        <w:rPr>
          <w:rFonts w:ascii="Palatino Linotype" w:hAnsi="Palatino Linotype" w:cs="Times New Roman"/>
          <w:sz w:val="21"/>
          <w:szCs w:val="21"/>
        </w:rPr>
        <w:tab/>
        <w:t>a su tiempo en el pleito, o si otorgare más de lo pedido, o contuviere disposiciones contradictorias"  594.3)  Procesal Civil</w:t>
      </w:r>
    </w:p>
    <w:p w:rsidR="002014CA" w:rsidRPr="00E10347" w:rsidRDefault="002014CA" w:rsidP="008A0E38">
      <w:pPr>
        <w:pStyle w:val="Sinespaciado"/>
        <w:ind w:firstLine="708"/>
        <w:jc w:val="both"/>
        <w:rPr>
          <w:rFonts w:ascii="Palatino Linotype" w:hAnsi="Palatino Linotype" w:cs="Times New Roman"/>
          <w:sz w:val="21"/>
          <w:szCs w:val="21"/>
        </w:rPr>
      </w:pPr>
      <w:r w:rsidRPr="00E10347">
        <w:rPr>
          <w:rFonts w:ascii="Palatino Linotype" w:hAnsi="Palatino Linotype" w:cs="Times New Roman"/>
          <w:sz w:val="21"/>
          <w:szCs w:val="21"/>
        </w:rPr>
        <w:t>"Incongruencia con las pretensiones oportunamente deducidas por las partes, omisión trascendente sobre algún tema deducido, si otorgare más de lo pedido o contuviere disposiciones contradictorias. No existirá nulidad si no hubiere pronunciamiento en costas, sobre incidentes sin influencia directa en el fondo del asunto, o cuando no se hubiere pedido adición del fallo para llenar la omisión"  53.e) Procesal General.</w:t>
      </w:r>
    </w:p>
    <w:p w:rsidR="008A0E38" w:rsidRDefault="008A0E38" w:rsidP="008A0E38">
      <w:pPr>
        <w:pStyle w:val="Sinespaciado"/>
        <w:jc w:val="both"/>
        <w:rPr>
          <w:rFonts w:ascii="Palatino Linotype" w:hAnsi="Palatino Linotype" w:cs="Times New Roman"/>
          <w:sz w:val="21"/>
          <w:szCs w:val="21"/>
          <w:lang w:val="es-MX"/>
        </w:rPr>
      </w:pPr>
    </w:p>
    <w:p w:rsidR="002014CA" w:rsidRPr="00E10347" w:rsidRDefault="002014CA" w:rsidP="008A0E38">
      <w:pPr>
        <w:pStyle w:val="Sinespaciado"/>
        <w:jc w:val="both"/>
        <w:rPr>
          <w:rFonts w:ascii="Palatino Linotype" w:hAnsi="Palatino Linotype" w:cs="Times New Roman"/>
          <w:sz w:val="21"/>
          <w:szCs w:val="21"/>
          <w:lang w:val="es-MX"/>
        </w:rPr>
      </w:pPr>
      <w:r w:rsidRPr="00E10347">
        <w:rPr>
          <w:rFonts w:ascii="Palatino Linotype" w:hAnsi="Palatino Linotype" w:cs="Times New Roman"/>
          <w:sz w:val="21"/>
          <w:szCs w:val="21"/>
          <w:lang w:val="es-MX"/>
        </w:rPr>
        <w:t xml:space="preserve">C)  </w:t>
      </w:r>
      <w:r w:rsidRPr="00E10347">
        <w:rPr>
          <w:rFonts w:ascii="Palatino Linotype" w:hAnsi="Palatino Linotype" w:cs="Times New Roman"/>
          <w:b/>
          <w:sz w:val="21"/>
          <w:szCs w:val="21"/>
          <w:lang w:val="es-MX"/>
        </w:rPr>
        <w:t>Sobre causales dividas del N.C.P.</w:t>
      </w:r>
      <w:r w:rsidRPr="00E10347">
        <w:rPr>
          <w:rFonts w:ascii="Palatino Linotype" w:hAnsi="Palatino Linotype" w:cs="Times New Roman"/>
          <w:sz w:val="21"/>
          <w:szCs w:val="21"/>
          <w:lang w:val="es-MX"/>
        </w:rPr>
        <w:t xml:space="preserve"> "2.</w:t>
      </w:r>
      <w:r w:rsidRPr="00E10347">
        <w:rPr>
          <w:rFonts w:ascii="Palatino Linotype" w:hAnsi="Palatino Linotype" w:cs="Times New Roman"/>
          <w:sz w:val="21"/>
          <w:szCs w:val="21"/>
          <w:lang w:val="es-MX"/>
        </w:rPr>
        <w:tab/>
        <w:t>Vulneración del principio de inmediación por ausencia de jueces en la audiencia de prueba, conclusiones o deliberación".     "3.</w:t>
      </w:r>
      <w:r w:rsidRPr="00E10347">
        <w:rPr>
          <w:rFonts w:ascii="Palatino Linotype" w:hAnsi="Palatino Linotype" w:cs="Times New Roman"/>
          <w:sz w:val="21"/>
          <w:szCs w:val="21"/>
          <w:lang w:val="es-MX"/>
        </w:rPr>
        <w:tab/>
        <w:t>Haberse dictado la sentencia por un número menor de los jueces exigidos por ley.</w:t>
      </w:r>
    </w:p>
    <w:p w:rsidR="002014CA" w:rsidRPr="00E10347" w:rsidRDefault="002014CA" w:rsidP="00E10347">
      <w:pPr>
        <w:pStyle w:val="Sinespaciado"/>
        <w:ind w:left="709" w:firstLine="709"/>
        <w:jc w:val="both"/>
        <w:rPr>
          <w:rFonts w:ascii="Palatino Linotype" w:hAnsi="Palatino Linotype" w:cs="Times New Roman"/>
          <w:sz w:val="21"/>
          <w:szCs w:val="21"/>
          <w:lang w:eastAsia="es-CR"/>
        </w:rPr>
      </w:pPr>
      <w:r w:rsidRPr="00E10347">
        <w:rPr>
          <w:rFonts w:ascii="Palatino Linotype" w:hAnsi="Palatino Linotype" w:cs="Times New Roman"/>
          <w:sz w:val="21"/>
          <w:szCs w:val="21"/>
          <w:lang w:val="es-MX"/>
        </w:rPr>
        <w:t xml:space="preserve">"a)  </w:t>
      </w:r>
      <w:r w:rsidRPr="00E10347">
        <w:rPr>
          <w:rFonts w:ascii="Palatino Linotype" w:hAnsi="Palatino Linotype" w:cs="Times New Roman"/>
          <w:sz w:val="21"/>
          <w:szCs w:val="21"/>
          <w:lang w:eastAsia="es-CR"/>
        </w:rPr>
        <w:t>Dictado de la sentencia por un número menor de jueces que el exigido para conformar el Tribunal o cuando uno de ellos no haya estado presente en el juicio oral y público".  137.1.f  Procesal Contencioso</w:t>
      </w:r>
    </w:p>
    <w:p w:rsidR="002014CA" w:rsidRPr="00E10347" w:rsidRDefault="002014CA" w:rsidP="00E10347">
      <w:pPr>
        <w:pStyle w:val="Sinespaciado"/>
        <w:ind w:left="709" w:firstLine="709"/>
        <w:jc w:val="both"/>
        <w:rPr>
          <w:rFonts w:ascii="Palatino Linotype" w:hAnsi="Palatino Linotype" w:cs="Times New Roman"/>
          <w:sz w:val="21"/>
          <w:szCs w:val="21"/>
        </w:rPr>
      </w:pPr>
      <w:r w:rsidRPr="00E10347">
        <w:rPr>
          <w:rFonts w:ascii="Palatino Linotype" w:hAnsi="Palatino Linotype" w:cs="Times New Roman"/>
          <w:sz w:val="21"/>
          <w:szCs w:val="21"/>
          <w:lang w:val="es-MX"/>
        </w:rPr>
        <w:t>"</w:t>
      </w:r>
      <w:r w:rsidRPr="00E10347">
        <w:rPr>
          <w:rFonts w:ascii="Palatino Linotype" w:hAnsi="Palatino Linotype" w:cs="Times New Roman"/>
          <w:sz w:val="21"/>
          <w:szCs w:val="21"/>
        </w:rPr>
        <w:t>f) Haberse dictado la sentencia por un número menor de los jueces exigidos para conformar el tribunal, o no haber estado presentes todos en la audiencia de pruebas y conclusiones o en la deliberación de la sentencia":  53.3.f Código Procesal Contencioso.</w:t>
      </w:r>
    </w:p>
    <w:p w:rsidR="008A0E38" w:rsidRDefault="008A0E38" w:rsidP="00E10347">
      <w:pPr>
        <w:pStyle w:val="Sinespaciado"/>
        <w:ind w:left="709"/>
        <w:jc w:val="both"/>
        <w:rPr>
          <w:rFonts w:ascii="Palatino Linotype" w:hAnsi="Palatino Linotype" w:cs="Times New Roman"/>
          <w:sz w:val="21"/>
          <w:szCs w:val="21"/>
          <w:lang w:val="es-MX"/>
        </w:rPr>
      </w:pPr>
    </w:p>
    <w:p w:rsidR="002014CA" w:rsidRPr="00E10347" w:rsidRDefault="002014CA" w:rsidP="00E10347">
      <w:pPr>
        <w:pStyle w:val="Sinespaciado"/>
        <w:ind w:left="709"/>
        <w:jc w:val="both"/>
        <w:rPr>
          <w:rFonts w:ascii="Palatino Linotype" w:hAnsi="Palatino Linotype" w:cs="Times New Roman"/>
          <w:sz w:val="21"/>
          <w:szCs w:val="21"/>
          <w:lang w:val="es-MX"/>
        </w:rPr>
      </w:pPr>
      <w:r w:rsidRPr="00E10347">
        <w:rPr>
          <w:rFonts w:ascii="Palatino Linotype" w:hAnsi="Palatino Linotype" w:cs="Times New Roman"/>
          <w:sz w:val="21"/>
          <w:szCs w:val="21"/>
          <w:lang w:val="es-MX"/>
        </w:rPr>
        <w:lastRenderedPageBreak/>
        <w:t xml:space="preserve">D)  Elementos para el </w:t>
      </w:r>
      <w:r w:rsidRPr="00E10347">
        <w:rPr>
          <w:rFonts w:ascii="Palatino Linotype" w:hAnsi="Palatino Linotype" w:cs="Times New Roman"/>
          <w:b/>
          <w:sz w:val="21"/>
          <w:szCs w:val="21"/>
          <w:lang w:val="es-MX"/>
        </w:rPr>
        <w:t>debido proceso y nulidades</w:t>
      </w:r>
      <w:r w:rsidRPr="00E10347">
        <w:rPr>
          <w:rFonts w:ascii="Palatino Linotype" w:hAnsi="Palatino Linotype" w:cs="Times New Roman"/>
          <w:sz w:val="21"/>
          <w:szCs w:val="21"/>
          <w:lang w:val="es-MX"/>
        </w:rPr>
        <w:t>.  69.2.1 N.C.P: "Infracción o errónea aplicación de normas procesales que sean esenciales para la garantía del debido proceso, siempre que la actividad defectuosa no se haya subsanado conforme a la ley".</w:t>
      </w:r>
    </w:p>
    <w:p w:rsidR="002014CA" w:rsidRPr="00E10347" w:rsidRDefault="002014CA" w:rsidP="00E10347">
      <w:pPr>
        <w:pStyle w:val="Sinespaciado"/>
        <w:ind w:left="709" w:firstLine="709"/>
        <w:jc w:val="both"/>
        <w:rPr>
          <w:rFonts w:ascii="Palatino Linotype" w:hAnsi="Palatino Linotype" w:cs="Times New Roman"/>
          <w:sz w:val="21"/>
          <w:szCs w:val="21"/>
          <w:lang w:eastAsia="es-CR"/>
        </w:rPr>
      </w:pPr>
      <w:r w:rsidRPr="00E10347">
        <w:rPr>
          <w:rFonts w:ascii="Palatino Linotype" w:hAnsi="Palatino Linotype" w:cs="Times New Roman"/>
          <w:sz w:val="21"/>
          <w:szCs w:val="21"/>
          <w:lang w:val="es-MX"/>
        </w:rPr>
        <w:t>"</w:t>
      </w:r>
      <w:r w:rsidRPr="00E10347">
        <w:rPr>
          <w:rFonts w:ascii="Palatino Linotype" w:hAnsi="Palatino Linotype" w:cs="Times New Roman"/>
          <w:sz w:val="21"/>
          <w:szCs w:val="21"/>
          <w:lang w:eastAsia="es-CR"/>
        </w:rPr>
        <w:t>Violación de las normas cuya inobservancia sea sancionada con la nulidad absoluta. 137.1.h) del Procesal Contencioso Administrativo.</w:t>
      </w:r>
    </w:p>
    <w:p w:rsidR="002014CA" w:rsidRPr="00E10347" w:rsidRDefault="002014CA" w:rsidP="00E10347">
      <w:pPr>
        <w:pStyle w:val="Sinespaciado"/>
        <w:ind w:left="709" w:firstLine="709"/>
        <w:jc w:val="both"/>
        <w:rPr>
          <w:rFonts w:ascii="Palatino Linotype" w:hAnsi="Palatino Linotype" w:cs="Times New Roman"/>
          <w:sz w:val="21"/>
          <w:szCs w:val="21"/>
          <w:lang w:val="es-MX"/>
        </w:rPr>
      </w:pPr>
      <w:r w:rsidRPr="00E10347">
        <w:rPr>
          <w:rFonts w:ascii="Palatino Linotype" w:hAnsi="Palatino Linotype" w:cs="Times New Roman"/>
          <w:sz w:val="21"/>
          <w:szCs w:val="21"/>
          <w:lang w:val="es-MX"/>
        </w:rPr>
        <w:t>"</w:t>
      </w:r>
      <w:r w:rsidRPr="00E10347">
        <w:rPr>
          <w:rFonts w:ascii="Palatino Linotype" w:hAnsi="Palatino Linotype" w:cs="Times New Roman"/>
          <w:sz w:val="21"/>
          <w:szCs w:val="21"/>
        </w:rPr>
        <w:t xml:space="preserve">Falta de determinación clara y precisa, en la sentencia, de los hechos acreditados por el tribunal o haberse fundado en medios probatorios ilegítimos o introducidos ilegalmente al proceso"  </w:t>
      </w:r>
    </w:p>
    <w:p w:rsidR="008A0E38" w:rsidRDefault="008A0E38" w:rsidP="008A0E38">
      <w:pPr>
        <w:pStyle w:val="Sinespaciado"/>
        <w:ind w:left="709"/>
        <w:jc w:val="both"/>
        <w:rPr>
          <w:rFonts w:ascii="Palatino Linotype" w:hAnsi="Palatino Linotype" w:cs="Times New Roman"/>
          <w:sz w:val="21"/>
          <w:szCs w:val="21"/>
          <w:lang w:val="es-MX"/>
        </w:rPr>
      </w:pPr>
    </w:p>
    <w:p w:rsidR="002014CA" w:rsidRPr="00E10347" w:rsidRDefault="002014CA" w:rsidP="008A0E38">
      <w:pPr>
        <w:pStyle w:val="Sinespaciado"/>
        <w:ind w:left="709"/>
        <w:jc w:val="both"/>
        <w:rPr>
          <w:rFonts w:ascii="Palatino Linotype" w:hAnsi="Palatino Linotype" w:cs="Times New Roman"/>
          <w:sz w:val="21"/>
          <w:szCs w:val="21"/>
          <w:lang w:val="es-MX"/>
        </w:rPr>
      </w:pPr>
      <w:r w:rsidRPr="00E10347">
        <w:rPr>
          <w:rFonts w:ascii="Palatino Linotype" w:hAnsi="Palatino Linotype" w:cs="Times New Roman"/>
          <w:sz w:val="21"/>
          <w:szCs w:val="21"/>
          <w:lang w:val="es-MX"/>
        </w:rPr>
        <w:t xml:space="preserve">E) </w:t>
      </w:r>
      <w:r w:rsidRPr="00E10347">
        <w:rPr>
          <w:rFonts w:ascii="Palatino Linotype" w:hAnsi="Palatino Linotype" w:cs="Times New Roman"/>
          <w:b/>
          <w:sz w:val="21"/>
          <w:szCs w:val="21"/>
          <w:lang w:val="es-MX"/>
        </w:rPr>
        <w:t>Los elementos de prueba como fundamento de la sentencia</w:t>
      </w:r>
      <w:r w:rsidRPr="00E10347">
        <w:rPr>
          <w:rFonts w:ascii="Palatino Linotype" w:hAnsi="Palatino Linotype" w:cs="Times New Roman"/>
          <w:sz w:val="21"/>
          <w:szCs w:val="21"/>
          <w:lang w:val="es-MX"/>
        </w:rPr>
        <w:t>.  No se incorporaron en el N.C.PC. por el dominio psicológico de la escritura, y porque por el fondo se continuó con el criterio de la violación directa e indirecta de "las leyes".</w:t>
      </w:r>
    </w:p>
    <w:p w:rsidR="002014CA" w:rsidRPr="00E10347" w:rsidRDefault="002014CA" w:rsidP="00E10347">
      <w:pPr>
        <w:pStyle w:val="Sinespaciado"/>
        <w:ind w:left="709" w:firstLine="709"/>
        <w:jc w:val="both"/>
        <w:rPr>
          <w:rFonts w:ascii="Palatino Linotype" w:hAnsi="Palatino Linotype" w:cs="Times New Roman"/>
          <w:sz w:val="21"/>
          <w:szCs w:val="21"/>
          <w:lang w:val="es-MX"/>
        </w:rPr>
      </w:pPr>
      <w:r w:rsidRPr="00E10347">
        <w:rPr>
          <w:rFonts w:ascii="Palatino Linotype" w:hAnsi="Palatino Linotype" w:cs="Times New Roman"/>
          <w:sz w:val="21"/>
          <w:szCs w:val="21"/>
          <w:lang w:val="es-MX"/>
        </w:rPr>
        <w:t>"</w:t>
      </w:r>
      <w:r w:rsidRPr="00E10347">
        <w:rPr>
          <w:rFonts w:ascii="Palatino Linotype" w:hAnsi="Palatino Linotype" w:cs="Times New Roman"/>
          <w:sz w:val="21"/>
          <w:szCs w:val="21"/>
        </w:rPr>
        <w:t>Falta de determinación clara y precisa, en la sentencia, de los hechos acreditados por el tribunal o haberse fundado en medios probatorios ilegítimos o introducidos ilegalmente al proceso"  53.3.c)   Código Procesal General.</w:t>
      </w:r>
    </w:p>
    <w:p w:rsidR="002014CA" w:rsidRPr="00E10347" w:rsidRDefault="002014CA" w:rsidP="00E10347">
      <w:pPr>
        <w:pStyle w:val="Sinespaciado"/>
        <w:ind w:left="709" w:firstLine="709"/>
        <w:jc w:val="both"/>
        <w:rPr>
          <w:rFonts w:ascii="Palatino Linotype" w:hAnsi="Palatino Linotype" w:cs="Times New Roman"/>
          <w:sz w:val="21"/>
          <w:szCs w:val="21"/>
          <w:lang w:eastAsia="es-CR"/>
        </w:rPr>
      </w:pPr>
      <w:r w:rsidRPr="00E10347">
        <w:rPr>
          <w:rFonts w:ascii="Palatino Linotype" w:hAnsi="Palatino Linotype" w:cs="Times New Roman"/>
          <w:sz w:val="21"/>
          <w:szCs w:val="21"/>
          <w:lang w:eastAsia="es-CR"/>
        </w:rPr>
        <w:t>"Falta de determinación clara y precisa, en la sentencia, de los hechos acreditados por el Tribunal o por haberse fundado en medios probatorios ilegítimos o introducidos ilegalmente al proceso" 137.1.c) del Procesal contencioso administrativo proveniente del Código Procesal General.</w:t>
      </w:r>
    </w:p>
    <w:p w:rsidR="008A0E38" w:rsidRDefault="008A0E38" w:rsidP="00E10347">
      <w:pPr>
        <w:pStyle w:val="Sinespaciado"/>
        <w:ind w:left="709"/>
        <w:jc w:val="both"/>
        <w:rPr>
          <w:rFonts w:ascii="Palatino Linotype" w:hAnsi="Palatino Linotype" w:cs="Times New Roman"/>
          <w:sz w:val="21"/>
          <w:szCs w:val="21"/>
          <w:lang w:val="es-MX"/>
        </w:rPr>
      </w:pPr>
    </w:p>
    <w:p w:rsidR="002014CA" w:rsidRPr="00E10347" w:rsidRDefault="002014CA" w:rsidP="00E10347">
      <w:pPr>
        <w:pStyle w:val="Sinespaciado"/>
        <w:ind w:left="709"/>
        <w:jc w:val="both"/>
        <w:rPr>
          <w:rFonts w:ascii="Palatino Linotype" w:hAnsi="Palatino Linotype" w:cs="Times New Roman"/>
          <w:sz w:val="21"/>
          <w:szCs w:val="21"/>
          <w:lang w:val="es-MX"/>
        </w:rPr>
      </w:pPr>
      <w:r w:rsidRPr="00E10347">
        <w:rPr>
          <w:rFonts w:ascii="Palatino Linotype" w:hAnsi="Palatino Linotype" w:cs="Times New Roman"/>
          <w:sz w:val="21"/>
          <w:szCs w:val="21"/>
          <w:lang w:val="es-MX"/>
        </w:rPr>
        <w:t xml:space="preserve">F)  </w:t>
      </w:r>
      <w:r w:rsidRPr="00E10347">
        <w:rPr>
          <w:rFonts w:ascii="Palatino Linotype" w:hAnsi="Palatino Linotype" w:cs="Times New Roman"/>
          <w:b/>
          <w:sz w:val="21"/>
          <w:szCs w:val="21"/>
          <w:lang w:val="es-MX"/>
        </w:rPr>
        <w:t>Elementos para la fundamentación</w:t>
      </w:r>
      <w:r w:rsidRPr="00E10347">
        <w:rPr>
          <w:rFonts w:ascii="Palatino Linotype" w:hAnsi="Palatino Linotype" w:cs="Times New Roman"/>
          <w:sz w:val="21"/>
          <w:szCs w:val="21"/>
          <w:lang w:val="es-MX"/>
        </w:rPr>
        <w:t>:  69.2.4 N.C.P.C. "Ausencia o contradicción grave en la fundamentación".</w:t>
      </w:r>
    </w:p>
    <w:p w:rsidR="002014CA" w:rsidRPr="00E10347" w:rsidRDefault="002014CA" w:rsidP="00E10347">
      <w:pPr>
        <w:pStyle w:val="Sinespaciado"/>
        <w:ind w:left="709" w:firstLine="709"/>
        <w:jc w:val="both"/>
        <w:rPr>
          <w:rFonts w:ascii="Palatino Linotype" w:hAnsi="Palatino Linotype" w:cs="Times New Roman"/>
          <w:sz w:val="21"/>
          <w:szCs w:val="21"/>
        </w:rPr>
      </w:pPr>
      <w:r w:rsidRPr="00E10347">
        <w:rPr>
          <w:rFonts w:ascii="Palatino Linotype" w:hAnsi="Palatino Linotype" w:cs="Times New Roman"/>
          <w:sz w:val="21"/>
          <w:szCs w:val="21"/>
        </w:rPr>
        <w:t>"Falta, insuficiencia o contradicción grave en la fundamentación": 53.3.d) del Código Procesal General.</w:t>
      </w:r>
    </w:p>
    <w:p w:rsidR="002014CA" w:rsidRPr="00E10347" w:rsidRDefault="002014CA" w:rsidP="008A0E38">
      <w:pPr>
        <w:pStyle w:val="Sinespaciado"/>
        <w:ind w:firstLine="708"/>
        <w:jc w:val="both"/>
        <w:rPr>
          <w:rFonts w:ascii="Palatino Linotype" w:hAnsi="Palatino Linotype" w:cs="Times New Roman"/>
          <w:sz w:val="21"/>
          <w:szCs w:val="21"/>
        </w:rPr>
      </w:pPr>
      <w:r w:rsidRPr="00E10347">
        <w:rPr>
          <w:rFonts w:ascii="Palatino Linotype" w:hAnsi="Palatino Linotype" w:cs="Times New Roman"/>
          <w:sz w:val="21"/>
          <w:szCs w:val="21"/>
          <w:lang w:eastAsia="es-CR"/>
        </w:rPr>
        <w:t>"Falta de motivación": 137.1.d) del Procesal contencioso Administrativo</w:t>
      </w:r>
    </w:p>
    <w:p w:rsidR="008A0E38" w:rsidRDefault="008A0E38" w:rsidP="00E10347">
      <w:pPr>
        <w:pStyle w:val="Sinespaciado"/>
        <w:jc w:val="both"/>
        <w:rPr>
          <w:rFonts w:ascii="Palatino Linotype" w:hAnsi="Palatino Linotype" w:cs="Times New Roman"/>
          <w:sz w:val="21"/>
          <w:szCs w:val="21"/>
        </w:rPr>
      </w:pP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 xml:space="preserve">G)  </w:t>
      </w:r>
      <w:r w:rsidRPr="00E10347">
        <w:rPr>
          <w:rFonts w:ascii="Palatino Linotype" w:hAnsi="Palatino Linotype" w:cs="Times New Roman"/>
          <w:b/>
          <w:sz w:val="21"/>
          <w:szCs w:val="21"/>
        </w:rPr>
        <w:t>Deliberación y sentencia</w:t>
      </w:r>
    </w:p>
    <w:p w:rsidR="002014CA" w:rsidRPr="00E10347" w:rsidRDefault="002014CA" w:rsidP="008A0E38">
      <w:pPr>
        <w:pStyle w:val="Sinespaciado"/>
        <w:ind w:firstLine="708"/>
        <w:jc w:val="both"/>
        <w:rPr>
          <w:rFonts w:ascii="Palatino Linotype" w:hAnsi="Palatino Linotype" w:cs="Times New Roman"/>
          <w:sz w:val="21"/>
          <w:szCs w:val="21"/>
          <w:lang w:eastAsia="es-CR"/>
        </w:rPr>
      </w:pPr>
      <w:r w:rsidRPr="00E10347">
        <w:rPr>
          <w:rFonts w:ascii="Palatino Linotype" w:hAnsi="Palatino Linotype" w:cs="Times New Roman"/>
          <w:sz w:val="21"/>
          <w:szCs w:val="21"/>
        </w:rPr>
        <w:t>"</w:t>
      </w:r>
      <w:r w:rsidRPr="00E10347">
        <w:rPr>
          <w:rFonts w:ascii="Palatino Linotype" w:hAnsi="Palatino Linotype" w:cs="Times New Roman"/>
          <w:sz w:val="21"/>
          <w:szCs w:val="21"/>
          <w:lang w:eastAsia="es-CR"/>
        </w:rPr>
        <w:t>Inobservancia de las reglas previstas en este C</w:t>
      </w:r>
      <w:r w:rsidR="008A0E38">
        <w:rPr>
          <w:rFonts w:ascii="Palatino Linotype" w:hAnsi="Palatino Linotype" w:cs="Times New Roman"/>
          <w:sz w:val="21"/>
          <w:szCs w:val="21"/>
          <w:lang w:eastAsia="es-CR"/>
        </w:rPr>
        <w:t xml:space="preserve">ódigo para la deliberación, el </w:t>
      </w:r>
      <w:r w:rsidRPr="00E10347">
        <w:rPr>
          <w:rFonts w:ascii="Palatino Linotype" w:hAnsi="Palatino Linotype" w:cs="Times New Roman"/>
          <w:sz w:val="21"/>
          <w:szCs w:val="21"/>
          <w:lang w:eastAsia="es-CR"/>
        </w:rPr>
        <w:t>plazo de dictado de la sentencia o la redacción del fallo en sus elementos esenciales"  137.1.g del Código Procesal Contencioso Administrativo</w:t>
      </w:r>
    </w:p>
    <w:p w:rsidR="008A0E38" w:rsidRDefault="008A0E38" w:rsidP="00E10347">
      <w:pPr>
        <w:pStyle w:val="NormalWeb"/>
        <w:shd w:val="clear" w:color="auto" w:fill="FFFFFF"/>
        <w:spacing w:before="0" w:beforeAutospacing="0" w:after="0" w:afterAutospacing="0"/>
        <w:jc w:val="both"/>
        <w:rPr>
          <w:rFonts w:ascii="Palatino Linotype" w:hAnsi="Palatino Linotype"/>
          <w:b/>
          <w:sz w:val="21"/>
          <w:szCs w:val="21"/>
        </w:rPr>
      </w:pPr>
    </w:p>
    <w:p w:rsidR="002014CA" w:rsidRPr="00E10347" w:rsidRDefault="002014CA" w:rsidP="00E10347">
      <w:pPr>
        <w:pStyle w:val="NormalWeb"/>
        <w:shd w:val="clear" w:color="auto" w:fill="FFFFFF"/>
        <w:spacing w:before="0" w:beforeAutospacing="0" w:after="0" w:afterAutospacing="0"/>
        <w:jc w:val="both"/>
        <w:rPr>
          <w:rFonts w:ascii="Palatino Linotype" w:hAnsi="Palatino Linotype"/>
          <w:b/>
          <w:sz w:val="21"/>
          <w:szCs w:val="21"/>
        </w:rPr>
      </w:pPr>
      <w:r w:rsidRPr="00E10347">
        <w:rPr>
          <w:rFonts w:ascii="Palatino Linotype" w:hAnsi="Palatino Linotype"/>
          <w:b/>
          <w:sz w:val="21"/>
          <w:szCs w:val="21"/>
        </w:rPr>
        <w:lastRenderedPageBreak/>
        <w:t xml:space="preserve">11.  (sigue).  Pecados contra las causales de  Casación por infracción de las normas de fondo en el Sistema de la Oralidad. Peligro del regreso al Sistema de la Escritura por la inclusión de esas causales.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El Nuevo Código Procesal Civil en el mismo numeral 69.2  establece las causales de Casación por infracción de las normas de fondo.  </w:t>
      </w:r>
    </w:p>
    <w:p w:rsidR="002014CA" w:rsidRPr="00E10347" w:rsidRDefault="002014CA" w:rsidP="008A0E38">
      <w:pPr>
        <w:pStyle w:val="Sinespaciado"/>
        <w:ind w:firstLine="708"/>
        <w:jc w:val="both"/>
        <w:rPr>
          <w:rFonts w:ascii="Palatino Linotype" w:hAnsi="Palatino Linotype" w:cs="Times New Roman"/>
          <w:sz w:val="21"/>
          <w:szCs w:val="21"/>
          <w:lang w:val="es-MX"/>
        </w:rPr>
      </w:pPr>
      <w:r w:rsidRPr="00E10347">
        <w:rPr>
          <w:rFonts w:ascii="Palatino Linotype" w:hAnsi="Palatino Linotype" w:cs="Times New Roman"/>
          <w:sz w:val="21"/>
          <w:szCs w:val="21"/>
        </w:rPr>
        <w:t>"</w:t>
      </w:r>
      <w:r w:rsidRPr="00E10347">
        <w:rPr>
          <w:rFonts w:ascii="Palatino Linotype" w:hAnsi="Palatino Linotype" w:cs="Times New Roman"/>
          <w:sz w:val="21"/>
          <w:szCs w:val="21"/>
          <w:lang w:val="es-MX"/>
        </w:rPr>
        <w:t>Procederá el recurso de casación por razones de fondo, cuando se funde en:</w:t>
      </w:r>
    </w:p>
    <w:p w:rsidR="002014CA" w:rsidRPr="00E10347" w:rsidRDefault="002014CA" w:rsidP="008A0E38">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lang w:val="es-MX"/>
        </w:rPr>
        <w:t xml:space="preserve">a)  </w:t>
      </w:r>
      <w:r w:rsidRPr="00E10347">
        <w:rPr>
          <w:rFonts w:ascii="Palatino Linotype" w:hAnsi="Palatino Linotype" w:cs="Times New Roman"/>
          <w:sz w:val="21"/>
          <w:szCs w:val="21"/>
        </w:rPr>
        <w:t>Violación de las normas sustantivas aplicables al caso concreto. Esta causal comprende la infracción a las normas legales sobre valoración de la prueba y error en la interpretación de la prueba.</w:t>
      </w:r>
    </w:p>
    <w:p w:rsidR="002014CA" w:rsidRPr="00E10347" w:rsidRDefault="002014CA" w:rsidP="008A0E38">
      <w:pPr>
        <w:pStyle w:val="Sinespaciado"/>
        <w:jc w:val="both"/>
        <w:rPr>
          <w:rFonts w:ascii="Palatino Linotype" w:hAnsi="Palatino Linotype" w:cs="Times New Roman"/>
          <w:sz w:val="21"/>
          <w:szCs w:val="21"/>
          <w:lang w:val="es-MX"/>
        </w:rPr>
      </w:pPr>
      <w:r w:rsidRPr="00E10347">
        <w:rPr>
          <w:rFonts w:ascii="Palatino Linotype" w:hAnsi="Palatino Linotype" w:cs="Times New Roman"/>
          <w:sz w:val="21"/>
          <w:szCs w:val="21"/>
        </w:rPr>
        <w:t xml:space="preserve">b) </w:t>
      </w:r>
      <w:r w:rsidRPr="00E10347">
        <w:rPr>
          <w:rFonts w:ascii="Palatino Linotype" w:hAnsi="Palatino Linotype" w:cs="Times New Roman"/>
          <w:sz w:val="21"/>
          <w:szCs w:val="21"/>
          <w:lang w:val="es-MX"/>
        </w:rPr>
        <w:t>Quebranto de la cosa juzgada, siempre que se haya alegado oportunamente esa excepción".</w:t>
      </w:r>
    </w:p>
    <w:p w:rsidR="002014CA" w:rsidRPr="008A0E38"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8A0E38">
        <w:rPr>
          <w:rFonts w:ascii="Palatino Linotype" w:hAnsi="Palatino Linotype"/>
          <w:sz w:val="21"/>
          <w:szCs w:val="21"/>
          <w:lang w:val="es-MX"/>
        </w:rPr>
        <w:t>En su inciso a)</w:t>
      </w:r>
      <w:r w:rsidRPr="008A0E38">
        <w:rPr>
          <w:rFonts w:ascii="Palatino Linotype" w:hAnsi="Palatino Linotype"/>
          <w:sz w:val="21"/>
          <w:szCs w:val="21"/>
        </w:rPr>
        <w:t xml:space="preserve"> se comete uno de los errores más graves del Código en cuanto viola flagrantemente el Sistema de la Oralidad al introducir la misma figura de la violación directa e indirecta de las normas de fondo, previstas en el Código Procesal Contencioso Administrativo y el Código Procesal Civil, ambas para el Sistema procesal de la Escritura.</w:t>
      </w:r>
    </w:p>
    <w:p w:rsidR="002014CA" w:rsidRPr="00E10347" w:rsidRDefault="002014CA" w:rsidP="008A0E38">
      <w:pPr>
        <w:pStyle w:val="NormalWeb"/>
        <w:shd w:val="clear" w:color="auto" w:fill="FFFFFF"/>
        <w:spacing w:before="0" w:beforeAutospacing="0" w:after="0" w:afterAutospacing="0"/>
        <w:ind w:left="850" w:right="850" w:firstLine="709"/>
        <w:jc w:val="center"/>
        <w:rPr>
          <w:rFonts w:ascii="Palatino Linotype" w:hAnsi="Palatino Linotype"/>
          <w:b/>
          <w:sz w:val="21"/>
          <w:szCs w:val="21"/>
        </w:rPr>
      </w:pPr>
      <w:r w:rsidRPr="00E10347">
        <w:rPr>
          <w:rFonts w:ascii="Palatino Linotype" w:hAnsi="Palatino Linotype"/>
          <w:b/>
          <w:sz w:val="21"/>
          <w:szCs w:val="21"/>
        </w:rPr>
        <w:t>CÓDIGO PROCESAL CIVIL</w:t>
      </w:r>
    </w:p>
    <w:p w:rsidR="002014CA" w:rsidRPr="00E10347" w:rsidRDefault="002014CA" w:rsidP="008A0E38">
      <w:pPr>
        <w:ind w:left="850" w:right="850" w:firstLine="709"/>
        <w:jc w:val="both"/>
        <w:rPr>
          <w:rFonts w:ascii="Palatino Linotype" w:hAnsi="Palatino Linotype" w:cs="Times New Roman"/>
          <w:b/>
          <w:sz w:val="21"/>
          <w:szCs w:val="21"/>
        </w:rPr>
      </w:pPr>
      <w:r w:rsidRPr="00E10347">
        <w:rPr>
          <w:rFonts w:ascii="Palatino Linotype" w:hAnsi="Palatino Linotype" w:cs="Times New Roman"/>
          <w:b/>
          <w:sz w:val="21"/>
          <w:szCs w:val="21"/>
        </w:rPr>
        <w:t>Artículo 595.- Casación por razones de fondo.</w:t>
      </w:r>
    </w:p>
    <w:p w:rsidR="002014CA" w:rsidRPr="00E10347" w:rsidRDefault="002014CA" w:rsidP="008A0E38">
      <w:pPr>
        <w:ind w:left="850" w:right="850" w:firstLine="709"/>
        <w:jc w:val="both"/>
        <w:rPr>
          <w:rFonts w:ascii="Palatino Linotype" w:hAnsi="Palatino Linotype" w:cs="Times New Roman"/>
          <w:sz w:val="21"/>
          <w:szCs w:val="21"/>
        </w:rPr>
      </w:pPr>
      <w:r w:rsidRPr="00E10347">
        <w:rPr>
          <w:rFonts w:ascii="Palatino Linotype" w:hAnsi="Palatino Linotype" w:cs="Times New Roman"/>
          <w:sz w:val="21"/>
          <w:szCs w:val="21"/>
        </w:rPr>
        <w:tab/>
        <w:t>Procederá en cuanto al fondo:</w:t>
      </w:r>
    </w:p>
    <w:p w:rsidR="002014CA" w:rsidRPr="00E10347" w:rsidRDefault="002014CA" w:rsidP="008A0E38">
      <w:pPr>
        <w:ind w:left="850" w:right="850" w:firstLine="709"/>
        <w:jc w:val="both"/>
        <w:rPr>
          <w:rFonts w:ascii="Palatino Linotype" w:hAnsi="Palatino Linotype" w:cs="Times New Roman"/>
          <w:sz w:val="21"/>
          <w:szCs w:val="21"/>
        </w:rPr>
      </w:pPr>
      <w:r w:rsidRPr="00E10347">
        <w:rPr>
          <w:rFonts w:ascii="Palatino Linotype" w:hAnsi="Palatino Linotype" w:cs="Times New Roman"/>
          <w:b/>
          <w:sz w:val="21"/>
          <w:szCs w:val="21"/>
        </w:rPr>
        <w:t xml:space="preserve">1) </w:t>
      </w:r>
      <w:r w:rsidRPr="00E10347">
        <w:rPr>
          <w:rFonts w:ascii="Palatino Linotype" w:hAnsi="Palatino Linotype" w:cs="Times New Roman"/>
          <w:sz w:val="21"/>
          <w:szCs w:val="21"/>
        </w:rPr>
        <w:t>Cuando el fallo contenga violación de leyes.</w:t>
      </w:r>
    </w:p>
    <w:p w:rsidR="002014CA" w:rsidRPr="00E10347" w:rsidRDefault="002014CA" w:rsidP="008A0E38">
      <w:pPr>
        <w:ind w:left="850" w:right="850" w:firstLine="709"/>
        <w:jc w:val="both"/>
        <w:rPr>
          <w:rFonts w:ascii="Palatino Linotype" w:hAnsi="Palatino Linotype" w:cs="Times New Roman"/>
          <w:sz w:val="21"/>
          <w:szCs w:val="21"/>
        </w:rPr>
      </w:pPr>
      <w:r w:rsidRPr="00E10347">
        <w:rPr>
          <w:rFonts w:ascii="Palatino Linotype" w:hAnsi="Palatino Linotype" w:cs="Times New Roman"/>
          <w:b/>
          <w:sz w:val="21"/>
          <w:szCs w:val="21"/>
        </w:rPr>
        <w:t xml:space="preserve">2) </w:t>
      </w:r>
      <w:r w:rsidRPr="00E10347">
        <w:rPr>
          <w:rFonts w:ascii="Palatino Linotype" w:hAnsi="Palatino Linotype" w:cs="Times New Roman"/>
          <w:sz w:val="21"/>
          <w:szCs w:val="21"/>
        </w:rPr>
        <w:t>Cuando el fallo sea contrario a la cosa juzgada, siempre que se haya alegado oportunamente esta excepción en el proceso.</w:t>
      </w:r>
    </w:p>
    <w:p w:rsidR="002014CA" w:rsidRPr="00E10347" w:rsidRDefault="002014CA" w:rsidP="008A0E38">
      <w:pPr>
        <w:ind w:left="850" w:right="850" w:firstLine="709"/>
        <w:jc w:val="both"/>
        <w:rPr>
          <w:rFonts w:ascii="Palatino Linotype" w:hAnsi="Palatino Linotype" w:cs="Times New Roman"/>
          <w:sz w:val="21"/>
          <w:szCs w:val="21"/>
        </w:rPr>
      </w:pPr>
      <w:r w:rsidRPr="00E10347">
        <w:rPr>
          <w:rFonts w:ascii="Palatino Linotype" w:hAnsi="Palatino Linotype" w:cs="Times New Roman"/>
          <w:b/>
          <w:sz w:val="21"/>
          <w:szCs w:val="21"/>
        </w:rPr>
        <w:t xml:space="preserve">3) </w:t>
      </w:r>
      <w:r w:rsidRPr="00E10347">
        <w:rPr>
          <w:rFonts w:ascii="Palatino Linotype" w:hAnsi="Palatino Linotype" w:cs="Times New Roman"/>
          <w:sz w:val="21"/>
          <w:szCs w:val="21"/>
        </w:rPr>
        <w:t>Cuando en la apreciación de las pruebas haya habido error de derecho, con infracción de las leyes relativas al valor de los elementos probatorios apreciados erróneamente, o cuando en la apreciación de las pruebas haya habido error de hecho, si éste resulta de pruebas constantes en el proceso y es evidente la equivocación del juez. En caso de error de hecho, no será necesario indicar el precepto legal infringido, concerniente al valor del elemento probatorio mal apreciado.  Pero al reclamarse cualquiera de esos dos errores, el de derecho y el de hecho, será indispensable indicar también las leyes que, en cuanto al fondo, resultan infringidas como consecuencia de los errores de apreciación reclamados.</w:t>
      </w:r>
    </w:p>
    <w:p w:rsidR="002014CA" w:rsidRPr="00E10347" w:rsidRDefault="002014CA" w:rsidP="008A0E38">
      <w:pPr>
        <w:pStyle w:val="NormalWeb"/>
        <w:shd w:val="clear" w:color="auto" w:fill="FFFFFF"/>
        <w:spacing w:before="0" w:beforeAutospacing="0" w:after="0" w:afterAutospacing="0"/>
        <w:ind w:left="850" w:right="850" w:firstLine="709"/>
        <w:jc w:val="center"/>
        <w:rPr>
          <w:rFonts w:ascii="Palatino Linotype" w:hAnsi="Palatino Linotype"/>
          <w:b/>
          <w:sz w:val="21"/>
          <w:szCs w:val="21"/>
        </w:rPr>
      </w:pPr>
      <w:r w:rsidRPr="00E10347">
        <w:rPr>
          <w:rFonts w:ascii="Palatino Linotype" w:hAnsi="Palatino Linotype"/>
          <w:b/>
          <w:sz w:val="21"/>
          <w:szCs w:val="21"/>
        </w:rPr>
        <w:lastRenderedPageBreak/>
        <w:t>CÓDIGO PROCESAL CONTENCIOSO ADMINISTRATIVO</w:t>
      </w:r>
    </w:p>
    <w:p w:rsidR="002014CA" w:rsidRPr="00E10347" w:rsidRDefault="002014CA" w:rsidP="008A0E38">
      <w:pPr>
        <w:pStyle w:val="Sinespaciado"/>
        <w:ind w:left="850" w:right="850" w:firstLine="709"/>
        <w:jc w:val="both"/>
        <w:rPr>
          <w:rFonts w:ascii="Palatino Linotype" w:hAnsi="Palatino Linotype" w:cs="Times New Roman"/>
          <w:sz w:val="21"/>
          <w:szCs w:val="21"/>
          <w:lang w:eastAsia="es-CR"/>
        </w:rPr>
      </w:pPr>
      <w:r w:rsidRPr="00E10347">
        <w:rPr>
          <w:rFonts w:ascii="Palatino Linotype" w:hAnsi="Palatino Linotype" w:cs="Times New Roman"/>
          <w:b/>
          <w:bCs/>
          <w:sz w:val="21"/>
          <w:szCs w:val="21"/>
          <w:lang w:eastAsia="es-CR"/>
        </w:rPr>
        <w:t>Artículo 138.- </w:t>
      </w:r>
      <w:r w:rsidRPr="00E10347">
        <w:rPr>
          <w:rFonts w:ascii="Palatino Linotype" w:hAnsi="Palatino Linotype" w:cs="Times New Roman"/>
          <w:sz w:val="21"/>
          <w:szCs w:val="21"/>
          <w:lang w:eastAsia="es-CR"/>
        </w:rPr>
        <w:t>También procederá el recurso de casación por violación de normas sustantivas del ordenamiento jurídico, en los siguientes casos:</w:t>
      </w:r>
    </w:p>
    <w:p w:rsidR="002014CA" w:rsidRPr="00E10347" w:rsidRDefault="002014CA" w:rsidP="008A0E38">
      <w:pPr>
        <w:pStyle w:val="Sinespaciado"/>
        <w:ind w:left="850" w:right="850" w:firstLine="709"/>
        <w:jc w:val="both"/>
        <w:rPr>
          <w:rFonts w:ascii="Palatino Linotype" w:hAnsi="Palatino Linotype" w:cs="Times New Roman"/>
          <w:sz w:val="21"/>
          <w:szCs w:val="21"/>
          <w:lang w:eastAsia="es-CR"/>
        </w:rPr>
      </w:pPr>
      <w:r w:rsidRPr="00E10347">
        <w:rPr>
          <w:rFonts w:ascii="Palatino Linotype" w:hAnsi="Palatino Linotype" w:cs="Times New Roman"/>
          <w:b/>
          <w:bCs/>
          <w:sz w:val="21"/>
          <w:szCs w:val="21"/>
          <w:lang w:eastAsia="es-CR"/>
        </w:rPr>
        <w:t>a)</w:t>
      </w:r>
      <w:r w:rsidRPr="00E10347">
        <w:rPr>
          <w:rFonts w:ascii="Palatino Linotype" w:hAnsi="Palatino Linotype" w:cs="Times New Roman"/>
          <w:sz w:val="21"/>
          <w:szCs w:val="21"/>
          <w:lang w:eastAsia="es-CR"/>
        </w:rPr>
        <w:t> Cuando se atribuya a la prueba una indebida valoración o se haya preterido.</w:t>
      </w:r>
    </w:p>
    <w:p w:rsidR="002014CA" w:rsidRPr="00E10347" w:rsidRDefault="002014CA" w:rsidP="008A0E38">
      <w:pPr>
        <w:pStyle w:val="Sinespaciado"/>
        <w:ind w:left="850" w:right="850" w:firstLine="709"/>
        <w:jc w:val="both"/>
        <w:rPr>
          <w:rFonts w:ascii="Palatino Linotype" w:hAnsi="Palatino Linotype" w:cs="Times New Roman"/>
          <w:sz w:val="21"/>
          <w:szCs w:val="21"/>
          <w:lang w:eastAsia="es-CR"/>
        </w:rPr>
      </w:pPr>
      <w:r w:rsidRPr="00E10347">
        <w:rPr>
          <w:rFonts w:ascii="Palatino Linotype" w:hAnsi="Palatino Linotype" w:cs="Times New Roman"/>
          <w:b/>
          <w:bCs/>
          <w:sz w:val="21"/>
          <w:szCs w:val="21"/>
          <w:lang w:eastAsia="es-CR"/>
        </w:rPr>
        <w:t>b)</w:t>
      </w:r>
      <w:r w:rsidRPr="00E10347">
        <w:rPr>
          <w:rFonts w:ascii="Palatino Linotype" w:hAnsi="Palatino Linotype" w:cs="Times New Roman"/>
          <w:sz w:val="21"/>
          <w:szCs w:val="21"/>
          <w:lang w:eastAsia="es-CR"/>
        </w:rPr>
        <w:t> Cuando se tengan por demostrados o indemostrados hechos en contradicción con la prueba que consta en el proceso.</w:t>
      </w:r>
    </w:p>
    <w:p w:rsidR="002014CA" w:rsidRPr="00E10347" w:rsidRDefault="002014CA" w:rsidP="008A0E38">
      <w:pPr>
        <w:pStyle w:val="Sinespaciado"/>
        <w:ind w:left="850" w:right="850" w:firstLine="709"/>
        <w:jc w:val="both"/>
        <w:rPr>
          <w:rFonts w:ascii="Palatino Linotype" w:hAnsi="Palatino Linotype" w:cs="Times New Roman"/>
          <w:sz w:val="21"/>
          <w:szCs w:val="21"/>
          <w:lang w:eastAsia="es-CR"/>
        </w:rPr>
      </w:pPr>
      <w:r w:rsidRPr="00E10347">
        <w:rPr>
          <w:rFonts w:ascii="Palatino Linotype" w:hAnsi="Palatino Linotype" w:cs="Times New Roman"/>
          <w:b/>
          <w:bCs/>
          <w:sz w:val="21"/>
          <w:szCs w:val="21"/>
          <w:lang w:eastAsia="es-CR"/>
        </w:rPr>
        <w:t>c)</w:t>
      </w:r>
      <w:r w:rsidRPr="00E10347">
        <w:rPr>
          <w:rFonts w:ascii="Palatino Linotype" w:hAnsi="Palatino Linotype" w:cs="Times New Roman"/>
          <w:sz w:val="21"/>
          <w:szCs w:val="21"/>
          <w:lang w:eastAsia="es-CR"/>
        </w:rPr>
        <w:t> Cuando se haya aplicado o interpretado indebidamente una norma jurídica o se haya dejado de aplicar.</w:t>
      </w:r>
    </w:p>
    <w:p w:rsidR="002014CA" w:rsidRPr="00E10347" w:rsidRDefault="002014CA" w:rsidP="008A0E38">
      <w:pPr>
        <w:ind w:left="850" w:right="850" w:firstLine="709"/>
        <w:jc w:val="both"/>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b/>
          <w:bCs/>
          <w:sz w:val="21"/>
          <w:szCs w:val="21"/>
          <w:lang w:eastAsia="es-CR"/>
        </w:rPr>
        <w:t>d)</w:t>
      </w:r>
      <w:r w:rsidRPr="00E10347">
        <w:rPr>
          <w:rFonts w:ascii="Palatino Linotype" w:eastAsia="Times New Roman" w:hAnsi="Palatino Linotype" w:cs="Times New Roman"/>
          <w:sz w:val="21"/>
          <w:szCs w:val="21"/>
          <w:lang w:eastAsia="es-CR"/>
        </w:rPr>
        <w:t> Cuando la sentencia viole las normas o los principios del Derecho constitucional, entre otros, la razonabilidad, proporcionalidad, seguridad jurídica e igualdad.</w:t>
      </w:r>
    </w:p>
    <w:p w:rsidR="002014CA" w:rsidRPr="00E10347" w:rsidRDefault="002014CA" w:rsidP="008A0E38">
      <w:pPr>
        <w:pStyle w:val="NormalWeb"/>
        <w:shd w:val="clear" w:color="auto" w:fill="FFFFFF"/>
        <w:spacing w:before="0" w:beforeAutospacing="0" w:after="0" w:afterAutospacing="0"/>
        <w:ind w:left="850" w:right="850" w:firstLine="709"/>
        <w:jc w:val="both"/>
        <w:rPr>
          <w:rFonts w:ascii="Palatino Linotype" w:hAnsi="Palatino Linotype"/>
          <w:sz w:val="21"/>
          <w:szCs w:val="21"/>
        </w:rPr>
      </w:pPr>
      <w:r w:rsidRPr="00E10347">
        <w:rPr>
          <w:rFonts w:ascii="Palatino Linotype" w:hAnsi="Palatino Linotype"/>
          <w:sz w:val="21"/>
          <w:szCs w:val="21"/>
        </w:rPr>
        <w:t>Ello no ocurre con el Modelo del Código Procesal General, cuyo estudio profundo de la Casación oral en varios ordenamientos e incluso en la doctrina y jurisprudencia del Derecho Procesal Penal condujo a la imperativa conclusión   de que no estando los Magistrados de Casación en el desarrollo de la etapa de juicio, específicamente en la recepción de pruebas, como siempre se ha dicho, la Casación no puede pronunciarse sobre el tema probatorio, por más grabación o video,  como si logra comprenderlo en el Sistema de la Escritura al consagrarse en el expediente  el elemento probatorio susceptible de ser leído.</w:t>
      </w:r>
    </w:p>
    <w:p w:rsidR="002014CA" w:rsidRPr="00E10347" w:rsidRDefault="002014CA" w:rsidP="008A0E38">
      <w:pPr>
        <w:pStyle w:val="Sinespaciado"/>
        <w:ind w:left="850" w:right="850" w:firstLine="709"/>
        <w:jc w:val="center"/>
        <w:rPr>
          <w:rFonts w:ascii="Palatino Linotype" w:hAnsi="Palatino Linotype" w:cs="Times New Roman"/>
          <w:b/>
          <w:sz w:val="21"/>
          <w:szCs w:val="21"/>
        </w:rPr>
      </w:pPr>
      <w:r w:rsidRPr="00E10347">
        <w:rPr>
          <w:rFonts w:ascii="Palatino Linotype" w:hAnsi="Palatino Linotype" w:cs="Times New Roman"/>
          <w:b/>
          <w:sz w:val="21"/>
          <w:szCs w:val="21"/>
        </w:rPr>
        <w:t xml:space="preserve">CÓDIGO PROCESAL GENERAL </w:t>
      </w:r>
    </w:p>
    <w:p w:rsidR="002014CA" w:rsidRPr="00E10347" w:rsidRDefault="002014CA" w:rsidP="008A0E38">
      <w:pPr>
        <w:pStyle w:val="Sinespaciado"/>
        <w:ind w:left="850" w:right="850"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53.4  Por razones de fondo.  Procederá por: </w:t>
      </w:r>
    </w:p>
    <w:p w:rsidR="002014CA" w:rsidRPr="00E10347" w:rsidRDefault="002014CA" w:rsidP="008A0E38">
      <w:pPr>
        <w:pStyle w:val="Sinespaciado"/>
        <w:ind w:left="850" w:right="850" w:firstLine="709"/>
        <w:jc w:val="both"/>
        <w:rPr>
          <w:rFonts w:ascii="Palatino Linotype" w:hAnsi="Palatino Linotype" w:cs="Times New Roman"/>
          <w:sz w:val="21"/>
          <w:szCs w:val="21"/>
        </w:rPr>
      </w:pPr>
      <w:r w:rsidRPr="00E10347">
        <w:rPr>
          <w:rFonts w:ascii="Palatino Linotype" w:hAnsi="Palatino Linotype" w:cs="Times New Roman"/>
          <w:sz w:val="21"/>
          <w:szCs w:val="21"/>
        </w:rPr>
        <w:t>a)</w:t>
      </w:r>
      <w:r w:rsidRPr="00E10347">
        <w:rPr>
          <w:rFonts w:ascii="Palatino Linotype" w:hAnsi="Palatino Linotype" w:cs="Times New Roman"/>
          <w:sz w:val="21"/>
          <w:szCs w:val="21"/>
        </w:rPr>
        <w:tab/>
        <w:t>Violación de cualquiera de las fuentes del Derecho de la disciplina aplicables al caso concreto.</w:t>
      </w:r>
    </w:p>
    <w:p w:rsidR="002014CA" w:rsidRPr="00E10347" w:rsidRDefault="002014CA" w:rsidP="008A0E38">
      <w:pPr>
        <w:pStyle w:val="Sinespaciado"/>
        <w:ind w:left="850" w:right="850" w:firstLine="709"/>
        <w:jc w:val="both"/>
        <w:rPr>
          <w:rFonts w:ascii="Palatino Linotype" w:hAnsi="Palatino Linotype" w:cs="Times New Roman"/>
          <w:sz w:val="21"/>
          <w:szCs w:val="21"/>
        </w:rPr>
      </w:pPr>
      <w:r w:rsidRPr="00E10347">
        <w:rPr>
          <w:rFonts w:ascii="Palatino Linotype" w:hAnsi="Palatino Linotype" w:cs="Times New Roman"/>
          <w:sz w:val="21"/>
          <w:szCs w:val="21"/>
        </w:rPr>
        <w:t>b)</w:t>
      </w:r>
      <w:r w:rsidRPr="00E10347">
        <w:rPr>
          <w:rFonts w:ascii="Palatino Linotype" w:hAnsi="Palatino Linotype" w:cs="Times New Roman"/>
          <w:sz w:val="21"/>
          <w:szCs w:val="21"/>
        </w:rPr>
        <w:tab/>
        <w:t>Contradicción con la cosa juzgada, solo si hubiere sido alegado oportunamente como excepción.</w:t>
      </w:r>
    </w:p>
    <w:p w:rsidR="002014CA" w:rsidRPr="00E10347" w:rsidRDefault="002014CA" w:rsidP="00E10347">
      <w:pPr>
        <w:ind w:firstLine="709"/>
        <w:jc w:val="both"/>
        <w:rPr>
          <w:rFonts w:ascii="Palatino Linotype" w:eastAsia="Times New Roman" w:hAnsi="Palatino Linotype" w:cs="Times New Roman"/>
          <w:sz w:val="21"/>
          <w:szCs w:val="21"/>
          <w:lang w:eastAsia="es-CR"/>
        </w:rPr>
      </w:pPr>
      <w:r w:rsidRPr="00E10347">
        <w:rPr>
          <w:rFonts w:ascii="Palatino Linotype" w:hAnsi="Palatino Linotype" w:cs="Times New Roman"/>
          <w:sz w:val="21"/>
          <w:szCs w:val="21"/>
        </w:rPr>
        <w:t xml:space="preserve">Aquí </w:t>
      </w:r>
      <w:r w:rsidRPr="00E10347">
        <w:rPr>
          <w:rFonts w:ascii="Palatino Linotype" w:eastAsia="Times New Roman" w:hAnsi="Palatino Linotype" w:cs="Times New Roman"/>
          <w:sz w:val="21"/>
          <w:szCs w:val="21"/>
          <w:lang w:eastAsia="es-CR"/>
        </w:rPr>
        <w:t xml:space="preserve">se está presentado una de las disyuntivas más indeterminables, de toda la historia del Derecho Procesal, en cuanto va a corresponder a una Sala de Casación históricamente encargada de conocer y resolver recursos de casación en el Sistema de la Escritura, no así en el de la oralidad, cuya distinción, conocimiento y dominio requiere de años de cultura en la oralidad y en sus fallos al más alto nivel </w:t>
      </w:r>
      <w:r w:rsidRPr="00E10347">
        <w:rPr>
          <w:rFonts w:ascii="Palatino Linotype" w:eastAsia="Times New Roman" w:hAnsi="Palatino Linotype" w:cs="Times New Roman"/>
          <w:sz w:val="21"/>
          <w:szCs w:val="21"/>
          <w:lang w:eastAsia="es-CR"/>
        </w:rPr>
        <w:lastRenderedPageBreak/>
        <w:t>del sistema judicial.</w:t>
      </w:r>
    </w:p>
    <w:p w:rsidR="002014CA" w:rsidRPr="00E10347" w:rsidRDefault="002014CA" w:rsidP="00E10347">
      <w:pPr>
        <w:ind w:firstLine="709"/>
        <w:jc w:val="both"/>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No puede quedar en tela de duda la reacción de los recursos planteados cuando se presentan dos opciones para ello:  con fundamento en la escritura o con fundamento en la oralidad.</w:t>
      </w:r>
    </w:p>
    <w:p w:rsidR="002014CA" w:rsidRPr="00E10347" w:rsidRDefault="002014CA" w:rsidP="00E10347">
      <w:pPr>
        <w:ind w:firstLine="709"/>
        <w:jc w:val="both"/>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 xml:space="preserve">A)  El Recurso de Casación dentro del Sistema de la Escritura ha sido concebido desde muy antaño.  Es el conocido, o presuntamente conocido, por Magistrados y Abogados recurrentes de esa Sala.  </w:t>
      </w:r>
    </w:p>
    <w:p w:rsidR="002014CA" w:rsidRPr="00E10347" w:rsidRDefault="002014CA" w:rsidP="00E10347">
      <w:pPr>
        <w:ind w:firstLine="709"/>
        <w:jc w:val="both"/>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 xml:space="preserve">Es decir acusar a la sentencia de incurrir en el vicio de </w:t>
      </w:r>
      <w:r w:rsidRPr="00E10347">
        <w:rPr>
          <w:rFonts w:ascii="Palatino Linotype" w:eastAsia="Times New Roman" w:hAnsi="Palatino Linotype" w:cs="Times New Roman"/>
          <w:b/>
          <w:sz w:val="21"/>
          <w:szCs w:val="21"/>
          <w:lang w:eastAsia="es-CR"/>
        </w:rPr>
        <w:t>violación directa</w:t>
      </w:r>
      <w:r w:rsidRPr="00E10347">
        <w:rPr>
          <w:rFonts w:ascii="Palatino Linotype" w:eastAsia="Times New Roman" w:hAnsi="Palatino Linotype" w:cs="Times New Roman"/>
          <w:sz w:val="21"/>
          <w:szCs w:val="21"/>
          <w:lang w:eastAsia="es-CR"/>
        </w:rPr>
        <w:t xml:space="preserve"> o infracción de normas específicas del ordenamiento jurídico (por falta de aplicación, por errónea interpretación de las normas, la aplicación indebida de otras normas, con señalamiento de las aplicables debidamente aplicables)  aceptando el cuadro fáctico tal como se encuentra en el fallo combatido.</w:t>
      </w:r>
    </w:p>
    <w:p w:rsidR="002014CA" w:rsidRPr="00E10347" w:rsidRDefault="002014CA" w:rsidP="00E10347">
      <w:pPr>
        <w:ind w:firstLine="709"/>
        <w:jc w:val="both"/>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 xml:space="preserve">Diferente es cuando se endilga a la sentencia recurrida por violentar </w:t>
      </w:r>
      <w:r w:rsidRPr="00E10347">
        <w:rPr>
          <w:rFonts w:ascii="Palatino Linotype" w:eastAsia="Times New Roman" w:hAnsi="Palatino Linotype" w:cs="Times New Roman"/>
          <w:b/>
          <w:sz w:val="21"/>
          <w:szCs w:val="21"/>
          <w:lang w:eastAsia="es-CR"/>
        </w:rPr>
        <w:t>en forma indirecta</w:t>
      </w:r>
      <w:r w:rsidRPr="00E10347">
        <w:rPr>
          <w:rFonts w:ascii="Palatino Linotype" w:eastAsia="Times New Roman" w:hAnsi="Palatino Linotype" w:cs="Times New Roman"/>
          <w:sz w:val="21"/>
          <w:szCs w:val="21"/>
          <w:lang w:eastAsia="es-CR"/>
        </w:rPr>
        <w:t xml:space="preserve"> las normas de fondo. Principalmente se debe cambiar el cuadro fáctico de la sentencia e indicar las normas de fondo conculcadas.   En esta hipótesis se deberán combatir los elementos probatorios, con la debida indicación de cuáles pruebas fueron violadas, sea por error o por preterición, indicando a su vez cuáles de las pruebas debieron ser consideradas para conformar el nuevo cuadro fáctico.</w:t>
      </w:r>
    </w:p>
    <w:p w:rsidR="002014CA" w:rsidRPr="00E10347" w:rsidRDefault="002014CA" w:rsidP="00E10347">
      <w:pPr>
        <w:ind w:firstLine="709"/>
        <w:jc w:val="both"/>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El Código con esa redacción exime al recurrente de señalar las normas de prueba infringidas, sea por aplicación indebida o falta de aplicación (igual, como ocurre en la escritura hasta señalando el folio donde se encuentran las normas procesales violentadas), como también las normas de fondo en un recurso imposible de resolver.</w:t>
      </w:r>
    </w:p>
    <w:p w:rsidR="002014CA" w:rsidRPr="00E10347" w:rsidRDefault="002014CA" w:rsidP="00E10347">
      <w:pPr>
        <w:pStyle w:val="Sinespaciado"/>
        <w:ind w:firstLine="709"/>
        <w:jc w:val="both"/>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B)  La segunda por medio de la violación de normas procesales invocando causales conducentes a la anulación del fallo, con reenvío al mismo Tribunal sentenciador, pero conformado por otros jueces, con causales como las siguientes dispuestas para el fin indicado:</w:t>
      </w:r>
    </w:p>
    <w:p w:rsidR="002014CA" w:rsidRPr="00E10347" w:rsidRDefault="002014CA" w:rsidP="00E10347">
      <w:pPr>
        <w:pStyle w:val="Sinespaciado"/>
        <w:ind w:firstLine="709"/>
        <w:jc w:val="both"/>
        <w:rPr>
          <w:rFonts w:ascii="Palatino Linotype" w:hAnsi="Palatino Linotype" w:cs="Times New Roman"/>
          <w:sz w:val="21"/>
          <w:szCs w:val="21"/>
          <w:lang w:val="es-MX"/>
        </w:rPr>
      </w:pPr>
      <w:r w:rsidRPr="00E10347">
        <w:rPr>
          <w:rFonts w:ascii="Palatino Linotype" w:eastAsia="Times New Roman" w:hAnsi="Palatino Linotype" w:cs="Times New Roman"/>
          <w:sz w:val="21"/>
          <w:szCs w:val="21"/>
          <w:lang w:eastAsia="es-CR"/>
        </w:rPr>
        <w:t xml:space="preserve">1.  </w:t>
      </w:r>
      <w:r w:rsidRPr="00E10347">
        <w:rPr>
          <w:rFonts w:ascii="Palatino Linotype" w:hAnsi="Palatino Linotype" w:cs="Times New Roman"/>
          <w:sz w:val="21"/>
          <w:szCs w:val="21"/>
          <w:lang w:val="es-MX"/>
        </w:rPr>
        <w:t>"</w:t>
      </w:r>
      <w:r w:rsidRPr="00E10347">
        <w:rPr>
          <w:rFonts w:ascii="Palatino Linotype" w:hAnsi="Palatino Linotype" w:cs="Times New Roman"/>
          <w:sz w:val="21"/>
          <w:szCs w:val="21"/>
        </w:rPr>
        <w:t xml:space="preserve">Falta de determinación clara y precisa, en la sentencia, de los hechos acreditados por el tribunal o haberse fundado en medios probatorios ilegítimos o introducidos ilegalmente al proceso"  </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lang w:val="es-MX"/>
        </w:rPr>
        <w:t>2.  "</w:t>
      </w:r>
      <w:r w:rsidRPr="00E10347">
        <w:rPr>
          <w:rFonts w:ascii="Palatino Linotype" w:hAnsi="Palatino Linotype" w:cs="Times New Roman"/>
          <w:sz w:val="21"/>
          <w:szCs w:val="21"/>
        </w:rPr>
        <w:t>Violación de las normas que entrañen vicio de nulidad absoluta y las mismas fueren esenciales, o cuando se cause indefensión, se incumpla con el debido proceso o el contradictorio, o en cualquier forma se sigan principios procesales incompatibles. En todo caso debe haberse producido indefensión y el vicio no fue saneado o convalidado"  53.3.a)  Código Procesal General</w:t>
      </w:r>
    </w:p>
    <w:p w:rsidR="002014CA" w:rsidRPr="00E10347" w:rsidRDefault="002014CA" w:rsidP="00E10347">
      <w:pPr>
        <w:pStyle w:val="Sinespaciado"/>
        <w:ind w:firstLine="709"/>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3.  "Falta, insuficiencia o contradicción grave en la fundamentación"</w:t>
      </w:r>
    </w:p>
    <w:p w:rsidR="002014CA" w:rsidRPr="00E10347" w:rsidRDefault="002014CA" w:rsidP="00E10347">
      <w:pPr>
        <w:ind w:firstLine="709"/>
        <w:jc w:val="both"/>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C)  No es de extrañarse que posiblemente muchos recurrentes podrán optar por el viejo sistema de la escritura compuesta por la violación de la ley tanto directa como indirectamente, ahora desprovisto de la técnica necesaria para la identificación correcta de las pruebas infringidas y cuáles deben ser admitidas para cambiar el cuadro fáctico.</w:t>
      </w:r>
    </w:p>
    <w:p w:rsidR="002014CA" w:rsidRPr="00E10347" w:rsidRDefault="002014CA" w:rsidP="00E10347">
      <w:pPr>
        <w:ind w:firstLine="709"/>
        <w:jc w:val="both"/>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 xml:space="preserve">Y es muy probable un primer intento de los Magistrados para resolverlos con ese planteamiento algunos de los recursos interpuestos.  Pero es de prever, si se sigue ese errado camino, más pronto que tarde deberá surgir un replanteamiento de la Sala porque esos recursos escritos para juicios orales son imposibles de resolver.  Porque los Magistrados, se supone, son juristas y no magos, porque si la sentencia del Tribunal incurre en el vicio de nulidad absoluta si no estuvieren los tres jueces juzgadores durante todo el proceso para poder dictar la sentencia.  </w:t>
      </w:r>
    </w:p>
    <w:p w:rsidR="002014CA" w:rsidRPr="00E10347" w:rsidRDefault="002014CA" w:rsidP="00E10347">
      <w:pPr>
        <w:ind w:firstLine="709"/>
        <w:jc w:val="both"/>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Entonces, con mayor razón incurriría la Sala en el vicio de nulidad absoluta al resolver un recurso de casación porque ninguno de los Magistrados podía estar, ni estuvo, ni en ningún caso la Sala podría disponer que sus magistrados se turnen en asistir a los juicios porque, con justa razón, serían recusables.</w:t>
      </w:r>
    </w:p>
    <w:p w:rsidR="002014CA" w:rsidRPr="00E10347" w:rsidRDefault="002014CA" w:rsidP="00E10347">
      <w:pPr>
        <w:ind w:firstLine="709"/>
        <w:jc w:val="both"/>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Ni con los mejores medios telemáticos o informáticos podría la Sala adquirir un conocimiento, ni siquiera lejísimo, de lo acontecido durante el proceso.  Por una razón muy sencilla:  la Sala careció de la inmediatez necesaria.</w:t>
      </w:r>
    </w:p>
    <w:p w:rsidR="002014CA" w:rsidRPr="00E10347" w:rsidRDefault="002014CA" w:rsidP="00E10347">
      <w:pPr>
        <w:ind w:firstLine="709"/>
        <w:jc w:val="both"/>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Por las circunstancias apuntadas va a ser necesario urgentemente en este tema, y en todos los anteriores promover una Ley de Reformas al Nuevo Código Procesal Civil, preferiblemente con procesalistas de profundo conocimiento del Sistema de la Oralidad para recomponer los institutos mencionados así como muchos otros más.</w:t>
      </w:r>
    </w:p>
    <w:p w:rsidR="008A0E38" w:rsidRDefault="008A0E38" w:rsidP="00E10347">
      <w:pPr>
        <w:pStyle w:val="Textoindependiente"/>
        <w:tabs>
          <w:tab w:val="left" w:pos="2726"/>
        </w:tabs>
        <w:spacing w:after="0"/>
        <w:ind w:firstLine="709"/>
        <w:jc w:val="both"/>
        <w:rPr>
          <w:rFonts w:ascii="Palatino Linotype" w:hAnsi="Palatino Linotype" w:cs="Times New Roman"/>
          <w:b/>
          <w:sz w:val="21"/>
          <w:szCs w:val="21"/>
        </w:rPr>
      </w:pPr>
    </w:p>
    <w:p w:rsidR="002014CA" w:rsidRPr="00E10347" w:rsidRDefault="002014CA" w:rsidP="00E10347">
      <w:pPr>
        <w:pStyle w:val="Textoindependiente"/>
        <w:tabs>
          <w:tab w:val="left" w:pos="2726"/>
        </w:tabs>
        <w:spacing w:after="0"/>
        <w:ind w:firstLine="709"/>
        <w:jc w:val="both"/>
        <w:rPr>
          <w:rFonts w:ascii="Palatino Linotype" w:hAnsi="Palatino Linotype" w:cs="Times New Roman"/>
          <w:b/>
          <w:bCs/>
          <w:sz w:val="21"/>
          <w:szCs w:val="21"/>
        </w:rPr>
      </w:pPr>
      <w:r w:rsidRPr="00E10347">
        <w:rPr>
          <w:rFonts w:ascii="Palatino Linotype" w:hAnsi="Palatino Linotype" w:cs="Times New Roman"/>
          <w:b/>
          <w:sz w:val="21"/>
          <w:szCs w:val="21"/>
        </w:rPr>
        <w:t xml:space="preserve">12.  (sigue).  El pecado de la falta de comprensión sobre la organización de Tribunales.  Porque el cambio de sistema y mentalidad obliga a tener claridad de la forma como serán tramitados los diferentes tipos de procesos, por medio de los jueces en  funciones disímiles, en un sistema organizativo eficiente, de fácil acceso a ´las partes y los jueces, transparente.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El Código contiene muchísimas normas referidas a los órganos judiciales referidas en muchas normas aisladas y siempre los identifica como "Tribunal", "Tribunales Superiores", "Tribunales de segunda instancia" omitiendo la referencia al Juez individual. Porque el Juez es la clave del funcionamiento del sistema.  Ello </w:t>
      </w:r>
      <w:r w:rsidRPr="00E10347">
        <w:rPr>
          <w:rFonts w:ascii="Palatino Linotype" w:hAnsi="Palatino Linotype"/>
          <w:sz w:val="21"/>
          <w:szCs w:val="21"/>
        </w:rPr>
        <w:lastRenderedPageBreak/>
        <w:t>comenzó a sugerir una falta de comprensión del sistema de organización de Tribunales, tan absolutamente necesario como conducir la barca del proceso transitando por ríos, canales y océanos.</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Esta intuición infundada se corroboró con el análisis de algunos temas introducidas por los Jueces de la escritura, totalmente contradictorios con el Modelo Oral.</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Esto lo pudieron comprender con solo un acercamiento al funcionamiento del Tribunal Contencioso Administrativo, al que nunca visitaron según testimonio de aquellos jueces como también del Presidente de la Comisión.</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En esta sede no hay muchísimos Tribunales, hay un único Tribunal, conformado por Jueces con muy diferentes funciones.</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Para explicarlo en forma muy sencilla existe un conjunto de jueces encargados de la tramitación de la audiencia preliminar, estos son jueces tramitadores del Tribunal, otros son jueces de la audiencia complementaria o de juicio, conformado por varios Tribunales Colegiados del Tribunal Contencioso, para casos mu calificados existen las secciones del Tribunal de Apelaciones del Tribunal Contencioso, e igualmente existen el Tribunal de Casación, colegiado, del Tribunal contencioso para ciertas causales y desde luego es órgano superior del sistema la Sala Primera de la Corte Suprema de Justicia.</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Separadamente se encuentran, en otros tantos, Jueces de Ejecución del Tribunal Contencioso quienes conocen de esta etapa del proceso, sin ulterior recurso, así como los Jueces Conciliadores.</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Naturalmente se ha descrito un único Tribunal ubicado en San José.  Y a ello podrían reprochar los redactores que en materia civil y comercial deberán existir más de un tribunal.  Eso es cierto.</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La solución sería fundar un solo Tribunal para cada  Circuito Judicial. Con un único Tribunal de Casación con sede en San José. Ahí todos los jueces encontrarán cobijo como en el sistema de comentario, debiendo eliminar la idea equivocada del Código Procesal Civil y Comercial de calificar a todos los Jueces como Superiores.</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En San José se ubicarían un Tribunal de Casación para los recursos dispuestos con una determinada competencia y desde luego un Tribunal Superior encargado de conocer en segunda instancia  para los procesos especiales , incluso con varias secciones si ello es necesario.</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lastRenderedPageBreak/>
        <w:t>Y la misma solución se podría adoptar para las demás especializaciones jurisdiccionales.  Por ejemplo en Agrario.  Se nombrará un único Tribunal de Casación, y hasta un Tribunal de Apelaciones, ubicados ambos en San José, con las secciones necesarias según el circulante.</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Para los ordinarios, o procesos por audiencias, se actuaría en la forma antes descrita en  las sedes judiciales donde existan juzgados agrarios.  Así habrían, por ejemplo, uno único para cada uno de los siguientes lugares: Liberia, Limón, Guápiles, San Carlos, donde en los ordinarios se dictan ambas audiencias, y con movilización de Jueces cuando sea necesario para las audiencias complementarios a las siguiente sedes:  Alajuela y San Ramón, Cartago y Turrialba, Santa Cruz y Nicoya, Corredores y Puntarenas.</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En los procesos especiales, también por audiencias, se pueden dictar por cada una de las sedes actualmente existentes.</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b/>
          <w:sz w:val="21"/>
          <w:szCs w:val="21"/>
        </w:rPr>
        <w:t>De la lectura del Código no queda clara la forma como están organizados los Tribunales</w:t>
      </w:r>
      <w:r w:rsidRPr="00E10347">
        <w:rPr>
          <w:rFonts w:ascii="Palatino Linotype" w:hAnsi="Palatino Linotype"/>
          <w:sz w:val="21"/>
          <w:szCs w:val="21"/>
        </w:rPr>
        <w:t>.  Esto es un craso error.  ¿Sería necesaria otra Ley o la Corte Plena le deberá aprobar un sistema de organización de Tribunales?</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 xml:space="preserve">El Código Procesal Civil y Comercial comete un error de bulto, como reconocimiento a su desconocimiento del sistema de la oralidad por audiencias dentro de un sistema oral cuando introduce el tema de la cuantía, su discusión, todo ello para introducir la división tradicional entre Procesos de Mayor Cuantía y los de Menor Cuantía, cuando eso jamás se mencionó en el modelo.  Y si se omitió no fue por un descuido fue para abandonar la Justicia para Ricos de la Justicia para Pobres. </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r w:rsidRPr="00E10347">
        <w:rPr>
          <w:rFonts w:ascii="Palatino Linotype" w:hAnsi="Palatino Linotype"/>
          <w:sz w:val="21"/>
          <w:szCs w:val="21"/>
        </w:rPr>
        <w:t>El cambio de sistema obliga a tener claridad de la forma como serán tramitados los diferentes tipos de procesos.  Y evidentemente en el Código de comentario es evidente la falta de reflexión y análisis, o al menos preguntarse (o preguntar) por qué se eliminó la cuantía.  Porque evidentemente detrás de ese cambio hay toda una filosofía y una ideología para el trato de los justiciables.</w:t>
      </w:r>
    </w:p>
    <w:p w:rsidR="00F35C2F"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sectPr w:rsidR="00F35C2F" w:rsidSect="00FC1DF6">
          <w:type w:val="oddPage"/>
          <w:pgSz w:w="12240" w:h="15840" w:code="1"/>
          <w:pgMar w:top="1667" w:right="851" w:bottom="4253" w:left="3686" w:header="1021" w:footer="3005" w:gutter="0"/>
          <w:cols w:space="708"/>
          <w:titlePg/>
          <w:docGrid w:linePitch="360"/>
        </w:sectPr>
      </w:pPr>
      <w:r w:rsidRPr="00E10347">
        <w:rPr>
          <w:rFonts w:ascii="Palatino Linotype" w:hAnsi="Palatino Linotype"/>
          <w:sz w:val="21"/>
          <w:szCs w:val="21"/>
        </w:rPr>
        <w:t>Este pecado podría calificarse como imperdonable!</w:t>
      </w:r>
    </w:p>
    <w:p w:rsidR="002014CA" w:rsidRPr="00E10347" w:rsidRDefault="002014CA" w:rsidP="00E10347">
      <w:pPr>
        <w:pStyle w:val="NormalWeb"/>
        <w:shd w:val="clear" w:color="auto" w:fill="FFFFFF"/>
        <w:spacing w:before="0" w:beforeAutospacing="0" w:after="0" w:afterAutospacing="0"/>
        <w:ind w:firstLine="709"/>
        <w:jc w:val="both"/>
        <w:rPr>
          <w:rFonts w:ascii="Palatino Linotype" w:hAnsi="Palatino Linotype"/>
          <w:sz w:val="21"/>
          <w:szCs w:val="21"/>
        </w:rPr>
      </w:pPr>
    </w:p>
    <w:p w:rsidR="002014CA" w:rsidRPr="00E10347" w:rsidRDefault="002014CA" w:rsidP="00E10347">
      <w:pPr>
        <w:ind w:firstLine="709"/>
        <w:jc w:val="center"/>
        <w:rPr>
          <w:rFonts w:ascii="Palatino Linotype" w:hAnsi="Palatino Linotype"/>
          <w:b/>
          <w:sz w:val="21"/>
          <w:szCs w:val="21"/>
        </w:rPr>
      </w:pPr>
      <w:bookmarkStart w:id="16" w:name="_Hlk479196191"/>
      <w:r w:rsidRPr="00E10347">
        <w:rPr>
          <w:rFonts w:ascii="Palatino Linotype" w:hAnsi="Palatino Linotype"/>
          <w:b/>
          <w:sz w:val="21"/>
          <w:szCs w:val="21"/>
        </w:rPr>
        <w:t>La prueba pericial en la experiencia estadounidense</w:t>
      </w:r>
    </w:p>
    <w:p w:rsidR="002014CA" w:rsidRPr="00E10347" w:rsidRDefault="002014CA" w:rsidP="00E10347">
      <w:pPr>
        <w:ind w:firstLine="709"/>
        <w:jc w:val="center"/>
        <w:rPr>
          <w:rFonts w:ascii="Palatino Linotype" w:hAnsi="Palatino Linotype"/>
          <w:b/>
          <w:sz w:val="21"/>
          <w:szCs w:val="21"/>
        </w:rPr>
      </w:pPr>
      <w:r w:rsidRPr="00E10347">
        <w:rPr>
          <w:rFonts w:ascii="Palatino Linotype" w:hAnsi="Palatino Linotype"/>
          <w:b/>
          <w:sz w:val="21"/>
          <w:szCs w:val="21"/>
        </w:rPr>
        <w:t>El caso Daubert</w:t>
      </w:r>
    </w:p>
    <w:p w:rsidR="002014CA" w:rsidRPr="00E10347" w:rsidRDefault="002014CA" w:rsidP="00E10347">
      <w:pPr>
        <w:ind w:firstLine="709"/>
        <w:rPr>
          <w:rFonts w:ascii="Palatino Linotype" w:hAnsi="Palatino Linotype"/>
          <w:sz w:val="21"/>
          <w:szCs w:val="21"/>
        </w:rPr>
      </w:pPr>
    </w:p>
    <w:p w:rsidR="002014CA" w:rsidRDefault="002014CA" w:rsidP="00E10347">
      <w:pPr>
        <w:ind w:left="4248" w:firstLine="709"/>
        <w:jc w:val="both"/>
        <w:rPr>
          <w:rFonts w:ascii="Palatino Linotype" w:hAnsi="Palatino Linotype"/>
          <w:sz w:val="21"/>
          <w:szCs w:val="21"/>
        </w:rPr>
      </w:pPr>
      <w:r w:rsidRPr="00E10347">
        <w:rPr>
          <w:rFonts w:ascii="Palatino Linotype" w:hAnsi="Palatino Linotype"/>
          <w:sz w:val="21"/>
          <w:szCs w:val="21"/>
        </w:rPr>
        <w:t>Carmen Vázquez</w:t>
      </w:r>
      <w:bookmarkEnd w:id="16"/>
      <w:r w:rsidRPr="00E10347">
        <w:rPr>
          <w:rStyle w:val="Refdenotaalpie"/>
          <w:rFonts w:ascii="Palatino Linotype" w:hAnsi="Palatino Linotype"/>
          <w:sz w:val="21"/>
          <w:szCs w:val="21"/>
        </w:rPr>
        <w:footnoteReference w:customMarkFollows="1" w:id="79"/>
        <w:t>*</w:t>
      </w:r>
      <w:r w:rsidRPr="00E10347">
        <w:rPr>
          <w:rFonts w:ascii="Palatino Linotype" w:hAnsi="Palatino Linotype"/>
          <w:sz w:val="21"/>
          <w:szCs w:val="21"/>
        </w:rPr>
        <w:t xml:space="preserve"> </w:t>
      </w:r>
    </w:p>
    <w:p w:rsidR="008A0E38" w:rsidRDefault="008A0E38" w:rsidP="008A0E38">
      <w:pPr>
        <w:jc w:val="both"/>
        <w:rPr>
          <w:rFonts w:ascii="Palatino Linotype" w:hAnsi="Palatino Linotype"/>
          <w:sz w:val="21"/>
          <w:szCs w:val="21"/>
        </w:rPr>
      </w:pPr>
    </w:p>
    <w:p w:rsidR="008A0E38" w:rsidRDefault="008A0E38" w:rsidP="008A0E38">
      <w:pPr>
        <w:jc w:val="both"/>
        <w:rPr>
          <w:rFonts w:ascii="Palatino Linotype" w:hAnsi="Palatino Linotype"/>
          <w:sz w:val="21"/>
          <w:szCs w:val="21"/>
          <w:lang w:val="es-CR"/>
        </w:rPr>
      </w:pPr>
      <w:r w:rsidRPr="00D1279A">
        <w:rPr>
          <w:rFonts w:ascii="Palatino Linotype" w:hAnsi="Palatino Linotype"/>
          <w:bCs/>
          <w:sz w:val="21"/>
          <w:szCs w:val="21"/>
        </w:rPr>
        <w:t xml:space="preserve">SUMARIO: </w:t>
      </w:r>
      <w:r w:rsidRPr="00D1279A">
        <w:rPr>
          <w:rFonts w:ascii="Palatino Linotype" w:hAnsi="Palatino Linotype"/>
          <w:sz w:val="21"/>
          <w:szCs w:val="21"/>
        </w:rPr>
        <w:t xml:space="preserve">Resumen.  Abstract.  1.- Algunas cuestiones del sistema estadounidense.  2.- La aceptación general en el área relevante: el caso </w:t>
      </w:r>
      <w:r w:rsidRPr="00D1279A">
        <w:rPr>
          <w:rFonts w:ascii="Palatino Linotype" w:hAnsi="Palatino Linotype"/>
          <w:i/>
          <w:sz w:val="21"/>
          <w:szCs w:val="21"/>
        </w:rPr>
        <w:t>Frye</w:t>
      </w:r>
      <w:r w:rsidRPr="00D1279A">
        <w:rPr>
          <w:rFonts w:ascii="Palatino Linotype" w:hAnsi="Palatino Linotype"/>
          <w:sz w:val="21"/>
          <w:szCs w:val="21"/>
        </w:rPr>
        <w:t xml:space="preserve">.  3.- El caso Daubert.  4.- Los factores Daubert.  5.- La filosofía de la ciencia en Daubert.  6.- Las publicaciones y la evaluación por pares.  7.- El rango de error.  </w:t>
      </w:r>
      <w:r w:rsidRPr="00D1279A">
        <w:rPr>
          <w:rFonts w:ascii="Palatino Linotype" w:eastAsia="MS PGothic" w:hAnsi="Palatino Linotype"/>
          <w:sz w:val="21"/>
          <w:szCs w:val="21"/>
          <w:lang w:val="es-ES_tradnl" w:eastAsia="es-ES"/>
        </w:rPr>
        <w:t xml:space="preserve">8.- Admisibilidad y criterios de valoración de la prueba pericial.  9. Conclusiones.  </w:t>
      </w:r>
      <w:r w:rsidRPr="00D1279A">
        <w:rPr>
          <w:rFonts w:ascii="Palatino Linotype" w:hAnsi="Palatino Linotype"/>
          <w:sz w:val="21"/>
          <w:szCs w:val="21"/>
          <w:lang w:val="es-CR"/>
        </w:rPr>
        <w:t>Bibliografía.</w:t>
      </w:r>
    </w:p>
    <w:p w:rsidR="008A0E38" w:rsidRDefault="008A0E38" w:rsidP="008A0E38">
      <w:pPr>
        <w:jc w:val="both"/>
        <w:rPr>
          <w:rFonts w:ascii="Palatino Linotype" w:hAnsi="Palatino Linotype"/>
          <w:sz w:val="21"/>
          <w:szCs w:val="21"/>
          <w:lang w:val="es-CR"/>
        </w:rPr>
      </w:pP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Resumen</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Este artículo aborda el caso Daubert, hito en la valoración judicial de las pruebas periciales. El objetivo fundamental es problematizar los criterios brindados en éste por la Corte Suprema Estadounidense y analizar su aplicabilidad en otros sistemas jurídicos.</w:t>
      </w:r>
    </w:p>
    <w:p w:rsidR="002014CA" w:rsidRPr="00E10347" w:rsidRDefault="002014CA" w:rsidP="00E10347">
      <w:pPr>
        <w:jc w:val="both"/>
        <w:rPr>
          <w:rFonts w:ascii="Palatino Linotype" w:hAnsi="Palatino Linotype"/>
          <w:b/>
          <w:sz w:val="21"/>
          <w:szCs w:val="21"/>
          <w:lang w:val="en-US"/>
        </w:rPr>
      </w:pPr>
      <w:r w:rsidRPr="00E10347">
        <w:rPr>
          <w:rFonts w:ascii="Palatino Linotype" w:hAnsi="Palatino Linotype"/>
          <w:b/>
          <w:sz w:val="21"/>
          <w:szCs w:val="21"/>
          <w:lang w:val="en-US"/>
        </w:rPr>
        <w:t xml:space="preserve">Abstract </w:t>
      </w:r>
    </w:p>
    <w:p w:rsidR="002014CA" w:rsidRPr="00E10347" w:rsidRDefault="002014CA" w:rsidP="00E10347">
      <w:pPr>
        <w:ind w:firstLine="709"/>
        <w:jc w:val="both"/>
        <w:rPr>
          <w:rFonts w:ascii="Palatino Linotype" w:hAnsi="Palatino Linotype"/>
          <w:sz w:val="21"/>
          <w:szCs w:val="21"/>
          <w:lang w:val="en-US"/>
        </w:rPr>
      </w:pPr>
      <w:r w:rsidRPr="00E10347">
        <w:rPr>
          <w:rFonts w:ascii="Palatino Linotype" w:hAnsi="Palatino Linotype"/>
          <w:sz w:val="21"/>
          <w:szCs w:val="21"/>
          <w:lang w:val="en-US"/>
        </w:rPr>
        <w:t xml:space="preserve">This paper is about the landmark Daubert case. Its aim is to challenge every one of the criteria ruled by the Supreme Court of United States and analyse their applicability in other legal systems.  </w:t>
      </w:r>
    </w:p>
    <w:p w:rsidR="002014CA" w:rsidRPr="00E10347" w:rsidRDefault="002014CA" w:rsidP="00E10347">
      <w:pPr>
        <w:rPr>
          <w:rFonts w:ascii="Palatino Linotype" w:hAnsi="Palatino Linotype"/>
          <w:b/>
          <w:sz w:val="21"/>
          <w:szCs w:val="21"/>
        </w:rPr>
      </w:pPr>
      <w:r w:rsidRPr="00E10347">
        <w:rPr>
          <w:rFonts w:ascii="Palatino Linotype" w:hAnsi="Palatino Linotype"/>
          <w:b/>
          <w:sz w:val="21"/>
          <w:szCs w:val="21"/>
        </w:rPr>
        <w:t xml:space="preserve">1.- Algunas cuestiones del sistema estadounidense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En la valoración judicial de la prueba pericial, el sistema estadounidense se ha convertido en un referente obligatorio dado su amplio tratamiento jurisprudencial y doctrinal en el tema.</w:t>
      </w:r>
      <w:r w:rsidRPr="00E10347">
        <w:rPr>
          <w:rStyle w:val="Refdenotaalpie"/>
          <w:rFonts w:ascii="Palatino Linotype" w:hAnsi="Palatino Linotype"/>
          <w:sz w:val="21"/>
          <w:szCs w:val="21"/>
        </w:rPr>
        <w:footnoteReference w:id="80"/>
      </w:r>
      <w:r w:rsidRPr="00E10347">
        <w:rPr>
          <w:rFonts w:ascii="Palatino Linotype" w:hAnsi="Palatino Linotype"/>
          <w:sz w:val="21"/>
          <w:szCs w:val="21"/>
        </w:rPr>
        <w:t xml:space="preserve"> Debe advertirse desde el primer momento, sin embargo, que dadas las características de éste sistema, tales esfuerzos se han concentrado en la etapa de admisión de dichos elementos probatorios y </w:t>
      </w:r>
      <w:r w:rsidRPr="00E10347">
        <w:rPr>
          <w:rFonts w:ascii="Palatino Linotype" w:hAnsi="Palatino Linotype"/>
          <w:sz w:val="21"/>
          <w:szCs w:val="21"/>
        </w:rPr>
        <w:lastRenderedPageBreak/>
        <w:t xml:space="preserve">específicamente en las pruebas periciales presentadas por las partes.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La concentración en la etapa de admisión se debe a que generalmente en EEUU el proceso judicial se desarrolla ante dos órganos con características, facultades y obligaciones diversas: el </w:t>
      </w:r>
      <w:r w:rsidRPr="00E10347">
        <w:rPr>
          <w:rFonts w:ascii="Palatino Linotype" w:hAnsi="Palatino Linotype"/>
          <w:i/>
          <w:sz w:val="21"/>
          <w:szCs w:val="21"/>
        </w:rPr>
        <w:t>trial judge</w:t>
      </w:r>
      <w:r w:rsidRPr="00E10347">
        <w:rPr>
          <w:rFonts w:ascii="Palatino Linotype" w:hAnsi="Palatino Linotype"/>
          <w:sz w:val="21"/>
          <w:szCs w:val="21"/>
        </w:rPr>
        <w:t xml:space="preserve"> (en adelante, juez de la causa) y el</w:t>
      </w:r>
      <w:r w:rsidRPr="00E10347">
        <w:rPr>
          <w:rFonts w:ascii="Palatino Linotype" w:hAnsi="Palatino Linotype"/>
          <w:i/>
          <w:sz w:val="21"/>
          <w:szCs w:val="21"/>
        </w:rPr>
        <w:t xml:space="preserve"> trier of fact</w:t>
      </w:r>
      <w:r w:rsidRPr="00E10347">
        <w:rPr>
          <w:rFonts w:ascii="Palatino Linotype" w:hAnsi="Palatino Linotype"/>
          <w:sz w:val="21"/>
          <w:szCs w:val="21"/>
        </w:rPr>
        <w:t xml:space="preserve"> (el jurado)</w:t>
      </w:r>
      <w:r w:rsidRPr="00E10347">
        <w:rPr>
          <w:rStyle w:val="Refdenotaalpie"/>
          <w:rFonts w:ascii="Palatino Linotype" w:hAnsi="Palatino Linotype"/>
          <w:sz w:val="21"/>
          <w:szCs w:val="21"/>
        </w:rPr>
        <w:footnoteReference w:id="81"/>
      </w:r>
      <w:r w:rsidRPr="00E10347">
        <w:rPr>
          <w:rFonts w:ascii="Palatino Linotype" w:hAnsi="Palatino Linotype"/>
          <w:sz w:val="21"/>
          <w:szCs w:val="21"/>
        </w:rPr>
        <w:t>. El primero, es un juez profesional con una discrecionalidad relativamente amplia para decidir las llamadas cuestiones de derecho, entre las que se encuentra la admisibilidad de las pruebas a partir de las disposiciones procesales correspondientes; el segundo, es un órgano colegiado, lego y pasivo, que decide únicamente las cuestiones fácticas.</w:t>
      </w:r>
      <w:r w:rsidRPr="00E10347">
        <w:rPr>
          <w:rStyle w:val="Refdenotaalpie"/>
          <w:rFonts w:ascii="Palatino Linotype" w:hAnsi="Palatino Linotype"/>
          <w:sz w:val="21"/>
          <w:szCs w:val="21"/>
        </w:rPr>
        <w:footnoteReference w:id="82"/>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Por otro lado, que la discusión se centre en el perito de parte es al menos parcialmente explicable porque el tema se ha desarrollado fundamentalmente en el proceso civil, considerado como paradigma del modelo adversarial que empodera a las partes para presentar la información que crean adecuada para sostener su hipótesis (</w:t>
      </w:r>
      <w:r w:rsidRPr="00E10347">
        <w:rPr>
          <w:rFonts w:ascii="Palatino Linotype" w:hAnsi="Palatino Linotype"/>
          <w:i/>
          <w:sz w:val="21"/>
          <w:szCs w:val="21"/>
        </w:rPr>
        <w:t>make their case</w:t>
      </w:r>
      <w:r w:rsidRPr="00E10347">
        <w:rPr>
          <w:rFonts w:ascii="Palatino Linotype" w:hAnsi="Palatino Linotype"/>
          <w:sz w:val="21"/>
          <w:szCs w:val="21"/>
        </w:rPr>
        <w:t>)</w:t>
      </w:r>
      <w:r w:rsidRPr="00E10347">
        <w:rPr>
          <w:rStyle w:val="Refdenotaalpie"/>
          <w:rFonts w:ascii="Palatino Linotype" w:hAnsi="Palatino Linotype"/>
          <w:sz w:val="21"/>
          <w:szCs w:val="21"/>
        </w:rPr>
        <w:footnoteReference w:id="83"/>
      </w:r>
      <w:r w:rsidRPr="00E10347">
        <w:rPr>
          <w:rFonts w:ascii="Palatino Linotype" w:hAnsi="Palatino Linotype"/>
          <w:sz w:val="21"/>
          <w:szCs w:val="21"/>
        </w:rPr>
        <w:t xml:space="preserve"> y con la cual se tomará la decisión. Quizá también aquí valga la pena advertir que, a diferencia de nuestros sistemas, muchas veces los procesos civiles estadounidenses son dirigidos contra grandes empresas, por ello, al estar en juego miles de millones de dólares, las pruebas presentadas y la discusión generada, se corresponde con ello.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Ahora bien, con independencia de las características particulares del sistema estadounidense, la cuestión básica abordada no es parroquial, pues se trata de la </w:t>
      </w:r>
      <w:r w:rsidRPr="00E10347">
        <w:rPr>
          <w:rFonts w:ascii="Palatino Linotype" w:hAnsi="Palatino Linotype"/>
          <w:sz w:val="21"/>
          <w:szCs w:val="21"/>
        </w:rPr>
        <w:lastRenderedPageBreak/>
        <w:t xml:space="preserve">valoración judicial de las pruebas periciales de parte. Para ello, el sistema estadounidense se ha enfocado en la fiabilidad de las afirmaciones periciales, obligando a las partes a mostrar no </w:t>
      </w:r>
      <w:r w:rsidR="002A76CC">
        <w:rPr>
          <w:rFonts w:ascii="Palatino Linotype" w:hAnsi="Palatino Linotype"/>
          <w:sz w:val="21"/>
          <w:szCs w:val="21"/>
        </w:rPr>
        <w:t xml:space="preserve">solo </w:t>
      </w:r>
      <w:r w:rsidRPr="00E10347">
        <w:rPr>
          <w:rFonts w:ascii="Palatino Linotype" w:hAnsi="Palatino Linotype"/>
          <w:sz w:val="21"/>
          <w:szCs w:val="21"/>
        </w:rPr>
        <w:t>la relevancia de tales pruebas sino también a brindar información sobre la fiabilidad.</w:t>
      </w:r>
      <w:r w:rsidRPr="00E10347">
        <w:rPr>
          <w:rStyle w:val="Refdenotaalpie"/>
          <w:rFonts w:ascii="Palatino Linotype" w:hAnsi="Palatino Linotype"/>
          <w:sz w:val="21"/>
          <w:szCs w:val="21"/>
        </w:rPr>
        <w:t xml:space="preserve"> </w:t>
      </w:r>
      <w:r w:rsidRPr="00E10347">
        <w:rPr>
          <w:rStyle w:val="Refdenotaalpie"/>
          <w:rFonts w:ascii="Palatino Linotype" w:hAnsi="Palatino Linotype"/>
          <w:sz w:val="21"/>
          <w:szCs w:val="21"/>
        </w:rPr>
        <w:footnoteReference w:id="84"/>
      </w:r>
      <w:r w:rsidRPr="00E10347">
        <w:rPr>
          <w:rFonts w:ascii="Palatino Linotype" w:hAnsi="Palatino Linotype"/>
          <w:sz w:val="21"/>
          <w:szCs w:val="21"/>
        </w:rPr>
        <w:t xml:space="preserve">  Y aquí, obviamente, cobra suma importancia la discusión sobre qué se entiende por “fiabilidad” que es, precisamente, el hilo conductor del caso que aquí se analizará, Daubert v. Merrell Dow Pharmaceuticals Inc.  </w:t>
      </w:r>
    </w:p>
    <w:p w:rsidR="002014CA" w:rsidRPr="00E10347" w:rsidRDefault="002014CA" w:rsidP="00E10347">
      <w:pPr>
        <w:ind w:firstLine="709"/>
        <w:jc w:val="both"/>
        <w:rPr>
          <w:rFonts w:ascii="Palatino Linotype" w:hAnsi="Palatino Linotype"/>
          <w:i/>
          <w:sz w:val="21"/>
          <w:szCs w:val="21"/>
        </w:rPr>
      </w:pPr>
      <w:r w:rsidRPr="00E10347">
        <w:rPr>
          <w:rFonts w:ascii="Palatino Linotype" w:hAnsi="Palatino Linotype"/>
          <w:sz w:val="21"/>
          <w:szCs w:val="21"/>
        </w:rPr>
        <w:t xml:space="preserve">Sin lugar a dudas, el caso </w:t>
      </w:r>
      <w:r w:rsidRPr="00E10347">
        <w:rPr>
          <w:rFonts w:ascii="Palatino Linotype" w:hAnsi="Palatino Linotype"/>
          <w:i/>
          <w:sz w:val="21"/>
          <w:szCs w:val="21"/>
        </w:rPr>
        <w:t>Daubert</w:t>
      </w:r>
      <w:r w:rsidRPr="00E10347">
        <w:rPr>
          <w:rFonts w:ascii="Palatino Linotype" w:hAnsi="Palatino Linotype"/>
          <w:sz w:val="21"/>
          <w:szCs w:val="21"/>
        </w:rPr>
        <w:t xml:space="preserve"> no </w:t>
      </w:r>
      <w:r w:rsidR="002A76CC">
        <w:rPr>
          <w:rFonts w:ascii="Palatino Linotype" w:hAnsi="Palatino Linotype"/>
          <w:sz w:val="21"/>
          <w:szCs w:val="21"/>
        </w:rPr>
        <w:t xml:space="preserve">solo </w:t>
      </w:r>
      <w:r w:rsidRPr="00E10347">
        <w:rPr>
          <w:rFonts w:ascii="Palatino Linotype" w:hAnsi="Palatino Linotype"/>
          <w:sz w:val="21"/>
          <w:szCs w:val="21"/>
        </w:rPr>
        <w:t>ha marcado la agenda estadounidense en lo que respecta a la prueba pericial, sino también la de todo el mundo anglosajón y, al menos en los últimos años, ha llegado incluso a nuestro entorno a través de la legislación, la jurisprudencia o la doctrina.</w:t>
      </w:r>
      <w:r w:rsidRPr="00E10347">
        <w:rPr>
          <w:rStyle w:val="Refdenotaalpie"/>
          <w:rFonts w:ascii="Palatino Linotype" w:hAnsi="Palatino Linotype"/>
          <w:sz w:val="21"/>
          <w:szCs w:val="21"/>
        </w:rPr>
        <w:footnoteReference w:id="85"/>
      </w:r>
      <w:r w:rsidRPr="00E10347">
        <w:rPr>
          <w:rFonts w:ascii="Palatino Linotype" w:hAnsi="Palatino Linotype"/>
          <w:sz w:val="21"/>
          <w:szCs w:val="21"/>
        </w:rPr>
        <w:t xml:space="preserve"> Pero, como se verá, más allá de tal impacto, resulta un caso sumamente interesante por los planteamientos epistemológicos desarrollados por la Suprema Corte de Justicia estadounidense.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Ahora bien, el objetivo de este trabajo no </w:t>
      </w:r>
      <w:r w:rsidR="002A76CC">
        <w:rPr>
          <w:rFonts w:ascii="Palatino Linotype" w:hAnsi="Palatino Linotype"/>
          <w:sz w:val="21"/>
          <w:szCs w:val="21"/>
        </w:rPr>
        <w:t xml:space="preserve">solo </w:t>
      </w:r>
      <w:r w:rsidRPr="00E10347">
        <w:rPr>
          <w:rFonts w:ascii="Palatino Linotype" w:hAnsi="Palatino Linotype"/>
          <w:sz w:val="21"/>
          <w:szCs w:val="21"/>
        </w:rPr>
        <w:t>es contar la historia o describir la situación estadounidense, tampoco hacer un trabajo de análisis comparativo, o dilucidar cuál es mejor sistema, o sugerir una especie de “trasplante” jurídico, sino simplemente poner en la mesa de debate algunas cuestiones que pudieran ser útiles para el desarrollo de la prueba pericial en nuestros propios sistemas, enfatizando aquello que podríamos aprender y aquello que no sería aplicable en nuestra práctica. Para lograrlo, primero, es necesario empezar por el caso</w:t>
      </w:r>
      <w:r w:rsidRPr="00E10347">
        <w:rPr>
          <w:rFonts w:ascii="Palatino Linotype" w:hAnsi="Palatino Linotype"/>
          <w:i/>
          <w:sz w:val="21"/>
          <w:szCs w:val="21"/>
        </w:rPr>
        <w:t xml:space="preserve"> Frye</w:t>
      </w:r>
      <w:r w:rsidRPr="00E10347">
        <w:rPr>
          <w:rFonts w:ascii="Palatino Linotype" w:hAnsi="Palatino Linotype"/>
          <w:sz w:val="21"/>
          <w:szCs w:val="21"/>
        </w:rPr>
        <w:t xml:space="preserve">, un antecedente indispensable para la comprensión del contexto en que se decidió el caso </w:t>
      </w:r>
      <w:r w:rsidRPr="00E10347">
        <w:rPr>
          <w:rFonts w:ascii="Palatino Linotype" w:hAnsi="Palatino Linotype"/>
          <w:i/>
          <w:sz w:val="21"/>
          <w:szCs w:val="21"/>
        </w:rPr>
        <w:t xml:space="preserve">Daubert. </w:t>
      </w:r>
      <w:r w:rsidRPr="00E10347">
        <w:rPr>
          <w:rFonts w:ascii="Palatino Linotype" w:hAnsi="Palatino Linotype"/>
          <w:sz w:val="21"/>
          <w:szCs w:val="21"/>
        </w:rPr>
        <w:t xml:space="preserve"> </w:t>
      </w:r>
    </w:p>
    <w:p w:rsidR="009A5379" w:rsidRDefault="009A5379" w:rsidP="00E10347">
      <w:pPr>
        <w:rPr>
          <w:rFonts w:ascii="Palatino Linotype" w:hAnsi="Palatino Linotype"/>
          <w:b/>
          <w:sz w:val="21"/>
          <w:szCs w:val="21"/>
        </w:rPr>
      </w:pPr>
    </w:p>
    <w:p w:rsidR="002014CA" w:rsidRPr="00E10347" w:rsidRDefault="002014CA" w:rsidP="00E10347">
      <w:pPr>
        <w:rPr>
          <w:rFonts w:ascii="Palatino Linotype" w:hAnsi="Palatino Linotype"/>
          <w:b/>
          <w:sz w:val="21"/>
          <w:szCs w:val="21"/>
        </w:rPr>
      </w:pPr>
      <w:r w:rsidRPr="00E10347">
        <w:rPr>
          <w:rFonts w:ascii="Palatino Linotype" w:hAnsi="Palatino Linotype"/>
          <w:b/>
          <w:sz w:val="21"/>
          <w:szCs w:val="21"/>
        </w:rPr>
        <w:t xml:space="preserve">2.- La aceptación general en el área relevante: el caso </w:t>
      </w:r>
      <w:r w:rsidRPr="00E10347">
        <w:rPr>
          <w:rFonts w:ascii="Palatino Linotype" w:hAnsi="Palatino Linotype"/>
          <w:b/>
          <w:i/>
          <w:sz w:val="21"/>
          <w:szCs w:val="21"/>
        </w:rPr>
        <w:t>Frye</w:t>
      </w:r>
      <w:r w:rsidRPr="00E10347">
        <w:rPr>
          <w:rFonts w:ascii="Palatino Linotype" w:hAnsi="Palatino Linotype"/>
          <w:b/>
          <w:sz w:val="21"/>
          <w:szCs w:val="21"/>
        </w:rPr>
        <w:t xml:space="preserve">.  </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En primera instancia,</w:t>
      </w:r>
      <w:r w:rsidRPr="00E10347">
        <w:rPr>
          <w:rFonts w:ascii="Palatino Linotype" w:eastAsia="MS PGothic" w:hAnsi="Palatino Linotype"/>
          <w:i/>
          <w:sz w:val="21"/>
          <w:szCs w:val="21"/>
          <w:lang w:val="es-ES_tradnl" w:eastAsia="es-ES"/>
        </w:rPr>
        <w:t xml:space="preserve"> </w:t>
      </w:r>
      <w:r w:rsidRPr="00E10347">
        <w:rPr>
          <w:rFonts w:ascii="Palatino Linotype" w:eastAsia="MS PGothic" w:hAnsi="Palatino Linotype"/>
          <w:sz w:val="21"/>
          <w:szCs w:val="21"/>
          <w:lang w:val="es-ES_tradnl" w:eastAsia="es-ES"/>
        </w:rPr>
        <w:t xml:space="preserve">James Alphonzo Frye fue declarado culpable por el asesinato en segundo grado del Dr. Robert W. Brown. Al parecer, en un primer momento el señor Frye confesó el crimen, retractándose después y, para demostrar </w:t>
      </w:r>
      <w:r w:rsidRPr="00E10347">
        <w:rPr>
          <w:rFonts w:ascii="Palatino Linotype" w:eastAsia="MS PGothic" w:hAnsi="Palatino Linotype"/>
          <w:sz w:val="21"/>
          <w:szCs w:val="21"/>
          <w:lang w:val="es-ES_tradnl" w:eastAsia="es-ES"/>
        </w:rPr>
        <w:lastRenderedPageBreak/>
        <w:t>su credibilidad, la defensa ofreció como prueba la posibilidad de someter al acusado a un entonces muy novedoso análisis de la presión sanguínea que supuestamente servía como detector de mentiras. El juez de primera instancia excluyó esta prueba y condenó a Frye.</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En apelación, el análisis del tribunal correspondiente se centró en el fundamento teórico subyacente al citado detector de mentiras: las afirmaciones verdaderas serían espontáneas mientras que las mentiras requerirían un esfuerzo consciente que se reflejaría de forma particular en un aumento de la presión sistólica.</w:t>
      </w:r>
      <w:r w:rsidRPr="00E10347">
        <w:rPr>
          <w:rFonts w:ascii="Palatino Linotype" w:eastAsia="MS PGothic" w:hAnsi="Palatino Linotype"/>
          <w:sz w:val="21"/>
          <w:szCs w:val="21"/>
          <w:vertAlign w:val="superscript"/>
          <w:lang w:val="es-ES_tradnl" w:eastAsia="es-ES"/>
        </w:rPr>
        <w:footnoteReference w:id="86"/>
      </w:r>
      <w:r w:rsidRPr="00E10347">
        <w:rPr>
          <w:rFonts w:ascii="Palatino Linotype" w:eastAsia="MS PGothic" w:hAnsi="Palatino Linotype"/>
          <w:sz w:val="21"/>
          <w:szCs w:val="21"/>
          <w:lang w:val="es-ES_tradnl" w:eastAsia="es-ES"/>
        </w:rPr>
        <w:t xml:space="preserve"> Así resolvió que:</w:t>
      </w:r>
    </w:p>
    <w:p w:rsidR="002014CA" w:rsidRPr="00E10347" w:rsidRDefault="002014CA" w:rsidP="00E10347">
      <w:pPr>
        <w:ind w:firstLine="708"/>
        <w:jc w:val="both"/>
        <w:rPr>
          <w:rFonts w:ascii="Palatino Linotype" w:eastAsia="MS PGothic" w:hAnsi="Palatino Linotype"/>
          <w:i/>
          <w:sz w:val="21"/>
          <w:szCs w:val="21"/>
          <w:lang w:val="es-MX" w:eastAsia="es-ES"/>
        </w:rPr>
      </w:pPr>
      <w:r w:rsidRPr="00E10347">
        <w:rPr>
          <w:rFonts w:ascii="Palatino Linotype" w:eastAsia="MS PGothic" w:hAnsi="Palatino Linotype"/>
          <w:sz w:val="21"/>
          <w:szCs w:val="21"/>
          <w:lang w:val="es-MX" w:eastAsia="es-ES"/>
        </w:rPr>
        <w:t xml:space="preserve">Es muy difícil detectar el momento preciso en el que un principio o descubrimiento científico cruza la línea que hay entre su etapa experimental y aquella en la que es demostrable. En algún lugar de esta zona de penumbra, el valor de la evidencia a su favor debe ser reconocido y, mientras que los tribunales recorren un largo camino para admitir testimonios expertos derivados de principios científicos o descubrimientos bien reconocidos, aquello de lo que estas pruebas se deducen </w:t>
      </w:r>
      <w:r w:rsidRPr="00E10347">
        <w:rPr>
          <w:rFonts w:ascii="Palatino Linotype" w:eastAsia="MS PGothic" w:hAnsi="Palatino Linotype"/>
          <w:i/>
          <w:sz w:val="21"/>
          <w:szCs w:val="21"/>
          <w:lang w:val="es-MX" w:eastAsia="es-ES"/>
        </w:rPr>
        <w:t>debe estar lo suficientemente fundado para</w:t>
      </w:r>
      <w:r w:rsidRPr="00E10347">
        <w:rPr>
          <w:rFonts w:ascii="Palatino Linotype" w:eastAsia="MS PGothic" w:hAnsi="Palatino Linotype"/>
          <w:sz w:val="21"/>
          <w:szCs w:val="21"/>
          <w:lang w:val="es-MX" w:eastAsia="es-ES"/>
        </w:rPr>
        <w:t xml:space="preserve"> </w:t>
      </w:r>
      <w:r w:rsidRPr="00E10347">
        <w:rPr>
          <w:rFonts w:ascii="Palatino Linotype" w:eastAsia="MS PGothic" w:hAnsi="Palatino Linotype"/>
          <w:i/>
          <w:sz w:val="21"/>
          <w:szCs w:val="21"/>
          <w:lang w:val="es-MX" w:eastAsia="es-ES"/>
        </w:rPr>
        <w:t>tener la aceptación general en el área relevante</w:t>
      </w:r>
      <w:r w:rsidRPr="00E10347">
        <w:rPr>
          <w:rFonts w:ascii="Palatino Linotype" w:eastAsia="MS PGothic" w:hAnsi="Palatino Linotype"/>
          <w:sz w:val="21"/>
          <w:szCs w:val="21"/>
          <w:lang w:val="es-MX" w:eastAsia="es-ES"/>
        </w:rPr>
        <w:t>.</w:t>
      </w:r>
      <w:r w:rsidRPr="00E10347">
        <w:rPr>
          <w:rFonts w:ascii="Palatino Linotype" w:eastAsia="MS PGothic" w:hAnsi="Palatino Linotype"/>
          <w:sz w:val="21"/>
          <w:szCs w:val="21"/>
          <w:vertAlign w:val="superscript"/>
          <w:lang w:val="es-MX" w:eastAsia="es-ES"/>
        </w:rPr>
        <w:footnoteReference w:id="87"/>
      </w:r>
      <w:r w:rsidRPr="00E10347">
        <w:rPr>
          <w:rFonts w:ascii="Palatino Linotype" w:eastAsia="MS PGothic" w:hAnsi="Palatino Linotype"/>
          <w:sz w:val="21"/>
          <w:szCs w:val="21"/>
          <w:lang w:val="es-MX" w:eastAsia="es-ES"/>
        </w:rPr>
        <w:t xml:space="preserve"> </w:t>
      </w:r>
      <w:r w:rsidRPr="00E10347">
        <w:rPr>
          <w:rFonts w:ascii="Palatino Linotype" w:eastAsia="MS PGothic" w:hAnsi="Palatino Linotype"/>
          <w:i/>
          <w:sz w:val="21"/>
          <w:szCs w:val="21"/>
          <w:lang w:val="es-MX" w:eastAsia="es-ES"/>
        </w:rPr>
        <w:t xml:space="preserve">   </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 xml:space="preserve">En la sentencia no aparece ninguna explicación sobre las razones para adoptar tal criterio ni sobre cómo se debería entender; </w:t>
      </w:r>
      <w:r w:rsidR="002A76CC">
        <w:rPr>
          <w:rFonts w:ascii="Palatino Linotype" w:eastAsia="MS PGothic" w:hAnsi="Palatino Linotype"/>
          <w:sz w:val="21"/>
          <w:szCs w:val="21"/>
          <w:lang w:val="es-ES_tradnl" w:eastAsia="es-ES"/>
        </w:rPr>
        <w:t xml:space="preserve">solo </w:t>
      </w:r>
      <w:r w:rsidRPr="00E10347">
        <w:rPr>
          <w:rFonts w:ascii="Palatino Linotype" w:eastAsia="MS PGothic" w:hAnsi="Palatino Linotype"/>
          <w:sz w:val="21"/>
          <w:szCs w:val="21"/>
          <w:lang w:val="es-ES_tradnl" w:eastAsia="es-ES"/>
        </w:rPr>
        <w:t>se enunció como argumento para ratificar la exclusión del análisis respectivo porque, en opinión del tribunal, no estaba lo suficientemente establecido para ser aceptado por las áreas de la fisiología y la psicología. Con esta exclusión se confirmó entonces la sentencia de culpabilidad del señor Frye.</w:t>
      </w:r>
      <w:r w:rsidRPr="00E10347">
        <w:rPr>
          <w:rFonts w:ascii="Palatino Linotype" w:eastAsia="MS PGothic" w:hAnsi="Palatino Linotype"/>
          <w:sz w:val="21"/>
          <w:szCs w:val="21"/>
          <w:vertAlign w:val="superscript"/>
          <w:lang w:val="es-ES_tradnl" w:eastAsia="es-ES"/>
        </w:rPr>
        <w:footnoteReference w:id="88"/>
      </w:r>
      <w:r w:rsidRPr="00E10347">
        <w:rPr>
          <w:rFonts w:ascii="Palatino Linotype" w:eastAsia="MS PGothic" w:hAnsi="Palatino Linotype"/>
          <w:sz w:val="21"/>
          <w:szCs w:val="21"/>
          <w:lang w:val="es-ES_tradnl" w:eastAsia="es-ES"/>
        </w:rPr>
        <w:t xml:space="preserve">   </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lastRenderedPageBreak/>
        <w:t xml:space="preserve">Como se puede fácilmente advertir, el criterio de la “aceptación general en el área relevante” constituye un giro importante en los criterios de valoración de las pruebas periciales al ir más allá del experto en sí mismo (sus credenciales, su personalidad o su actuación en el juicio) y valorar el conocimiento que sirve de fundamento a la técnica aludida, es decir, se pone el énfasis en la información que fundamenta lo que dice el experto y no en el sujeto que brinda dicha información.    </w:t>
      </w:r>
    </w:p>
    <w:p w:rsidR="002014CA" w:rsidRPr="00E10347" w:rsidRDefault="002014CA" w:rsidP="00E10347">
      <w:pPr>
        <w:ind w:firstLine="709"/>
        <w:jc w:val="both"/>
        <w:rPr>
          <w:rFonts w:ascii="Palatino Linotype" w:eastAsia="MS PGothic" w:hAnsi="Palatino Linotype"/>
          <w:sz w:val="21"/>
          <w:szCs w:val="21"/>
          <w:lang w:val="es-MX" w:eastAsia="es-ES"/>
        </w:rPr>
      </w:pPr>
      <w:r w:rsidRPr="00E10347">
        <w:rPr>
          <w:rFonts w:ascii="Palatino Linotype" w:eastAsia="MS PGothic" w:hAnsi="Palatino Linotype"/>
          <w:sz w:val="21"/>
          <w:szCs w:val="21"/>
          <w:lang w:val="es-ES_tradnl" w:eastAsia="es-ES"/>
        </w:rPr>
        <w:t xml:space="preserve">Inicialmente lo tribunales estadounidenses recibieron con cierto entusiasmo al criterio </w:t>
      </w:r>
      <w:r w:rsidRPr="00E10347">
        <w:rPr>
          <w:rFonts w:ascii="Palatino Linotype" w:eastAsia="MS PGothic" w:hAnsi="Palatino Linotype"/>
          <w:i/>
          <w:sz w:val="21"/>
          <w:szCs w:val="21"/>
          <w:lang w:val="es-ES_tradnl" w:eastAsia="es-ES"/>
        </w:rPr>
        <w:t>Frye</w:t>
      </w:r>
      <w:r w:rsidRPr="00E10347">
        <w:rPr>
          <w:rFonts w:ascii="Palatino Linotype" w:eastAsia="MS PGothic" w:hAnsi="Palatino Linotype"/>
          <w:sz w:val="21"/>
          <w:szCs w:val="21"/>
          <w:lang w:val="es-ES_tradnl" w:eastAsia="es-ES"/>
        </w:rPr>
        <w:t xml:space="preserve">, considerándolo </w:t>
      </w:r>
      <w:r w:rsidRPr="00E10347">
        <w:rPr>
          <w:rFonts w:ascii="Palatino Linotype" w:eastAsia="MS PGothic" w:hAnsi="Palatino Linotype"/>
          <w:sz w:val="21"/>
          <w:szCs w:val="21"/>
          <w:lang w:val="es-MX" w:eastAsia="es-ES"/>
        </w:rPr>
        <w:t>adecuado porque, entre otras cuestiones, podía ser fácilmente aplicado y sus resultados determinados también con relativa facilidad, sin necesidad de conocimientos especializados por parte de los jueces.</w:t>
      </w:r>
      <w:r w:rsidRPr="00E10347">
        <w:rPr>
          <w:rStyle w:val="Refdenotaalpie"/>
          <w:rFonts w:ascii="Palatino Linotype" w:eastAsia="MS PGothic" w:hAnsi="Palatino Linotype"/>
          <w:sz w:val="21"/>
          <w:szCs w:val="21"/>
          <w:lang w:val="es-MX" w:eastAsia="es-ES"/>
        </w:rPr>
        <w:footnoteReference w:id="89"/>
      </w:r>
      <w:r w:rsidRPr="00E10347">
        <w:rPr>
          <w:rFonts w:ascii="Palatino Linotype" w:eastAsia="MS PGothic" w:hAnsi="Palatino Linotype"/>
          <w:sz w:val="21"/>
          <w:szCs w:val="21"/>
          <w:lang w:val="es-MX" w:eastAsia="es-ES"/>
        </w:rPr>
        <w:t xml:space="preserve"> Sin embargo, como bien afirma Giannelli (1980: 1210), quizá el mayor defecto de este criterio fue obscurecer sus propios problemas prácticos:</w:t>
      </w:r>
      <w:r w:rsidRPr="00E10347">
        <w:rPr>
          <w:rFonts w:ascii="Palatino Linotype" w:eastAsia="MS PGothic" w:hAnsi="Palatino Linotype"/>
          <w:sz w:val="21"/>
          <w:szCs w:val="21"/>
          <w:vertAlign w:val="superscript"/>
          <w:lang w:val="es-MX" w:eastAsia="es-ES"/>
        </w:rPr>
        <w:t xml:space="preserve"> </w:t>
      </w:r>
      <w:r w:rsidRPr="00E10347">
        <w:rPr>
          <w:rFonts w:ascii="Palatino Linotype" w:eastAsia="MS PGothic" w:hAnsi="Palatino Linotype"/>
          <w:sz w:val="21"/>
          <w:szCs w:val="21"/>
          <w:lang w:val="es-MX" w:eastAsia="es-ES"/>
        </w:rPr>
        <w:t>¿qué constituye un área de conocimiento o una comunidad experta</w:t>
      </w:r>
      <w:r w:rsidRPr="00E10347">
        <w:rPr>
          <w:rStyle w:val="Refdenotaalpie"/>
          <w:rFonts w:ascii="Palatino Linotype" w:eastAsia="MS PGothic" w:hAnsi="Palatino Linotype"/>
          <w:sz w:val="21"/>
          <w:szCs w:val="21"/>
          <w:lang w:val="es-MX" w:eastAsia="es-ES"/>
        </w:rPr>
        <w:footnoteReference w:id="90"/>
      </w:r>
      <w:r w:rsidRPr="00E10347">
        <w:rPr>
          <w:rFonts w:ascii="Palatino Linotype" w:eastAsia="MS PGothic" w:hAnsi="Palatino Linotype"/>
          <w:sz w:val="21"/>
          <w:szCs w:val="21"/>
          <w:lang w:val="es-MX" w:eastAsia="es-ES"/>
        </w:rPr>
        <w:t xml:space="preserve">?, ¿cómo se identifica al área o comunidad </w:t>
      </w:r>
      <w:r w:rsidRPr="00E10347">
        <w:rPr>
          <w:rFonts w:ascii="Palatino Linotype" w:eastAsia="MS PGothic" w:hAnsi="Palatino Linotype"/>
          <w:sz w:val="21"/>
          <w:szCs w:val="21"/>
          <w:lang w:val="es-MX" w:eastAsia="es-ES"/>
        </w:rPr>
        <w:lastRenderedPageBreak/>
        <w:t>relevante?</w:t>
      </w:r>
      <w:r w:rsidRPr="00E10347">
        <w:rPr>
          <w:rStyle w:val="Refdenotaalpie"/>
          <w:rFonts w:ascii="Palatino Linotype" w:eastAsia="MS PGothic" w:hAnsi="Palatino Linotype"/>
          <w:sz w:val="21"/>
          <w:szCs w:val="21"/>
          <w:lang w:val="es-MX" w:eastAsia="es-ES"/>
        </w:rPr>
        <w:footnoteReference w:id="91"/>
      </w:r>
      <w:r w:rsidRPr="00E10347">
        <w:rPr>
          <w:rFonts w:ascii="Palatino Linotype" w:eastAsia="MS PGothic" w:hAnsi="Palatino Linotype"/>
          <w:sz w:val="21"/>
          <w:szCs w:val="21"/>
          <w:lang w:val="es-MX" w:eastAsia="es-ES"/>
        </w:rPr>
        <w:t>, ¿cuándo se considera que hay una aceptación y que ésta es general?</w:t>
      </w:r>
      <w:r w:rsidRPr="00E10347">
        <w:rPr>
          <w:rStyle w:val="Refdenotaalpie"/>
          <w:rFonts w:ascii="Palatino Linotype" w:eastAsia="MS PGothic" w:hAnsi="Palatino Linotype"/>
          <w:sz w:val="21"/>
          <w:szCs w:val="21"/>
          <w:lang w:val="es-MX" w:eastAsia="es-ES"/>
        </w:rPr>
        <w:footnoteReference w:id="92"/>
      </w:r>
      <w:r w:rsidRPr="00E10347">
        <w:rPr>
          <w:rFonts w:ascii="Palatino Linotype" w:eastAsia="MS PGothic" w:hAnsi="Palatino Linotype"/>
          <w:sz w:val="21"/>
          <w:szCs w:val="21"/>
          <w:lang w:val="es-MX" w:eastAsia="es-ES"/>
        </w:rPr>
        <w:t xml:space="preserve">   </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MX" w:eastAsia="es-ES"/>
        </w:rPr>
        <w:t xml:space="preserve">Ahora bien, suponiendo que los problemas anteriores fueran salvables y que se pudiera identificar la comunidad relevante y cierto nivel de aceptación, el criterio Frye admite al menos dos versiones, con implicaciones sustantivas diversas. En una primera versión, se enfatizaría el </w:t>
      </w:r>
      <w:r w:rsidRPr="00E10347">
        <w:rPr>
          <w:rFonts w:ascii="Palatino Linotype" w:eastAsia="MS PGothic" w:hAnsi="Palatino Linotype"/>
          <w:i/>
          <w:sz w:val="21"/>
          <w:szCs w:val="21"/>
          <w:lang w:val="es-MX" w:eastAsia="es-ES"/>
        </w:rPr>
        <w:t>fundamento</w:t>
      </w:r>
      <w:r w:rsidRPr="00E10347">
        <w:rPr>
          <w:rFonts w:ascii="Palatino Linotype" w:eastAsia="MS PGothic" w:hAnsi="Palatino Linotype"/>
          <w:sz w:val="21"/>
          <w:szCs w:val="21"/>
          <w:lang w:val="es-MX" w:eastAsia="es-ES"/>
        </w:rPr>
        <w:t xml:space="preserve"> de la aceptación general en el área relevante y, por ello, podríamos identificarla como la versión </w:t>
      </w:r>
      <w:r w:rsidRPr="00E10347">
        <w:rPr>
          <w:rFonts w:ascii="Palatino Linotype" w:eastAsia="MS PGothic" w:hAnsi="Palatino Linotype"/>
          <w:i/>
          <w:sz w:val="21"/>
          <w:szCs w:val="21"/>
          <w:lang w:val="es-MX" w:eastAsia="es-ES"/>
        </w:rPr>
        <w:t xml:space="preserve">epistemológica </w:t>
      </w:r>
      <w:r w:rsidRPr="00E10347">
        <w:rPr>
          <w:rFonts w:ascii="Palatino Linotype" w:eastAsia="MS PGothic" w:hAnsi="Palatino Linotype"/>
          <w:sz w:val="21"/>
          <w:szCs w:val="21"/>
          <w:lang w:val="es-MX" w:eastAsia="es-ES"/>
        </w:rPr>
        <w:t xml:space="preserve">de este criterio. Mientras que, por otro lado, una segunda versión pondría el enfásis en la “aceptación general” en el área relevante en sí misma, sin hacer ninguna referencia a las razones de ésta, y por ello, esta interpretación tendría un carácter más sociológico. Claramente, </w:t>
      </w:r>
      <w:r w:rsidRPr="00E10347">
        <w:rPr>
          <w:rFonts w:ascii="Palatino Linotype" w:eastAsia="MS PGothic" w:hAnsi="Palatino Linotype"/>
          <w:sz w:val="21"/>
          <w:szCs w:val="21"/>
          <w:lang w:val="es-ES_tradnl" w:eastAsia="es-ES"/>
        </w:rPr>
        <w:t xml:space="preserve">de la mera aceptación de una comunidad experta </w:t>
      </w:r>
      <w:r w:rsidRPr="00E10347">
        <w:rPr>
          <w:rFonts w:ascii="Palatino Linotype" w:eastAsia="MS PGothic" w:hAnsi="Palatino Linotype"/>
          <w:sz w:val="21"/>
          <w:szCs w:val="21"/>
          <w:lang w:val="es-MX" w:eastAsia="es-ES"/>
        </w:rPr>
        <w:t xml:space="preserve">no se puede </w:t>
      </w:r>
      <w:r w:rsidRPr="00E10347">
        <w:rPr>
          <w:rFonts w:ascii="Palatino Linotype" w:eastAsia="MS PGothic" w:hAnsi="Palatino Linotype"/>
          <w:sz w:val="21"/>
          <w:szCs w:val="21"/>
          <w:lang w:val="es-ES_tradnl" w:eastAsia="es-ES"/>
        </w:rPr>
        <w:t>inferir la corrección o la verdad de una hipótesis, técnica, etc.</w:t>
      </w:r>
      <w:r w:rsidRPr="00E10347">
        <w:rPr>
          <w:rFonts w:ascii="Palatino Linotype" w:eastAsia="MS PGothic" w:hAnsi="Palatino Linotype"/>
          <w:sz w:val="21"/>
          <w:szCs w:val="21"/>
          <w:vertAlign w:val="superscript"/>
          <w:lang w:val="es-ES_tradnl" w:eastAsia="es-ES"/>
        </w:rPr>
        <w:footnoteReference w:id="93"/>
      </w:r>
      <w:r w:rsidRPr="00E10347">
        <w:rPr>
          <w:rFonts w:ascii="Palatino Linotype" w:eastAsia="MS PGothic" w:hAnsi="Palatino Linotype"/>
          <w:sz w:val="21"/>
          <w:szCs w:val="21"/>
          <w:lang w:val="es-ES_tradnl" w:eastAsia="es-ES"/>
        </w:rPr>
        <w:t xml:space="preserve">: </w:t>
      </w:r>
      <w:r w:rsidRPr="00E10347">
        <w:rPr>
          <w:rFonts w:ascii="Palatino Linotype" w:eastAsia="MS PGothic" w:hAnsi="Palatino Linotype"/>
          <w:sz w:val="21"/>
          <w:szCs w:val="21"/>
          <w:lang w:val="es-MX" w:eastAsia="es-ES"/>
        </w:rPr>
        <w:t xml:space="preserve"> si los jueces </w:t>
      </w:r>
      <w:r w:rsidRPr="00E10347">
        <w:rPr>
          <w:rFonts w:ascii="Palatino Linotype" w:eastAsia="MS PGothic" w:hAnsi="Palatino Linotype"/>
          <w:sz w:val="21"/>
          <w:szCs w:val="21"/>
          <w:lang w:val="es-MX" w:eastAsia="es-ES"/>
        </w:rPr>
        <w:lastRenderedPageBreak/>
        <w:t xml:space="preserve">preguntaran a aquellos que dicen leer los posos del café si dicha lectura es aceptada por la generalidad en el área relevante, la respuesta obvia sería que sí (Faigman, 1999: 62-63). Así las cosas, la mejor versión del criterio sería, pues, la epistemológica. </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En cualquier caso, conforme se fueron identificando serios problemas en la aplicación del criterio, diversos tribunales estadounidenses empezaron a limitarlo, modificarlo o directamente rechazarlo, por ser “demasiado maleable para ser útil” (Sanders, 1994: 1388)</w:t>
      </w:r>
      <w:r w:rsidRPr="00E10347">
        <w:rPr>
          <w:rFonts w:ascii="Palatino Linotype" w:eastAsia="MS PGothic" w:hAnsi="Palatino Linotype"/>
          <w:sz w:val="21"/>
          <w:szCs w:val="21"/>
          <w:vertAlign w:val="superscript"/>
          <w:lang w:val="es-ES_tradnl" w:eastAsia="es-ES"/>
        </w:rPr>
        <w:t xml:space="preserve"> </w:t>
      </w:r>
      <w:r w:rsidRPr="00E10347">
        <w:rPr>
          <w:rFonts w:ascii="Palatino Linotype" w:eastAsia="MS PGothic" w:hAnsi="Palatino Linotype"/>
          <w:sz w:val="21"/>
          <w:szCs w:val="21"/>
          <w:vertAlign w:val="superscript"/>
          <w:lang w:val="es-ES_tradnl" w:eastAsia="es-ES"/>
        </w:rPr>
        <w:footnoteReference w:id="94"/>
      </w:r>
      <w:r w:rsidRPr="00E10347">
        <w:rPr>
          <w:rFonts w:ascii="Palatino Linotype" w:eastAsia="MS PGothic" w:hAnsi="Palatino Linotype"/>
          <w:sz w:val="21"/>
          <w:szCs w:val="21"/>
          <w:lang w:val="es-ES_tradnl" w:eastAsia="es-ES"/>
        </w:rPr>
        <w:t xml:space="preserve">. Hasta que más tarde, en 1975, con relativa independencia de las discusiones sobre el criterio </w:t>
      </w:r>
      <w:r w:rsidRPr="00E10347">
        <w:rPr>
          <w:rFonts w:ascii="Palatino Linotype" w:eastAsia="MS PGothic" w:hAnsi="Palatino Linotype"/>
          <w:i/>
          <w:sz w:val="21"/>
          <w:szCs w:val="21"/>
          <w:lang w:val="es-ES_tradnl" w:eastAsia="es-ES"/>
        </w:rPr>
        <w:t>Frye</w:t>
      </w:r>
      <w:r w:rsidRPr="00E10347">
        <w:rPr>
          <w:rFonts w:ascii="Palatino Linotype" w:eastAsia="MS PGothic" w:hAnsi="Palatino Linotype"/>
          <w:sz w:val="21"/>
          <w:szCs w:val="21"/>
          <w:lang w:val="es-ES_tradnl" w:eastAsia="es-ES"/>
        </w:rPr>
        <w:t xml:space="preserve">, se promulgaron las </w:t>
      </w:r>
      <w:r w:rsidRPr="00E10347">
        <w:rPr>
          <w:rFonts w:ascii="Palatino Linotype" w:eastAsia="MS PGothic" w:hAnsi="Palatino Linotype"/>
          <w:i/>
          <w:sz w:val="21"/>
          <w:szCs w:val="21"/>
          <w:lang w:val="es-ES_tradnl" w:eastAsia="es-ES"/>
        </w:rPr>
        <w:t>Federal Rules of Evidence</w:t>
      </w:r>
      <w:r w:rsidRPr="00E10347">
        <w:rPr>
          <w:rFonts w:ascii="Palatino Linotype" w:eastAsia="MS PGothic" w:hAnsi="Palatino Linotype"/>
          <w:sz w:val="21"/>
          <w:szCs w:val="21"/>
          <w:lang w:val="es-ES_tradnl" w:eastAsia="es-ES"/>
        </w:rPr>
        <w:t xml:space="preserve"> (en adelante, FRE)</w:t>
      </w:r>
      <w:r w:rsidRPr="00E10347">
        <w:rPr>
          <w:rStyle w:val="Refdenotaalpie"/>
          <w:rFonts w:ascii="Palatino Linotype" w:eastAsia="MS PGothic" w:hAnsi="Palatino Linotype"/>
          <w:sz w:val="21"/>
          <w:szCs w:val="21"/>
          <w:lang w:val="es-ES_tradnl" w:eastAsia="es-ES"/>
        </w:rPr>
        <w:footnoteReference w:id="95"/>
      </w:r>
      <w:r w:rsidRPr="00E10347">
        <w:rPr>
          <w:rFonts w:ascii="Palatino Linotype" w:eastAsia="MS PGothic" w:hAnsi="Palatino Linotype"/>
          <w:sz w:val="21"/>
          <w:szCs w:val="21"/>
          <w:lang w:val="es-ES_tradnl" w:eastAsia="es-ES"/>
        </w:rPr>
        <w:t xml:space="preserve">, cuya regla 702 regularía la admisibilidad de la </w:t>
      </w:r>
      <w:r w:rsidRPr="00E10347">
        <w:rPr>
          <w:rFonts w:ascii="Palatino Linotype" w:eastAsia="MS PGothic" w:hAnsi="Palatino Linotype"/>
          <w:i/>
          <w:sz w:val="21"/>
          <w:szCs w:val="21"/>
          <w:lang w:val="es-ES_tradnl" w:eastAsia="es-ES"/>
        </w:rPr>
        <w:t>expert evidence</w:t>
      </w:r>
      <w:r w:rsidRPr="00E10347">
        <w:rPr>
          <w:rFonts w:ascii="Palatino Linotype" w:eastAsia="MS PGothic" w:hAnsi="Palatino Linotype"/>
          <w:sz w:val="21"/>
          <w:szCs w:val="21"/>
          <w:lang w:val="es-ES_tradnl" w:eastAsia="es-ES"/>
        </w:rPr>
        <w:t xml:space="preserve"> sin mencionar el criterio de “la aceptación general”: </w:t>
      </w:r>
    </w:p>
    <w:p w:rsidR="002014CA" w:rsidRPr="00E10347" w:rsidRDefault="002014CA" w:rsidP="00E10347">
      <w:pPr>
        <w:ind w:firstLine="708"/>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 xml:space="preserve">Si el conocimiento científico, técnico o especializado resultara útil al juzgador de los hechos para entender las pruebas o determinar los hechos en conflicto, un testigo calificado como experto por su conocimiento, habilidades, experiencia, capacitación o educación, puede testificar en forma de opinión. </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 xml:space="preserve">Con ello inició un fuerte debate a nivel federal entre aquellos que consideraban que el criterio </w:t>
      </w:r>
      <w:r w:rsidRPr="00E10347">
        <w:rPr>
          <w:rFonts w:ascii="Palatino Linotype" w:eastAsia="MS PGothic" w:hAnsi="Palatino Linotype"/>
          <w:i/>
          <w:sz w:val="21"/>
          <w:szCs w:val="21"/>
          <w:lang w:val="es-ES_tradnl" w:eastAsia="es-ES"/>
        </w:rPr>
        <w:t>Frye</w:t>
      </w:r>
      <w:r w:rsidRPr="00E10347">
        <w:rPr>
          <w:rFonts w:ascii="Palatino Linotype" w:eastAsia="MS PGothic" w:hAnsi="Palatino Linotype"/>
          <w:sz w:val="21"/>
          <w:szCs w:val="21"/>
          <w:lang w:val="es-ES_tradnl" w:eastAsia="es-ES"/>
        </w:rPr>
        <w:t xml:space="preserve"> había sido superado por la nueva legislación y los que afirmaban su continuidad (de alguna manera implícita) en las FRE. </w:t>
      </w:r>
    </w:p>
    <w:p w:rsidR="009A5379" w:rsidRDefault="009A5379" w:rsidP="00E10347">
      <w:pPr>
        <w:rPr>
          <w:rFonts w:ascii="Palatino Linotype" w:hAnsi="Palatino Linotype"/>
          <w:b/>
          <w:sz w:val="21"/>
          <w:szCs w:val="21"/>
        </w:rPr>
      </w:pPr>
    </w:p>
    <w:p w:rsidR="002014CA" w:rsidRPr="00E10347" w:rsidRDefault="002014CA" w:rsidP="00E10347">
      <w:pPr>
        <w:rPr>
          <w:rFonts w:ascii="Palatino Linotype" w:hAnsi="Palatino Linotype"/>
          <w:b/>
          <w:sz w:val="21"/>
          <w:szCs w:val="21"/>
        </w:rPr>
      </w:pPr>
      <w:r w:rsidRPr="00E10347">
        <w:rPr>
          <w:rFonts w:ascii="Palatino Linotype" w:hAnsi="Palatino Linotype"/>
          <w:b/>
          <w:sz w:val="21"/>
          <w:szCs w:val="21"/>
        </w:rPr>
        <w:t xml:space="preserve">3.- El caso Daubert </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 xml:space="preserve">Ese era el contexto jurídico-normativo cuando en 1984 los padres de los menores Jason Daubert y Eric Schuller promovieron un juicio civil por daños tóxicos contra </w:t>
      </w:r>
      <w:r w:rsidRPr="00E10347">
        <w:rPr>
          <w:rFonts w:ascii="Palatino Linotype" w:eastAsia="MS PGothic" w:hAnsi="Palatino Linotype"/>
          <w:i/>
          <w:sz w:val="21"/>
          <w:szCs w:val="21"/>
          <w:lang w:val="es-ES_tradnl" w:eastAsia="es-ES"/>
        </w:rPr>
        <w:t>Merrell Dow Pharmaceuticals, Inc.</w:t>
      </w:r>
      <w:r w:rsidRPr="00E10347">
        <w:rPr>
          <w:rFonts w:ascii="Palatino Linotype" w:eastAsia="MS PGothic" w:hAnsi="Palatino Linotype"/>
          <w:sz w:val="21"/>
          <w:szCs w:val="21"/>
          <w:lang w:val="es-ES_tradnl" w:eastAsia="es-ES"/>
        </w:rPr>
        <w:t xml:space="preserve">, alegando que la causa de las graves malformaciones congénitas de sus hijos en sus extremidades superiores fue la ingesta materna durante su gestación de un antihistamínico patentado por dicha farmacéutica para aliviar las náuseas y mareos causados por el embarazo: </w:t>
      </w:r>
      <w:r w:rsidRPr="00E10347">
        <w:rPr>
          <w:rFonts w:ascii="Palatino Linotype" w:eastAsia="MS PGothic" w:hAnsi="Palatino Linotype"/>
          <w:sz w:val="21"/>
          <w:szCs w:val="21"/>
          <w:lang w:val="es-ES_tradnl" w:eastAsia="es-ES"/>
        </w:rPr>
        <w:lastRenderedPageBreak/>
        <w:t>Bendectin.</w:t>
      </w:r>
      <w:r w:rsidRPr="00E10347">
        <w:rPr>
          <w:rFonts w:ascii="Palatino Linotype" w:eastAsia="MS PGothic" w:hAnsi="Palatino Linotype"/>
          <w:sz w:val="21"/>
          <w:szCs w:val="21"/>
          <w:vertAlign w:val="superscript"/>
          <w:lang w:val="es-ES_tradnl" w:eastAsia="es-ES"/>
        </w:rPr>
        <w:footnoteReference w:id="96"/>
      </w:r>
      <w:r w:rsidRPr="00E10347">
        <w:rPr>
          <w:rFonts w:ascii="Palatino Linotype" w:eastAsia="MS PGothic" w:hAnsi="Palatino Linotype"/>
          <w:sz w:val="21"/>
          <w:szCs w:val="21"/>
          <w:lang w:val="es-ES_tradnl" w:eastAsia="es-ES"/>
        </w:rPr>
        <w:t xml:space="preserve"> </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 xml:space="preserve">Merrell Dow llevó el juicio al ámbito federal solicitando una sentencia sumaria con el argumento de que la demanda era fácticamente infundada, pues afirmaba que el Bendectin no era teratogénico y, por ello, los demandantes no podrían presentar pruebas suficientes para poner en funcionamiento la maquinaria estatal. Para probar su afirmación presentaron la declaración de Steven H. Lamm, médico especialista en epidemiología con una amplia acreditación como experto en riesgos por la exposición a sustancias químicas y biológicas, entre ellas el Bendectin. </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 xml:space="preserve">El Dr. Lamm declaró que no había estudios epidemiológicos </w:t>
      </w:r>
      <w:r w:rsidRPr="00E10347">
        <w:rPr>
          <w:rFonts w:ascii="Palatino Linotype" w:eastAsia="MS PGothic" w:hAnsi="Palatino Linotype"/>
          <w:i/>
          <w:sz w:val="21"/>
          <w:szCs w:val="21"/>
          <w:lang w:val="es-ES_tradnl" w:eastAsia="es-ES"/>
        </w:rPr>
        <w:t xml:space="preserve">publicados </w:t>
      </w:r>
      <w:r w:rsidRPr="00E10347">
        <w:rPr>
          <w:rFonts w:ascii="Palatino Linotype" w:eastAsia="MS PGothic" w:hAnsi="Palatino Linotype"/>
          <w:sz w:val="21"/>
          <w:szCs w:val="21"/>
          <w:lang w:val="es-ES_tradnl" w:eastAsia="es-ES"/>
        </w:rPr>
        <w:t>que demostraran una correlación estadística significativa entre la ingesta de Bendectin</w:t>
      </w:r>
      <w:r w:rsidRPr="00E10347">
        <w:rPr>
          <w:rFonts w:ascii="Palatino Linotype" w:eastAsia="MS PGothic" w:hAnsi="Palatino Linotype"/>
          <w:i/>
          <w:sz w:val="21"/>
          <w:szCs w:val="21"/>
          <w:lang w:val="es-ES_tradnl" w:eastAsia="es-ES"/>
        </w:rPr>
        <w:t xml:space="preserve"> </w:t>
      </w:r>
      <w:r w:rsidRPr="00E10347">
        <w:rPr>
          <w:rFonts w:ascii="Palatino Linotype" w:eastAsia="MS PGothic" w:hAnsi="Palatino Linotype"/>
          <w:sz w:val="21"/>
          <w:szCs w:val="21"/>
          <w:lang w:val="es-ES_tradnl" w:eastAsia="es-ES"/>
        </w:rPr>
        <w:t xml:space="preserve">durante el embarazo y las malformaciones del producto. Para llegar a esta conclusión, afirmó, habría revisado más de treinta estudios publicados en diversas revistas especializadas que comprendían una muestra aproximada de 130 mil pacientes, en los que no se había demostrado que la ingesta de Bendectin fuera un factor de riesgo de sufrir defectos congénitos.      </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En respuesta a lo anterior, los actores presentaron el testimonio de sus propios expertos con el fin de probar la relación causal en cuestión.</w:t>
      </w:r>
      <w:r w:rsidRPr="00E10347">
        <w:rPr>
          <w:rFonts w:ascii="Palatino Linotype" w:eastAsia="MS PGothic" w:hAnsi="Palatino Linotype"/>
          <w:sz w:val="21"/>
          <w:szCs w:val="21"/>
          <w:vertAlign w:val="superscript"/>
          <w:lang w:val="es-ES_tradnl" w:eastAsia="es-ES"/>
        </w:rPr>
        <w:footnoteReference w:id="97"/>
      </w:r>
      <w:r w:rsidRPr="00E10347">
        <w:rPr>
          <w:rFonts w:ascii="Palatino Linotype" w:eastAsia="MS PGothic" w:hAnsi="Palatino Linotype"/>
          <w:sz w:val="21"/>
          <w:szCs w:val="21"/>
          <w:lang w:val="es-ES_tradnl" w:eastAsia="es-ES"/>
        </w:rPr>
        <w:t xml:space="preserve"> Éstos afirmaron que el Bendectin </w:t>
      </w:r>
      <w:r w:rsidRPr="00E10347">
        <w:rPr>
          <w:rFonts w:ascii="Palatino Linotype" w:eastAsia="MS PGothic" w:hAnsi="Palatino Linotype"/>
          <w:i/>
          <w:sz w:val="21"/>
          <w:szCs w:val="21"/>
          <w:lang w:val="es-ES_tradnl" w:eastAsia="es-ES"/>
        </w:rPr>
        <w:t>podría posiblemente</w:t>
      </w:r>
      <w:r w:rsidRPr="00E10347">
        <w:rPr>
          <w:rFonts w:ascii="Palatino Linotype" w:eastAsia="MS PGothic" w:hAnsi="Palatino Linotype"/>
          <w:sz w:val="21"/>
          <w:szCs w:val="21"/>
          <w:lang w:val="es-ES_tradnl" w:eastAsia="es-ES"/>
        </w:rPr>
        <w:t xml:space="preserve"> causar daños congénitos, basando tal conclusión en </w:t>
      </w:r>
      <w:r w:rsidRPr="00E10347">
        <w:rPr>
          <w:rFonts w:ascii="Palatino Linotype" w:eastAsia="MS PGothic" w:hAnsi="Palatino Linotype"/>
          <w:i/>
          <w:sz w:val="21"/>
          <w:szCs w:val="21"/>
          <w:lang w:val="es-ES_tradnl" w:eastAsia="es-ES"/>
        </w:rPr>
        <w:t>un conjunto</w:t>
      </w:r>
      <w:r w:rsidRPr="00E10347">
        <w:rPr>
          <w:rFonts w:ascii="Palatino Linotype" w:eastAsia="MS PGothic" w:hAnsi="Palatino Linotype"/>
          <w:sz w:val="21"/>
          <w:szCs w:val="21"/>
          <w:lang w:val="es-ES_tradnl" w:eastAsia="es-ES"/>
        </w:rPr>
        <w:t xml:space="preserve"> de estudios,</w:t>
      </w:r>
      <w:r w:rsidRPr="00E10347">
        <w:rPr>
          <w:rStyle w:val="Refdenotaalpie"/>
          <w:rFonts w:ascii="Palatino Linotype" w:eastAsia="MS PGothic" w:hAnsi="Palatino Linotype"/>
          <w:sz w:val="21"/>
          <w:szCs w:val="21"/>
          <w:lang w:val="es-ES_tradnl" w:eastAsia="es-ES"/>
        </w:rPr>
        <w:footnoteReference w:id="98"/>
      </w:r>
      <w:r w:rsidRPr="00E10347">
        <w:rPr>
          <w:rFonts w:ascii="Palatino Linotype" w:eastAsia="MS PGothic" w:hAnsi="Palatino Linotype"/>
          <w:sz w:val="21"/>
          <w:szCs w:val="21"/>
          <w:lang w:val="es-ES_tradnl" w:eastAsia="es-ES"/>
        </w:rPr>
        <w:t xml:space="preserve"> a saber:  a)  e</w:t>
      </w:r>
      <w:r w:rsidRPr="00E10347">
        <w:rPr>
          <w:rFonts w:ascii="Palatino Linotype" w:eastAsia="MS PGothic" w:hAnsi="Palatino Linotype"/>
          <w:sz w:val="21"/>
          <w:szCs w:val="21"/>
          <w:lang w:val="es-MX" w:eastAsia="es-ES"/>
        </w:rPr>
        <w:t xml:space="preserve">studios realizados en células animales </w:t>
      </w:r>
      <w:r w:rsidRPr="00E10347">
        <w:rPr>
          <w:rFonts w:ascii="Palatino Linotype" w:eastAsia="MS PGothic" w:hAnsi="Palatino Linotype"/>
          <w:i/>
          <w:sz w:val="21"/>
          <w:szCs w:val="21"/>
          <w:lang w:val="es-MX" w:eastAsia="es-ES"/>
        </w:rPr>
        <w:t>(test tube)</w:t>
      </w:r>
      <w:r w:rsidRPr="00E10347">
        <w:rPr>
          <w:rFonts w:ascii="Palatino Linotype" w:eastAsia="MS PGothic" w:hAnsi="Palatino Linotype"/>
          <w:sz w:val="21"/>
          <w:szCs w:val="21"/>
          <w:lang w:val="es-MX" w:eastAsia="es-ES"/>
        </w:rPr>
        <w:t xml:space="preserve"> y en animales vivos; b) estudios farmacológicos que revelaban cierta similitud entre la estructura química del Bendectin y otras sustancias cuyos </w:t>
      </w:r>
      <w:r w:rsidRPr="00E10347">
        <w:rPr>
          <w:rFonts w:ascii="Palatino Linotype" w:eastAsia="MS PGothic" w:hAnsi="Palatino Linotype"/>
          <w:sz w:val="21"/>
          <w:szCs w:val="21"/>
          <w:lang w:val="es-MX" w:eastAsia="es-ES"/>
        </w:rPr>
        <w:lastRenderedPageBreak/>
        <w:t>efectos teratogénicos habían sido comprobados;</w:t>
      </w:r>
      <w:r w:rsidRPr="00E10347">
        <w:rPr>
          <w:rFonts w:ascii="Palatino Linotype" w:eastAsia="MS PGothic" w:hAnsi="Palatino Linotype"/>
          <w:sz w:val="21"/>
          <w:szCs w:val="21"/>
          <w:vertAlign w:val="superscript"/>
          <w:lang w:val="es-MX" w:eastAsia="es-ES"/>
        </w:rPr>
        <w:footnoteReference w:id="99"/>
      </w:r>
      <w:r w:rsidRPr="00E10347">
        <w:rPr>
          <w:rFonts w:ascii="Palatino Linotype" w:eastAsia="MS PGothic" w:hAnsi="Palatino Linotype"/>
          <w:sz w:val="21"/>
          <w:szCs w:val="21"/>
          <w:lang w:val="es-MX" w:eastAsia="es-ES"/>
        </w:rPr>
        <w:t xml:space="preserve"> y, c) un re-cálculo no publicado de estudios epidemiológicos anteriores que, en su momento, no encontraron una correlación entre la ingesta de tal fármaco y los daños congénitos. </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MX" w:eastAsia="es-ES"/>
        </w:rPr>
        <w:t xml:space="preserve">El tribunal </w:t>
      </w:r>
      <w:r w:rsidRPr="00E10347">
        <w:rPr>
          <w:rFonts w:ascii="Palatino Linotype" w:eastAsia="MS PGothic" w:hAnsi="Palatino Linotype"/>
          <w:sz w:val="21"/>
          <w:szCs w:val="21"/>
          <w:lang w:val="es-ES_tradnl" w:eastAsia="es-ES"/>
        </w:rPr>
        <w:t>decidió que tal testimonio no podría servir de base para que un jurado decidiera sobre la causalidad de una forma distinta a la ya se podía llegar racionalmente</w:t>
      </w:r>
      <w:r w:rsidRPr="00E10347" w:rsidDel="00537315">
        <w:rPr>
          <w:rFonts w:ascii="Palatino Linotype" w:eastAsia="MS PGothic" w:hAnsi="Palatino Linotype"/>
          <w:sz w:val="21"/>
          <w:szCs w:val="21"/>
          <w:lang w:val="es-ES_tradnl" w:eastAsia="es-ES"/>
        </w:rPr>
        <w:t xml:space="preserve"> </w:t>
      </w:r>
      <w:r w:rsidRPr="00E10347">
        <w:rPr>
          <w:rFonts w:ascii="Palatino Linotype" w:eastAsia="MS PGothic" w:hAnsi="Palatino Linotype"/>
          <w:sz w:val="21"/>
          <w:szCs w:val="21"/>
          <w:lang w:val="es-ES_tradnl" w:eastAsia="es-ES"/>
        </w:rPr>
        <w:t>con la información entonces disponible.</w:t>
      </w:r>
      <w:r w:rsidRPr="00E10347">
        <w:rPr>
          <w:rFonts w:ascii="Palatino Linotype" w:eastAsia="MS PGothic" w:hAnsi="Palatino Linotype"/>
          <w:sz w:val="21"/>
          <w:szCs w:val="21"/>
          <w:vertAlign w:val="superscript"/>
          <w:lang w:val="es-ES_tradnl" w:eastAsia="es-ES"/>
        </w:rPr>
        <w:footnoteReference w:id="100"/>
      </w:r>
      <w:r w:rsidRPr="00E10347">
        <w:rPr>
          <w:rFonts w:ascii="Palatino Linotype" w:eastAsia="MS PGothic" w:hAnsi="Palatino Linotype"/>
          <w:sz w:val="21"/>
          <w:szCs w:val="21"/>
          <w:lang w:val="es-ES_tradnl" w:eastAsia="es-ES"/>
        </w:rPr>
        <w:t xml:space="preserve"> Ello, una vez que excluyó las pruebas periciales ofrecidas por los demandantes argumentando que</w:t>
      </w:r>
      <w:r w:rsidRPr="00E10347">
        <w:rPr>
          <w:rFonts w:ascii="Palatino Linotype" w:eastAsia="MS PGothic" w:hAnsi="Palatino Linotype"/>
          <w:sz w:val="21"/>
          <w:szCs w:val="21"/>
          <w:lang w:val="es-MX" w:eastAsia="es-ES"/>
        </w:rPr>
        <w:t xml:space="preserve"> los principios subyacentes a éstas no tenian la “aceptación general” del área relevante.</w:t>
      </w:r>
      <w:r w:rsidRPr="00E10347">
        <w:rPr>
          <w:rStyle w:val="Refdenotaalpie"/>
          <w:rFonts w:ascii="Palatino Linotype" w:eastAsia="MS PGothic" w:hAnsi="Palatino Linotype"/>
          <w:sz w:val="21"/>
          <w:szCs w:val="21"/>
          <w:lang w:val="es-MX" w:eastAsia="es-ES"/>
        </w:rPr>
        <w:footnoteReference w:id="101"/>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MX" w:eastAsia="es-ES"/>
        </w:rPr>
        <w:t>L</w:t>
      </w:r>
      <w:r w:rsidRPr="00E10347">
        <w:rPr>
          <w:rFonts w:ascii="Palatino Linotype" w:eastAsia="MS PGothic" w:hAnsi="Palatino Linotype"/>
          <w:sz w:val="21"/>
          <w:szCs w:val="21"/>
          <w:lang w:val="es-ES_tradnl" w:eastAsia="es-ES"/>
        </w:rPr>
        <w:t>os demandantes apelaron tal decisión argumentando que, por ejemplo, el análisis de los estudios epidemiológicos no fue publicado porque su objetivo era únicamente probar la relación causal en el caso concreto. Pero en 1991 se confirmó la decisión de primera instancia, asumiendo “la aceptación general de la comunidad científica de referencia” como el estándar de admisión para las pruebas periciales.</w:t>
      </w:r>
      <w:r w:rsidRPr="00E10347">
        <w:rPr>
          <w:rFonts w:ascii="Palatino Linotype" w:eastAsia="MS PGothic" w:hAnsi="Palatino Linotype"/>
          <w:sz w:val="21"/>
          <w:szCs w:val="21"/>
          <w:vertAlign w:val="superscript"/>
          <w:lang w:val="es-ES_tradnl" w:eastAsia="es-ES"/>
        </w:rPr>
        <w:t xml:space="preserve"> </w:t>
      </w:r>
      <w:r w:rsidRPr="00E10347">
        <w:rPr>
          <w:rFonts w:ascii="Palatino Linotype" w:eastAsia="MS PGothic" w:hAnsi="Palatino Linotype"/>
          <w:sz w:val="21"/>
          <w:szCs w:val="21"/>
          <w:vertAlign w:val="superscript"/>
          <w:lang w:val="es-ES_tradnl" w:eastAsia="es-ES"/>
        </w:rPr>
        <w:footnoteReference w:id="102"/>
      </w:r>
      <w:r w:rsidRPr="00E10347">
        <w:rPr>
          <w:rFonts w:ascii="Palatino Linotype" w:eastAsia="MS PGothic" w:hAnsi="Palatino Linotype"/>
          <w:sz w:val="21"/>
          <w:szCs w:val="21"/>
          <w:lang w:val="es-ES_tradnl" w:eastAsia="es-ES"/>
        </w:rPr>
        <w:t xml:space="preserve"> En tal decisión se argumentó que la publicación o la evaluación por pares constituía una condición necesaria para la admisión de elementos probatorios de carácter científico, pues era a través de estos mecanismos que los tribunales podrían saber si una comunidad científica aceptaba el conocimiento subyacente al elemento de prueba ofrecido.</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Finalmente, el caso llegó a la Corte Suprema de los Estados Unidos en 1993, cuando los demandantes apelaron la decisión anterior</w:t>
      </w:r>
      <w:r w:rsidRPr="00E10347">
        <w:rPr>
          <w:rFonts w:ascii="Palatino Linotype" w:eastAsia="MS PGothic" w:hAnsi="Palatino Linotype"/>
          <w:i/>
          <w:sz w:val="21"/>
          <w:szCs w:val="21"/>
          <w:lang w:val="es-ES_tradnl" w:eastAsia="es-ES"/>
        </w:rPr>
        <w:t xml:space="preserve"> </w:t>
      </w:r>
      <w:r w:rsidRPr="00E10347">
        <w:rPr>
          <w:rFonts w:ascii="Palatino Linotype" w:eastAsia="MS PGothic" w:hAnsi="Palatino Linotype"/>
          <w:sz w:val="21"/>
          <w:szCs w:val="21"/>
          <w:lang w:val="es-ES_tradnl" w:eastAsia="es-ES"/>
        </w:rPr>
        <w:t xml:space="preserve">cuestionando fundamentalmente el criterio de admisibilidad utilizado por los tribunales inferiores y argumentando que las FRE habían superado al criterio </w:t>
      </w:r>
      <w:r w:rsidRPr="00E10347">
        <w:rPr>
          <w:rFonts w:ascii="Palatino Linotype" w:eastAsia="MS PGothic" w:hAnsi="Palatino Linotype"/>
          <w:i/>
          <w:sz w:val="21"/>
          <w:szCs w:val="21"/>
          <w:lang w:val="es-ES_tradnl" w:eastAsia="es-ES"/>
        </w:rPr>
        <w:t>Frye</w:t>
      </w:r>
      <w:r w:rsidRPr="00E10347">
        <w:rPr>
          <w:rFonts w:ascii="Palatino Linotype" w:eastAsia="MS PGothic" w:hAnsi="Palatino Linotype"/>
          <w:sz w:val="21"/>
          <w:szCs w:val="21"/>
          <w:lang w:val="es-ES_tradnl" w:eastAsia="es-ES"/>
        </w:rPr>
        <w:t xml:space="preserve">, </w:t>
      </w:r>
      <w:r w:rsidRPr="00E10347">
        <w:rPr>
          <w:rFonts w:ascii="Palatino Linotype" w:eastAsia="MS PGothic" w:hAnsi="Palatino Linotype"/>
          <w:sz w:val="21"/>
          <w:szCs w:val="21"/>
          <w:lang w:val="es-ES_tradnl" w:eastAsia="es-ES"/>
        </w:rPr>
        <w:lastRenderedPageBreak/>
        <w:t xml:space="preserve">estableciendo que la valoración de este tipo de pruebas correspondía exclusivamente al jurado y no al juez de la causa. Pese a que no era el primer caso presentado ante la Corte solicitándole resolver la contradicción en los criterios empleados para valorar la admisibilidad de pruebas periciales, sí fue la primera vez en la historia en que ésta se pronunció al respecto. </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 xml:space="preserve">En primer lugar, la Corte resolvió por unanimidad la cuestión jurídica central: el estándar </w:t>
      </w:r>
      <w:r w:rsidRPr="00E10347">
        <w:rPr>
          <w:rFonts w:ascii="Palatino Linotype" w:eastAsia="MS PGothic" w:hAnsi="Palatino Linotype"/>
          <w:i/>
          <w:sz w:val="21"/>
          <w:szCs w:val="21"/>
          <w:lang w:val="es-ES_tradnl" w:eastAsia="es-ES"/>
        </w:rPr>
        <w:t>Frye</w:t>
      </w:r>
      <w:r w:rsidRPr="00E10347">
        <w:rPr>
          <w:rFonts w:ascii="Palatino Linotype" w:eastAsia="MS PGothic" w:hAnsi="Palatino Linotype"/>
          <w:sz w:val="21"/>
          <w:szCs w:val="21"/>
          <w:lang w:val="es-ES_tradnl" w:eastAsia="es-ES"/>
        </w:rPr>
        <w:t xml:space="preserve"> había sido superado por la regla 702 de las FRE. Según observó la Corte, el texto normativo no hacía referencia explícita ni implícita a la “aceptación general del área de conocimiento” y, por ello, no había razones para considerarla como condición necesaria para la admisión de pruebas científicas en los juicios federales. Sin embargo, en segundo lugar, se apuntó que la sustitución del criterio </w:t>
      </w:r>
      <w:r w:rsidRPr="00E10347">
        <w:rPr>
          <w:rFonts w:ascii="Palatino Linotype" w:eastAsia="MS PGothic" w:hAnsi="Palatino Linotype"/>
          <w:i/>
          <w:sz w:val="21"/>
          <w:szCs w:val="21"/>
          <w:lang w:val="es-ES_tradnl" w:eastAsia="es-ES"/>
        </w:rPr>
        <w:t>Frye</w:t>
      </w:r>
      <w:r w:rsidRPr="00E10347">
        <w:rPr>
          <w:rFonts w:ascii="Palatino Linotype" w:eastAsia="MS PGothic" w:hAnsi="Palatino Linotype"/>
          <w:sz w:val="21"/>
          <w:szCs w:val="21"/>
          <w:lang w:val="es-ES_tradnl" w:eastAsia="es-ES"/>
        </w:rPr>
        <w:t xml:space="preserve"> no implicaba que los jueces no estuviesen obligados a valorar este tipo de pruebas para su admisión. Al contrario, se especificó que el juez de la causa debería servir de “</w:t>
      </w:r>
      <w:r w:rsidRPr="00E10347">
        <w:rPr>
          <w:rFonts w:ascii="Palatino Linotype" w:eastAsia="MS PGothic" w:hAnsi="Palatino Linotype"/>
          <w:i/>
          <w:sz w:val="21"/>
          <w:szCs w:val="21"/>
          <w:lang w:val="es-ES_tradnl" w:eastAsia="es-ES"/>
        </w:rPr>
        <w:t>gatekeeper</w:t>
      </w:r>
      <w:r w:rsidRPr="00E10347">
        <w:rPr>
          <w:rFonts w:ascii="Palatino Linotype" w:eastAsia="MS PGothic" w:hAnsi="Palatino Linotype"/>
          <w:sz w:val="21"/>
          <w:szCs w:val="21"/>
          <w:lang w:val="es-ES_tradnl" w:eastAsia="es-ES"/>
        </w:rPr>
        <w:t>” (vigilante o custodio) de la calidad de las pruebas periciales en la etapa de admisión.</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Para realizar tal función, según la Corte, el criterio a seguir sería la “fiabilidad probatoria”</w:t>
      </w:r>
      <w:r w:rsidRPr="00E10347">
        <w:rPr>
          <w:rFonts w:ascii="Palatino Linotype" w:eastAsia="MS PGothic" w:hAnsi="Palatino Linotype"/>
          <w:sz w:val="21"/>
          <w:szCs w:val="21"/>
          <w:vertAlign w:val="superscript"/>
          <w:lang w:val="es-ES_tradnl" w:eastAsia="es-ES"/>
        </w:rPr>
        <w:footnoteReference w:id="103"/>
      </w:r>
      <w:r w:rsidRPr="00E10347">
        <w:rPr>
          <w:rFonts w:ascii="Palatino Linotype" w:eastAsia="MS PGothic" w:hAnsi="Palatino Linotype"/>
          <w:sz w:val="21"/>
          <w:szCs w:val="21"/>
          <w:lang w:val="es-ES_tradnl" w:eastAsia="es-ES"/>
        </w:rPr>
        <w:t xml:space="preserve"> de tales elementos, que se derivaba, en su interpretación, del texto normativo “</w:t>
      </w:r>
      <w:r w:rsidRPr="00E10347">
        <w:rPr>
          <w:rFonts w:ascii="Palatino Linotype" w:eastAsia="MS PGothic" w:hAnsi="Palatino Linotype"/>
          <w:i/>
          <w:sz w:val="21"/>
          <w:szCs w:val="21"/>
          <w:lang w:val="es-ES_tradnl" w:eastAsia="es-ES"/>
        </w:rPr>
        <w:t xml:space="preserve">fuesen o perteneciesen </w:t>
      </w:r>
      <w:r w:rsidRPr="00E10347">
        <w:rPr>
          <w:rFonts w:ascii="Palatino Linotype" w:eastAsia="MS PGothic" w:hAnsi="Palatino Linotype"/>
          <w:sz w:val="21"/>
          <w:szCs w:val="21"/>
          <w:lang w:val="es-ES_tradnl" w:eastAsia="es-ES"/>
        </w:rPr>
        <w:t>al</w:t>
      </w:r>
      <w:r w:rsidRPr="00E10347">
        <w:rPr>
          <w:rFonts w:ascii="Palatino Linotype" w:eastAsia="MS PGothic" w:hAnsi="Palatino Linotype"/>
          <w:i/>
          <w:sz w:val="21"/>
          <w:szCs w:val="21"/>
          <w:lang w:val="es-ES_tradnl" w:eastAsia="es-ES"/>
        </w:rPr>
        <w:t xml:space="preserve"> </w:t>
      </w:r>
      <w:r w:rsidRPr="00E10347">
        <w:rPr>
          <w:rFonts w:ascii="Palatino Linotype" w:eastAsia="MS PGothic" w:hAnsi="Palatino Linotype"/>
          <w:sz w:val="21"/>
          <w:szCs w:val="21"/>
          <w:lang w:val="es-ES_tradnl" w:eastAsia="es-ES"/>
        </w:rPr>
        <w:t>conocimiento científico” que estaba señalado en las FRE.</w:t>
      </w:r>
      <w:r w:rsidRPr="00E10347">
        <w:rPr>
          <w:rStyle w:val="Refdenotaalpie"/>
          <w:rFonts w:ascii="Palatino Linotype" w:eastAsia="MS PGothic" w:hAnsi="Palatino Linotype"/>
          <w:sz w:val="21"/>
          <w:szCs w:val="21"/>
          <w:lang w:val="es-ES_tradnl" w:eastAsia="es-ES"/>
        </w:rPr>
        <w:t xml:space="preserve"> </w:t>
      </w:r>
      <w:r w:rsidRPr="00E10347">
        <w:rPr>
          <w:rStyle w:val="Refdenotaalpie"/>
          <w:rFonts w:ascii="Palatino Linotype" w:eastAsia="MS PGothic" w:hAnsi="Palatino Linotype"/>
          <w:sz w:val="21"/>
          <w:szCs w:val="21"/>
          <w:lang w:val="es-ES_tradnl" w:eastAsia="es-ES"/>
        </w:rPr>
        <w:footnoteReference w:id="104"/>
      </w:r>
      <w:r w:rsidRPr="00E10347">
        <w:rPr>
          <w:rFonts w:ascii="Palatino Linotype" w:eastAsia="MS PGothic" w:hAnsi="Palatino Linotype"/>
          <w:i/>
          <w:sz w:val="21"/>
          <w:szCs w:val="21"/>
          <w:lang w:val="es-ES_tradnl" w:eastAsia="es-ES"/>
        </w:rPr>
        <w:t xml:space="preserve"> </w:t>
      </w:r>
      <w:r w:rsidRPr="00E10347">
        <w:rPr>
          <w:rFonts w:ascii="Palatino Linotype" w:eastAsia="MS PGothic" w:hAnsi="Palatino Linotype"/>
          <w:sz w:val="21"/>
          <w:szCs w:val="21"/>
          <w:lang w:val="es-ES_tradnl" w:eastAsia="es-ES"/>
        </w:rPr>
        <w:t xml:space="preserve">En este punto, se enfatizó que esta valoración debería </w:t>
      </w:r>
      <w:r w:rsidRPr="00E10347">
        <w:rPr>
          <w:rFonts w:ascii="Palatino Linotype" w:eastAsia="MS PGothic" w:hAnsi="Palatino Linotype"/>
          <w:sz w:val="21"/>
          <w:szCs w:val="21"/>
          <w:lang w:val="es-ES_tradnl" w:eastAsia="es-ES"/>
        </w:rPr>
        <w:lastRenderedPageBreak/>
        <w:t xml:space="preserve">centrarse exclusivamente en los principios y la metodología subyacentes a la prueba en cuestión y </w:t>
      </w:r>
      <w:r w:rsidRPr="00E10347">
        <w:rPr>
          <w:rFonts w:ascii="Palatino Linotype" w:eastAsia="MS PGothic" w:hAnsi="Palatino Linotype"/>
          <w:i/>
          <w:sz w:val="21"/>
          <w:szCs w:val="21"/>
          <w:lang w:val="es-ES_tradnl" w:eastAsia="es-ES"/>
        </w:rPr>
        <w:t>no</w:t>
      </w:r>
      <w:r w:rsidRPr="00E10347">
        <w:rPr>
          <w:rFonts w:ascii="Palatino Linotype" w:eastAsia="MS PGothic" w:hAnsi="Palatino Linotype"/>
          <w:sz w:val="21"/>
          <w:szCs w:val="21"/>
          <w:lang w:val="es-ES_tradnl" w:eastAsia="es-ES"/>
        </w:rPr>
        <w:t xml:space="preserve"> en sus conclusiones. Por ello, se debería valorar la</w:t>
      </w:r>
      <w:r w:rsidRPr="00E10347">
        <w:rPr>
          <w:rFonts w:ascii="Palatino Linotype" w:eastAsia="MS PGothic" w:hAnsi="Palatino Linotype"/>
          <w:i/>
          <w:sz w:val="21"/>
          <w:szCs w:val="21"/>
          <w:lang w:val="es-ES_tradnl" w:eastAsia="es-ES"/>
        </w:rPr>
        <w:t xml:space="preserve"> </w:t>
      </w:r>
      <w:r w:rsidRPr="00E10347">
        <w:rPr>
          <w:rFonts w:ascii="Palatino Linotype" w:eastAsia="MS PGothic" w:hAnsi="Palatino Linotype"/>
          <w:sz w:val="21"/>
          <w:szCs w:val="21"/>
          <w:lang w:val="es-ES_tradnl" w:eastAsia="es-ES"/>
        </w:rPr>
        <w:t>validez científica del método</w:t>
      </w:r>
      <w:r w:rsidRPr="00E10347">
        <w:rPr>
          <w:rFonts w:ascii="Palatino Linotype" w:eastAsia="MS PGothic" w:hAnsi="Palatino Linotype"/>
          <w:i/>
          <w:sz w:val="21"/>
          <w:szCs w:val="21"/>
          <w:lang w:val="es-ES_tradnl" w:eastAsia="es-ES"/>
        </w:rPr>
        <w:t xml:space="preserve"> </w:t>
      </w:r>
      <w:r w:rsidRPr="00E10347">
        <w:rPr>
          <w:rFonts w:ascii="Palatino Linotype" w:eastAsia="MS PGothic" w:hAnsi="Palatino Linotype"/>
          <w:sz w:val="21"/>
          <w:szCs w:val="21"/>
          <w:lang w:val="es-ES_tradnl" w:eastAsia="es-ES"/>
        </w:rPr>
        <w:t xml:space="preserve">por el cual el experto había arribado a sus conclusiones; así, de alguna manera, la Corte terminó equiparando fiabilidad y cientificidad. </w:t>
      </w:r>
    </w:p>
    <w:p w:rsidR="009A5379" w:rsidRDefault="009A5379" w:rsidP="00E10347">
      <w:pPr>
        <w:tabs>
          <w:tab w:val="left" w:pos="284"/>
        </w:tabs>
        <w:rPr>
          <w:rFonts w:ascii="Palatino Linotype" w:hAnsi="Palatino Linotype"/>
          <w:b/>
          <w:sz w:val="21"/>
          <w:szCs w:val="21"/>
        </w:rPr>
      </w:pPr>
    </w:p>
    <w:p w:rsidR="002014CA" w:rsidRPr="00E10347" w:rsidRDefault="002014CA" w:rsidP="00E10347">
      <w:pPr>
        <w:tabs>
          <w:tab w:val="left" w:pos="284"/>
        </w:tabs>
        <w:rPr>
          <w:rFonts w:ascii="Palatino Linotype" w:hAnsi="Palatino Linotype"/>
          <w:b/>
          <w:sz w:val="21"/>
          <w:szCs w:val="21"/>
        </w:rPr>
      </w:pPr>
      <w:r w:rsidRPr="00E10347">
        <w:rPr>
          <w:rFonts w:ascii="Palatino Linotype" w:hAnsi="Palatino Linotype"/>
          <w:b/>
          <w:sz w:val="21"/>
          <w:szCs w:val="21"/>
        </w:rPr>
        <w:t>4.- Los factores Daubert</w:t>
      </w:r>
    </w:p>
    <w:p w:rsidR="002014CA" w:rsidRPr="00E10347" w:rsidRDefault="002014CA" w:rsidP="00E10347">
      <w:pPr>
        <w:tabs>
          <w:tab w:val="left" w:pos="284"/>
        </w:tabs>
        <w:ind w:firstLine="709"/>
        <w:contextualSpacing/>
        <w:jc w:val="both"/>
        <w:rPr>
          <w:rFonts w:ascii="Palatino Linotype" w:eastAsia="MS PGothic" w:hAnsi="Palatino Linotype"/>
          <w:sz w:val="21"/>
          <w:szCs w:val="21"/>
          <w:lang w:val="es-ES_tradnl" w:eastAsia="es-ES"/>
        </w:rPr>
      </w:pPr>
      <w:r w:rsidRPr="00E10347">
        <w:rPr>
          <w:rFonts w:ascii="Palatino Linotype" w:hAnsi="Palatino Linotype"/>
          <w:sz w:val="21"/>
          <w:szCs w:val="21"/>
        </w:rPr>
        <w:t xml:space="preserve">Una vez sentados los presupuestos anteriores, el segundo paso en la resolución de la Corte Suprema fue indicar, </w:t>
      </w:r>
      <w:r w:rsidRPr="00E10347">
        <w:rPr>
          <w:rFonts w:ascii="Palatino Linotype" w:hAnsi="Palatino Linotype"/>
          <w:i/>
          <w:sz w:val="21"/>
          <w:szCs w:val="21"/>
        </w:rPr>
        <w:t>a manera de mera recomendación o sugerencia</w:t>
      </w:r>
      <w:r w:rsidRPr="00E10347">
        <w:rPr>
          <w:rFonts w:ascii="Palatino Linotype" w:hAnsi="Palatino Linotype"/>
          <w:sz w:val="21"/>
          <w:szCs w:val="21"/>
        </w:rPr>
        <w:t>, una serie de factores para valorar la cientificidad y, con ello, la fiabilidad probatoria de las pruebas en cuestión. Cabe enfatizar, no obstante, que explícitamente se señaló la posibilidad de usar cualquier otro criterio emitido por los tribunales estadounidenses</w:t>
      </w:r>
      <w:r w:rsidRPr="00E10347">
        <w:rPr>
          <w:rFonts w:ascii="Palatino Linotype" w:hAnsi="Palatino Linotype"/>
          <w:sz w:val="21"/>
          <w:szCs w:val="21"/>
          <w:vertAlign w:val="superscript"/>
        </w:rPr>
        <w:footnoteReference w:id="105"/>
      </w:r>
      <w:r w:rsidRPr="00E10347">
        <w:rPr>
          <w:rFonts w:ascii="Palatino Linotype" w:hAnsi="Palatino Linotype"/>
          <w:sz w:val="21"/>
          <w:szCs w:val="21"/>
        </w:rPr>
        <w:t xml:space="preserve"> o, bien, propuesto por la literatura jurídica.</w:t>
      </w:r>
      <w:r w:rsidRPr="00E10347">
        <w:rPr>
          <w:rFonts w:ascii="Palatino Linotype" w:hAnsi="Palatino Linotype"/>
          <w:sz w:val="21"/>
          <w:szCs w:val="21"/>
          <w:vertAlign w:val="superscript"/>
        </w:rPr>
        <w:footnoteReference w:id="106"/>
      </w:r>
      <w:r w:rsidRPr="00E10347">
        <w:rPr>
          <w:rFonts w:ascii="Palatino Linotype" w:hAnsi="Palatino Linotype"/>
          <w:sz w:val="21"/>
          <w:szCs w:val="21"/>
        </w:rPr>
        <w:t xml:space="preserve"> Se apuntó, entonces, que el listado no era exhaustivo ni definitivo, sino ilustrativo y flexible.  </w:t>
      </w:r>
      <w:r w:rsidRPr="00E10347">
        <w:rPr>
          <w:rFonts w:ascii="Palatino Linotype" w:eastAsia="MS PGothic" w:hAnsi="Palatino Linotype"/>
          <w:sz w:val="21"/>
          <w:szCs w:val="21"/>
          <w:lang w:val="es-ES_tradnl" w:eastAsia="es-ES"/>
        </w:rPr>
        <w:t xml:space="preserve">Pues bien, propuestos por el magistrado J. Blackmun y aceptados por la </w:t>
      </w:r>
      <w:r w:rsidRPr="00E10347">
        <w:rPr>
          <w:rFonts w:ascii="Palatino Linotype" w:eastAsia="MS PGothic" w:hAnsi="Palatino Linotype"/>
          <w:sz w:val="21"/>
          <w:szCs w:val="21"/>
          <w:lang w:val="es-ES_tradnl" w:eastAsia="es-ES"/>
        </w:rPr>
        <w:lastRenderedPageBreak/>
        <w:t xml:space="preserve">mayoría de los entonces miembros de la Corte, se indicaron los siguientes cuatro factores de cientificidad y/o fiabilidad probatoria:    </w:t>
      </w:r>
    </w:p>
    <w:p w:rsidR="002014CA" w:rsidRPr="00E10347" w:rsidRDefault="002014CA" w:rsidP="00E83320">
      <w:pPr>
        <w:pStyle w:val="Prrafodelista"/>
        <w:widowControl/>
        <w:numPr>
          <w:ilvl w:val="0"/>
          <w:numId w:val="32"/>
        </w:numPr>
        <w:autoSpaceDE/>
        <w:autoSpaceDN/>
        <w:adjustRightInd/>
        <w:ind w:firstLine="709"/>
        <w:jc w:val="both"/>
        <w:rPr>
          <w:rFonts w:ascii="Palatino Linotype" w:eastAsia="Times New Roman" w:hAnsi="Palatino Linotype"/>
          <w:sz w:val="21"/>
          <w:szCs w:val="21"/>
          <w:lang w:val="es-MX"/>
        </w:rPr>
      </w:pPr>
      <w:r w:rsidRPr="00E10347">
        <w:rPr>
          <w:rFonts w:ascii="Palatino Linotype" w:eastAsia="Times New Roman" w:hAnsi="Palatino Linotype"/>
          <w:sz w:val="21"/>
          <w:szCs w:val="21"/>
          <w:lang w:val="es-MX"/>
        </w:rPr>
        <w:t>Si la teoría o técnica puede ser (</w:t>
      </w:r>
      <w:r w:rsidRPr="00E10347">
        <w:rPr>
          <w:rFonts w:ascii="Palatino Linotype" w:eastAsia="Times New Roman" w:hAnsi="Palatino Linotype"/>
          <w:i/>
          <w:sz w:val="21"/>
          <w:szCs w:val="21"/>
          <w:lang w:val="es-MX"/>
        </w:rPr>
        <w:t>y</w:t>
      </w:r>
      <w:r w:rsidRPr="00E10347">
        <w:rPr>
          <w:rFonts w:ascii="Palatino Linotype" w:eastAsia="Times New Roman" w:hAnsi="Palatino Linotype"/>
          <w:sz w:val="21"/>
          <w:szCs w:val="21"/>
          <w:lang w:val="es-MX"/>
        </w:rPr>
        <w:t xml:space="preserve"> ha sido) sometida a prueba, lo que constituiría un criterio que </w:t>
      </w:r>
      <w:r w:rsidRPr="00E10347">
        <w:rPr>
          <w:rFonts w:ascii="Palatino Linotype" w:eastAsia="Times New Roman" w:hAnsi="Palatino Linotype"/>
          <w:i/>
          <w:sz w:val="21"/>
          <w:szCs w:val="21"/>
          <w:lang w:val="es-MX"/>
        </w:rPr>
        <w:t>comúnmente</w:t>
      </w:r>
      <w:r w:rsidRPr="00E10347">
        <w:rPr>
          <w:rFonts w:ascii="Palatino Linotype" w:eastAsia="Times New Roman" w:hAnsi="Palatino Linotype"/>
          <w:sz w:val="21"/>
          <w:szCs w:val="21"/>
          <w:lang w:val="es-MX"/>
        </w:rPr>
        <w:t xml:space="preserve"> distinguiría a la ciencia de otro tipo de actividades humanas.</w:t>
      </w:r>
    </w:p>
    <w:p w:rsidR="002014CA" w:rsidRPr="00E10347" w:rsidRDefault="002014CA" w:rsidP="00E83320">
      <w:pPr>
        <w:pStyle w:val="Prrafodelista"/>
        <w:widowControl/>
        <w:numPr>
          <w:ilvl w:val="0"/>
          <w:numId w:val="32"/>
        </w:numPr>
        <w:autoSpaceDE/>
        <w:autoSpaceDN/>
        <w:adjustRightInd/>
        <w:ind w:firstLine="709"/>
        <w:jc w:val="both"/>
        <w:rPr>
          <w:rFonts w:ascii="Palatino Linotype" w:eastAsia="Times New Roman" w:hAnsi="Palatino Linotype"/>
          <w:sz w:val="21"/>
          <w:szCs w:val="21"/>
          <w:lang w:val="es-MX"/>
        </w:rPr>
      </w:pPr>
      <w:r w:rsidRPr="00E10347">
        <w:rPr>
          <w:rFonts w:ascii="Palatino Linotype" w:eastAsia="Times New Roman" w:hAnsi="Palatino Linotype"/>
          <w:sz w:val="21"/>
          <w:szCs w:val="21"/>
          <w:lang w:val="es-MX"/>
        </w:rPr>
        <w:t>Si la teoría o técnica empleada ha sido publicada o sujeta a la revisión por pares.</w:t>
      </w:r>
    </w:p>
    <w:p w:rsidR="002014CA" w:rsidRPr="00E10347" w:rsidRDefault="002014CA" w:rsidP="00E83320">
      <w:pPr>
        <w:pStyle w:val="Prrafodelista"/>
        <w:widowControl/>
        <w:numPr>
          <w:ilvl w:val="0"/>
          <w:numId w:val="32"/>
        </w:numPr>
        <w:autoSpaceDE/>
        <w:autoSpaceDN/>
        <w:adjustRightInd/>
        <w:ind w:firstLine="709"/>
        <w:jc w:val="both"/>
        <w:rPr>
          <w:rFonts w:ascii="Palatino Linotype" w:eastAsia="Times New Roman" w:hAnsi="Palatino Linotype"/>
          <w:sz w:val="21"/>
          <w:szCs w:val="21"/>
          <w:lang w:val="es-MX"/>
        </w:rPr>
      </w:pPr>
      <w:r w:rsidRPr="00E10347">
        <w:rPr>
          <w:rFonts w:ascii="Palatino Linotype" w:eastAsia="Times New Roman" w:hAnsi="Palatino Linotype"/>
          <w:sz w:val="21"/>
          <w:szCs w:val="21"/>
          <w:lang w:val="es-MX"/>
        </w:rPr>
        <w:t xml:space="preserve">Si se trata de una técnica científica, el rango de error conocido </w:t>
      </w:r>
      <w:r w:rsidRPr="00E10347">
        <w:rPr>
          <w:rFonts w:ascii="Palatino Linotype" w:eastAsia="Times New Roman" w:hAnsi="Palatino Linotype"/>
          <w:i/>
          <w:sz w:val="21"/>
          <w:szCs w:val="21"/>
          <w:lang w:val="es-MX"/>
        </w:rPr>
        <w:t>o</w:t>
      </w:r>
      <w:r w:rsidRPr="00E10347">
        <w:rPr>
          <w:rFonts w:ascii="Palatino Linotype" w:eastAsia="Times New Roman" w:hAnsi="Palatino Linotype"/>
          <w:sz w:val="21"/>
          <w:szCs w:val="21"/>
          <w:lang w:val="es-MX"/>
        </w:rPr>
        <w:t xml:space="preserve"> posible, así como la existencia de estándares de calidad y su cumplimiento durante su práctica.</w:t>
      </w:r>
    </w:p>
    <w:p w:rsidR="002014CA" w:rsidRPr="00E10347" w:rsidRDefault="002014CA" w:rsidP="00E83320">
      <w:pPr>
        <w:pStyle w:val="Prrafodelista"/>
        <w:widowControl/>
        <w:numPr>
          <w:ilvl w:val="0"/>
          <w:numId w:val="32"/>
        </w:numPr>
        <w:autoSpaceDE/>
        <w:autoSpaceDN/>
        <w:adjustRightInd/>
        <w:ind w:firstLine="709"/>
        <w:jc w:val="both"/>
        <w:rPr>
          <w:rFonts w:ascii="Palatino Linotype" w:eastAsia="Times New Roman" w:hAnsi="Palatino Linotype"/>
          <w:sz w:val="21"/>
          <w:szCs w:val="21"/>
          <w:lang w:val="es-MX"/>
        </w:rPr>
      </w:pPr>
      <w:r w:rsidRPr="00E10347">
        <w:rPr>
          <w:rFonts w:ascii="Palatino Linotype" w:eastAsia="Times New Roman" w:hAnsi="Palatino Linotype"/>
          <w:sz w:val="21"/>
          <w:szCs w:val="21"/>
          <w:lang w:val="es-MX"/>
        </w:rPr>
        <w:t>Y, finalmente, si la teoría o técnica cuenta con una amplia aceptación de la comunidad científica relevante.</w:t>
      </w:r>
      <w:r w:rsidRPr="00E10347">
        <w:rPr>
          <w:rFonts w:ascii="Palatino Linotype" w:hAnsi="Palatino Linotype"/>
          <w:sz w:val="21"/>
          <w:szCs w:val="21"/>
          <w:vertAlign w:val="superscript"/>
          <w:lang w:val="es-MX"/>
        </w:rPr>
        <w:footnoteReference w:id="107"/>
      </w:r>
      <w:r w:rsidRPr="00E10347">
        <w:rPr>
          <w:rFonts w:ascii="Palatino Linotype" w:eastAsia="Times New Roman" w:hAnsi="Palatino Linotype"/>
          <w:sz w:val="21"/>
          <w:szCs w:val="21"/>
          <w:lang w:val="es-MX"/>
        </w:rPr>
        <w:t xml:space="preserve"> </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 xml:space="preserve">Estos factores han sido interpretados de formas muy diversas por los distintos tribunales estadounidenses (y traducidos también de distintas maneras a diversos idiomas por tribunales y estudiosos del derecho de otros sistemas). Sin embargo, hacer aquí un recuento de todo ello, además de sobrepasar los límites de este trabajo, es de poco interés para los objetivos del mismo. Si queremos analizar la potencialidad de </w:t>
      </w:r>
      <w:r w:rsidRPr="00E10347">
        <w:rPr>
          <w:rFonts w:ascii="Palatino Linotype" w:eastAsia="MS PGothic" w:hAnsi="Palatino Linotype"/>
          <w:i/>
          <w:sz w:val="21"/>
          <w:szCs w:val="21"/>
          <w:lang w:val="es-ES_tradnl" w:eastAsia="es-ES"/>
        </w:rPr>
        <w:t>Daubert</w:t>
      </w:r>
      <w:r w:rsidRPr="00E10347">
        <w:rPr>
          <w:rFonts w:ascii="Palatino Linotype" w:eastAsia="MS PGothic" w:hAnsi="Palatino Linotype"/>
          <w:sz w:val="21"/>
          <w:szCs w:val="21"/>
          <w:lang w:val="es-ES_tradnl" w:eastAsia="es-ES"/>
        </w:rPr>
        <w:t xml:space="preserve">, resulta más relevante identificar los problemas de cada uno de los criterios que lo conforman, a lo que me dedicaré en los próximos párrafos; a excepción de la aceptación de la comunidad experta, cuyos principales problemas ya fueron reseñados. </w:t>
      </w:r>
    </w:p>
    <w:p w:rsidR="009A5379" w:rsidRDefault="009A5379" w:rsidP="00E10347">
      <w:pPr>
        <w:widowControl/>
        <w:autoSpaceDE/>
        <w:autoSpaceDN/>
        <w:adjustRightInd/>
        <w:contextualSpacing/>
        <w:jc w:val="both"/>
        <w:rPr>
          <w:rFonts w:ascii="Palatino Linotype" w:hAnsi="Palatino Linotype"/>
          <w:b/>
          <w:sz w:val="21"/>
          <w:szCs w:val="21"/>
          <w:lang w:val="es-CR"/>
        </w:rPr>
      </w:pPr>
    </w:p>
    <w:p w:rsidR="002014CA" w:rsidRPr="00E10347" w:rsidRDefault="005771E0" w:rsidP="00E10347">
      <w:pPr>
        <w:widowControl/>
        <w:autoSpaceDE/>
        <w:autoSpaceDN/>
        <w:adjustRightInd/>
        <w:contextualSpacing/>
        <w:jc w:val="both"/>
        <w:rPr>
          <w:rFonts w:ascii="Palatino Linotype" w:hAnsi="Palatino Linotype"/>
          <w:b/>
          <w:sz w:val="21"/>
          <w:szCs w:val="21"/>
          <w:lang w:val="es-CR"/>
        </w:rPr>
      </w:pPr>
      <w:r w:rsidRPr="00E10347">
        <w:rPr>
          <w:rFonts w:ascii="Palatino Linotype" w:hAnsi="Palatino Linotype"/>
          <w:b/>
          <w:sz w:val="21"/>
          <w:szCs w:val="21"/>
          <w:lang w:val="es-CR"/>
        </w:rPr>
        <w:t xml:space="preserve">5.- </w:t>
      </w:r>
      <w:r w:rsidR="002014CA" w:rsidRPr="00E10347">
        <w:rPr>
          <w:rFonts w:ascii="Palatino Linotype" w:hAnsi="Palatino Linotype"/>
          <w:b/>
          <w:sz w:val="21"/>
          <w:szCs w:val="21"/>
          <w:lang w:val="es-CR"/>
        </w:rPr>
        <w:t xml:space="preserve">La filosofía de la ciencia en Daubert </w:t>
      </w:r>
    </w:p>
    <w:p w:rsidR="002014CA" w:rsidRPr="00E10347" w:rsidRDefault="002014CA" w:rsidP="00E10347">
      <w:pPr>
        <w:ind w:firstLine="709"/>
        <w:contextualSpacing/>
        <w:jc w:val="both"/>
        <w:rPr>
          <w:rFonts w:ascii="Palatino Linotype" w:hAnsi="Palatino Linotype"/>
          <w:sz w:val="21"/>
          <w:szCs w:val="21"/>
        </w:rPr>
      </w:pPr>
      <w:r w:rsidRPr="00E10347">
        <w:rPr>
          <w:rFonts w:ascii="Palatino Linotype" w:hAnsi="Palatino Linotype"/>
          <w:sz w:val="21"/>
          <w:szCs w:val="21"/>
        </w:rPr>
        <w:t xml:space="preserve">Como fundamento del primer factor antes mencionado, </w:t>
      </w:r>
      <w:r w:rsidRPr="00E10347">
        <w:rPr>
          <w:rFonts w:ascii="Palatino Linotype" w:eastAsia="Times New Roman" w:hAnsi="Palatino Linotype"/>
          <w:sz w:val="21"/>
          <w:szCs w:val="21"/>
          <w:lang w:val="es-MX"/>
        </w:rPr>
        <w:t>si la teoría o técnica puede ser (</w:t>
      </w:r>
      <w:r w:rsidRPr="00E10347">
        <w:rPr>
          <w:rFonts w:ascii="Palatino Linotype" w:eastAsia="Times New Roman" w:hAnsi="Palatino Linotype"/>
          <w:i/>
          <w:sz w:val="21"/>
          <w:szCs w:val="21"/>
          <w:lang w:val="es-MX"/>
        </w:rPr>
        <w:t>y</w:t>
      </w:r>
      <w:r w:rsidRPr="00E10347">
        <w:rPr>
          <w:rFonts w:ascii="Palatino Linotype" w:eastAsia="Times New Roman" w:hAnsi="Palatino Linotype"/>
          <w:sz w:val="21"/>
          <w:szCs w:val="21"/>
          <w:lang w:val="es-MX"/>
        </w:rPr>
        <w:t xml:space="preserve"> ha sido) sometida a prueba,</w:t>
      </w:r>
      <w:r w:rsidRPr="00E10347">
        <w:rPr>
          <w:rFonts w:ascii="Palatino Linotype" w:hAnsi="Palatino Linotype"/>
          <w:sz w:val="21"/>
          <w:szCs w:val="21"/>
        </w:rPr>
        <w:t xml:space="preserve"> la Corte citó un artículo de Michael D. Green y un par de referencias concretas que en él se hacía a dos reconocidos filósofos de la ciencia, Carl Hempel y Karl Popper.</w:t>
      </w:r>
      <w:r w:rsidRPr="00E10347">
        <w:rPr>
          <w:rStyle w:val="Refdenotaalpie"/>
          <w:rFonts w:ascii="Palatino Linotype" w:hAnsi="Palatino Linotype"/>
          <w:sz w:val="21"/>
          <w:szCs w:val="21"/>
        </w:rPr>
        <w:t xml:space="preserve"> </w:t>
      </w:r>
      <w:r w:rsidRPr="00E10347">
        <w:rPr>
          <w:rFonts w:ascii="Palatino Linotype" w:hAnsi="Palatino Linotype"/>
          <w:sz w:val="21"/>
          <w:szCs w:val="21"/>
        </w:rPr>
        <w:t xml:space="preserve">Del primero se aludió a su idea de que “los enunciados que constituyen una explicación científica deben ser susceptibles de contrastación empírica” (Hempel, 1966: 76); mientras del segundo se citó su </w:t>
      </w:r>
      <w:r w:rsidRPr="00E10347">
        <w:rPr>
          <w:rFonts w:ascii="Palatino Linotype" w:hAnsi="Palatino Linotype"/>
          <w:sz w:val="21"/>
          <w:szCs w:val="21"/>
        </w:rPr>
        <w:lastRenderedPageBreak/>
        <w:t>falsabilidad como criterio de demarcación de lo científico (Popper, 1934: 46 ss.).</w:t>
      </w:r>
      <w:r w:rsidRPr="00E10347">
        <w:rPr>
          <w:rStyle w:val="Refdenotaalpie"/>
          <w:rFonts w:ascii="Palatino Linotype" w:hAnsi="Palatino Linotype"/>
          <w:sz w:val="21"/>
          <w:szCs w:val="21"/>
        </w:rPr>
        <w:footnoteReference w:id="108"/>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Con estas referencias y con sus constantes alusiones a la “cientificidad”, la Corte se introdujo en el problema de establecer un límite preciso para distinguir cualitativamente aquello que </w:t>
      </w:r>
      <w:r w:rsidRPr="00E10347">
        <w:rPr>
          <w:rFonts w:ascii="Palatino Linotype" w:hAnsi="Palatino Linotype"/>
          <w:i/>
          <w:sz w:val="21"/>
          <w:szCs w:val="21"/>
        </w:rPr>
        <w:t>es</w:t>
      </w:r>
      <w:r w:rsidRPr="00E10347">
        <w:rPr>
          <w:rFonts w:ascii="Palatino Linotype" w:hAnsi="Palatino Linotype"/>
          <w:sz w:val="21"/>
          <w:szCs w:val="21"/>
        </w:rPr>
        <w:t xml:space="preserve"> científico de lo que </w:t>
      </w:r>
      <w:r w:rsidRPr="00E10347">
        <w:rPr>
          <w:rFonts w:ascii="Palatino Linotype" w:hAnsi="Palatino Linotype"/>
          <w:i/>
          <w:sz w:val="21"/>
          <w:szCs w:val="21"/>
        </w:rPr>
        <w:t>no lo es,</w:t>
      </w:r>
      <w:r w:rsidRPr="00E10347">
        <w:rPr>
          <w:rFonts w:ascii="Palatino Linotype" w:hAnsi="Palatino Linotype"/>
          <w:sz w:val="21"/>
          <w:szCs w:val="21"/>
        </w:rPr>
        <w:t xml:space="preserve"> lo que en la filosofía de la ciencia se conoce como “problema de la demarcación”.</w:t>
      </w:r>
      <w:r w:rsidRPr="00E10347">
        <w:rPr>
          <w:rStyle w:val="Refdenotaalpie"/>
          <w:rFonts w:ascii="Palatino Linotype" w:hAnsi="Palatino Linotype"/>
          <w:sz w:val="21"/>
          <w:szCs w:val="21"/>
        </w:rPr>
        <w:t xml:space="preserve"> </w:t>
      </w:r>
      <w:r w:rsidRPr="00E10347">
        <w:rPr>
          <w:rStyle w:val="Refdenotaalpie"/>
          <w:rFonts w:ascii="Palatino Linotype" w:hAnsi="Palatino Linotype"/>
          <w:sz w:val="21"/>
          <w:szCs w:val="21"/>
        </w:rPr>
        <w:footnoteReference w:id="109"/>
      </w:r>
      <w:r w:rsidRPr="00E10347">
        <w:rPr>
          <w:rFonts w:ascii="Palatino Linotype" w:hAnsi="Palatino Linotype"/>
          <w:sz w:val="21"/>
          <w:szCs w:val="21"/>
        </w:rPr>
        <w:t xml:space="preserve"> En su versión más fuerte y tradicional, el criterio de demarcación debería permitir </w:t>
      </w:r>
      <w:r w:rsidRPr="00E10347">
        <w:rPr>
          <w:rFonts w:ascii="Palatino Linotype" w:hAnsi="Palatino Linotype"/>
          <w:i/>
          <w:sz w:val="21"/>
          <w:szCs w:val="21"/>
        </w:rPr>
        <w:t>incluir</w:t>
      </w:r>
      <w:r w:rsidRPr="00E10347">
        <w:rPr>
          <w:rFonts w:ascii="Palatino Linotype" w:hAnsi="Palatino Linotype"/>
          <w:sz w:val="21"/>
          <w:szCs w:val="21"/>
        </w:rPr>
        <w:t xml:space="preserve"> aquello que es científico </w:t>
      </w:r>
      <w:r w:rsidRPr="00E10347">
        <w:rPr>
          <w:rFonts w:ascii="Palatino Linotype" w:hAnsi="Palatino Linotype"/>
          <w:i/>
          <w:sz w:val="21"/>
          <w:szCs w:val="21"/>
        </w:rPr>
        <w:t>y</w:t>
      </w:r>
      <w:r w:rsidRPr="00E10347">
        <w:rPr>
          <w:rFonts w:ascii="Palatino Linotype" w:hAnsi="Palatino Linotype"/>
          <w:sz w:val="21"/>
          <w:szCs w:val="21"/>
        </w:rPr>
        <w:t xml:space="preserve"> excluir aquello que no lo es; por ello, exige un conjunto de condiciones necesarias </w:t>
      </w:r>
      <w:r w:rsidRPr="00E10347">
        <w:rPr>
          <w:rFonts w:ascii="Palatino Linotype" w:hAnsi="Palatino Linotype"/>
          <w:i/>
          <w:sz w:val="21"/>
          <w:szCs w:val="21"/>
        </w:rPr>
        <w:t>y</w:t>
      </w:r>
      <w:r w:rsidRPr="00E10347">
        <w:rPr>
          <w:rFonts w:ascii="Palatino Linotype" w:hAnsi="Palatino Linotype"/>
          <w:sz w:val="21"/>
          <w:szCs w:val="21"/>
        </w:rPr>
        <w:t xml:space="preserve"> suficientes para decidir si “x” es científico.</w:t>
      </w:r>
      <w:r w:rsidRPr="00E10347">
        <w:rPr>
          <w:rStyle w:val="Refdenotaalpie"/>
          <w:rFonts w:ascii="Palatino Linotype" w:hAnsi="Palatino Linotype"/>
          <w:sz w:val="21"/>
          <w:szCs w:val="21"/>
        </w:rPr>
        <w:footnoteReference w:id="110"/>
      </w:r>
      <w:r w:rsidRPr="00E10347">
        <w:rPr>
          <w:rFonts w:ascii="Palatino Linotype" w:hAnsi="Palatino Linotype"/>
          <w:sz w:val="21"/>
          <w:szCs w:val="21"/>
        </w:rPr>
        <w:t xml:space="preserve"> Ello supone mostrar que hay algo compartido por todas las ciencias </w:t>
      </w:r>
      <w:r w:rsidRPr="00E10347">
        <w:rPr>
          <w:rFonts w:ascii="Palatino Linotype" w:hAnsi="Palatino Linotype"/>
          <w:i/>
          <w:sz w:val="21"/>
          <w:szCs w:val="21"/>
        </w:rPr>
        <w:t>y</w:t>
      </w:r>
      <w:r w:rsidRPr="00E10347">
        <w:rPr>
          <w:rFonts w:ascii="Palatino Linotype" w:hAnsi="Palatino Linotype"/>
          <w:sz w:val="21"/>
          <w:szCs w:val="21"/>
        </w:rPr>
        <w:t xml:space="preserve"> </w:t>
      </w:r>
      <w:r w:rsidR="002A76CC">
        <w:rPr>
          <w:rFonts w:ascii="Palatino Linotype" w:hAnsi="Palatino Linotype"/>
          <w:sz w:val="21"/>
          <w:szCs w:val="21"/>
        </w:rPr>
        <w:t xml:space="preserve">solo </w:t>
      </w:r>
      <w:r w:rsidRPr="00E10347">
        <w:rPr>
          <w:rFonts w:ascii="Palatino Linotype" w:hAnsi="Palatino Linotype"/>
          <w:sz w:val="21"/>
          <w:szCs w:val="21"/>
        </w:rPr>
        <w:t xml:space="preserve">por éstas, además, por supuesto, </w:t>
      </w:r>
      <w:r w:rsidRPr="00E10347">
        <w:rPr>
          <w:rFonts w:ascii="Palatino Linotype" w:hAnsi="Palatino Linotype"/>
          <w:sz w:val="21"/>
          <w:szCs w:val="21"/>
        </w:rPr>
        <w:lastRenderedPageBreak/>
        <w:t>de las credenciales epistémicas de ese “algo compartido”. Dicho esto, si bien sería absurdo considerar a Daubert como un ensayo de filosofía de la ciencia, sobre todo si se observa que únicamente se citaron algunas referencias al respecto,</w:t>
      </w:r>
      <w:r w:rsidRPr="00E10347">
        <w:rPr>
          <w:rStyle w:val="Refdenotaalpie"/>
          <w:rFonts w:ascii="Palatino Linotype" w:hAnsi="Palatino Linotype"/>
          <w:sz w:val="21"/>
          <w:szCs w:val="21"/>
        </w:rPr>
        <w:footnoteReference w:id="111"/>
      </w:r>
      <w:r w:rsidRPr="00E10347">
        <w:rPr>
          <w:rFonts w:ascii="Palatino Linotype" w:hAnsi="Palatino Linotype"/>
          <w:sz w:val="21"/>
          <w:szCs w:val="21"/>
        </w:rPr>
        <w:t xml:space="preserve"> vale la pena notar las implicaciones o consecuencias prácticas de lo dicho sobretodo por Popper, </w:t>
      </w:r>
      <w:r w:rsidRPr="00E10347">
        <w:rPr>
          <w:rFonts w:ascii="Palatino Linotype" w:hAnsi="Palatino Linotype"/>
          <w:sz w:val="21"/>
          <w:szCs w:val="21"/>
          <w:lang w:val="es-ES_tradnl"/>
        </w:rPr>
        <w:t>quien con independencia de su compleja postura filosófica y los diversos giros en sus tesis (que han conducido a interpretaciones muy diversas de su trabajo), es referencia obligada en el tema</w:t>
      </w:r>
      <w:r w:rsidRPr="00E10347">
        <w:rPr>
          <w:rFonts w:ascii="Palatino Linotype" w:hAnsi="Palatino Linotype"/>
          <w:sz w:val="21"/>
          <w:szCs w:val="21"/>
        </w:rPr>
        <w:t>.</w:t>
      </w:r>
      <w:r w:rsidRPr="00E10347">
        <w:rPr>
          <w:rStyle w:val="Refdenotaalpie"/>
          <w:rFonts w:ascii="Palatino Linotype" w:hAnsi="Palatino Linotype"/>
          <w:sz w:val="21"/>
          <w:szCs w:val="21"/>
        </w:rPr>
        <w:footnoteReference w:id="112"/>
      </w:r>
      <w:r w:rsidRPr="00E10347">
        <w:rPr>
          <w:rFonts w:ascii="Palatino Linotype" w:hAnsi="Palatino Linotype"/>
          <w:sz w:val="21"/>
          <w:szCs w:val="21"/>
        </w:rPr>
        <w:t xml:space="preserve"> </w:t>
      </w:r>
    </w:p>
    <w:p w:rsidR="002014CA" w:rsidRPr="00E10347" w:rsidRDefault="002014CA" w:rsidP="00E10347">
      <w:pPr>
        <w:ind w:firstLine="709"/>
        <w:jc w:val="both"/>
        <w:rPr>
          <w:rFonts w:ascii="Palatino Linotype" w:hAnsi="Palatino Linotype"/>
          <w:sz w:val="21"/>
          <w:szCs w:val="21"/>
          <w:lang w:val="es-ES_tradnl"/>
        </w:rPr>
      </w:pPr>
      <w:r w:rsidRPr="00E10347">
        <w:rPr>
          <w:rFonts w:ascii="Palatino Linotype" w:hAnsi="Palatino Linotype"/>
          <w:sz w:val="21"/>
          <w:szCs w:val="21"/>
          <w:lang w:val="es-ES_tradnl"/>
        </w:rPr>
        <w:t>En primer lugar, habría que decir que Popper (1934: 42) llamó problema de la demarcación al de “encontrar un criterio que permita distinguir entre las ciencias empíricas, por un lado, y los sistemas metafísicos por otro”</w:t>
      </w:r>
      <w:r w:rsidRPr="00E10347">
        <w:rPr>
          <w:rStyle w:val="Refdenotaalpie"/>
          <w:rFonts w:ascii="Palatino Linotype" w:hAnsi="Palatino Linotype"/>
          <w:sz w:val="21"/>
          <w:szCs w:val="21"/>
          <w:lang w:val="es-ES_tradnl"/>
        </w:rPr>
        <w:footnoteReference w:id="113"/>
      </w:r>
      <w:r w:rsidRPr="00E10347">
        <w:rPr>
          <w:rFonts w:ascii="Palatino Linotype" w:hAnsi="Palatino Linotype"/>
          <w:sz w:val="21"/>
          <w:szCs w:val="21"/>
          <w:lang w:val="es-ES_tradnl"/>
        </w:rPr>
        <w:t xml:space="preserve">. En su opinión, el </w:t>
      </w:r>
      <w:r w:rsidRPr="00E10347">
        <w:rPr>
          <w:rFonts w:ascii="Palatino Linotype" w:hAnsi="Palatino Linotype"/>
          <w:sz w:val="21"/>
          <w:szCs w:val="21"/>
          <w:lang w:val="es-ES_tradnl"/>
        </w:rPr>
        <w:lastRenderedPageBreak/>
        <w:t xml:space="preserve">criterio de demarcación “ha de considerarse como una propuesta para un acuerdo o convención” que permita “formular una caracterización apropiada de la ciencia empírica... de tal manera que, ante un sistema de enunciados, seamos capaces de decir si es asunto de la ciencia empírica el estudiarlo más de cerca.” Así, hay que enfatizar que su interés radicaba en diferenciar las ciencias </w:t>
      </w:r>
      <w:r w:rsidRPr="00E10347">
        <w:rPr>
          <w:rFonts w:ascii="Palatino Linotype" w:hAnsi="Palatino Linotype"/>
          <w:i/>
          <w:sz w:val="21"/>
          <w:szCs w:val="21"/>
          <w:lang w:val="es-ES_tradnl"/>
        </w:rPr>
        <w:t>empíricas</w:t>
      </w:r>
      <w:r w:rsidRPr="00E10347">
        <w:rPr>
          <w:rFonts w:ascii="Palatino Linotype" w:hAnsi="Palatino Linotype"/>
          <w:sz w:val="21"/>
          <w:szCs w:val="21"/>
          <w:lang w:val="es-ES_tradnl"/>
        </w:rPr>
        <w:t xml:space="preserve">, más concretamente los enunciados empíricos o pertenecientes a las ciencias empíricas (1972: 311); pero, sobretodo, que se trataría de una mera convención. </w:t>
      </w:r>
    </w:p>
    <w:p w:rsidR="002014CA" w:rsidRPr="00E10347" w:rsidRDefault="002014CA" w:rsidP="00E10347">
      <w:pPr>
        <w:ind w:firstLine="709"/>
        <w:jc w:val="both"/>
        <w:rPr>
          <w:rFonts w:ascii="Palatino Linotype" w:hAnsi="Palatino Linotype"/>
          <w:sz w:val="21"/>
          <w:szCs w:val="21"/>
          <w:lang w:val="es-ES_tradnl"/>
        </w:rPr>
      </w:pPr>
      <w:r w:rsidRPr="00E10347">
        <w:rPr>
          <w:rFonts w:ascii="Palatino Linotype" w:hAnsi="Palatino Linotype"/>
          <w:sz w:val="21"/>
          <w:szCs w:val="21"/>
          <w:lang w:val="es-ES_tradnl"/>
        </w:rPr>
        <w:t>Con estos presupuestos, e</w:t>
      </w:r>
      <w:r w:rsidRPr="00E10347">
        <w:rPr>
          <w:rFonts w:ascii="Palatino Linotype" w:hAnsi="Palatino Linotype"/>
          <w:sz w:val="21"/>
          <w:szCs w:val="21"/>
          <w:lang w:val="es-MX"/>
        </w:rPr>
        <w:t>l criterio de demarcación popperiano es la falsabilidad,</w:t>
      </w:r>
      <w:r w:rsidRPr="00E10347">
        <w:rPr>
          <w:rFonts w:ascii="Palatino Linotype" w:hAnsi="Palatino Linotype"/>
          <w:sz w:val="21"/>
          <w:szCs w:val="21"/>
        </w:rPr>
        <w:t xml:space="preserve"> testabilidad o refutabilidad</w:t>
      </w:r>
      <w:r w:rsidRPr="00E10347">
        <w:rPr>
          <w:rFonts w:ascii="Palatino Linotype" w:hAnsi="Palatino Linotype"/>
          <w:sz w:val="21"/>
          <w:szCs w:val="21"/>
          <w:lang w:val="es-MX"/>
        </w:rPr>
        <w:t xml:space="preserve">: </w:t>
      </w:r>
      <w:r w:rsidRPr="00E10347">
        <w:rPr>
          <w:rFonts w:ascii="Palatino Linotype" w:hAnsi="Palatino Linotype"/>
          <w:sz w:val="21"/>
          <w:szCs w:val="21"/>
        </w:rPr>
        <w:t xml:space="preserve">las teorías científicas se caracterizarían por su </w:t>
      </w:r>
      <w:r w:rsidRPr="00E10347">
        <w:rPr>
          <w:rFonts w:ascii="Palatino Linotype" w:hAnsi="Palatino Linotype"/>
          <w:i/>
          <w:sz w:val="21"/>
          <w:szCs w:val="21"/>
        </w:rPr>
        <w:t>capacidad</w:t>
      </w:r>
      <w:r w:rsidRPr="00E10347">
        <w:rPr>
          <w:rFonts w:ascii="Palatino Linotype" w:hAnsi="Palatino Linotype"/>
          <w:sz w:val="21"/>
          <w:szCs w:val="21"/>
        </w:rPr>
        <w:t xml:space="preserve"> para resistir contrastaciones, por la </w:t>
      </w:r>
      <w:r w:rsidRPr="00E10347">
        <w:rPr>
          <w:rFonts w:ascii="Palatino Linotype" w:hAnsi="Palatino Linotype"/>
          <w:i/>
          <w:sz w:val="21"/>
          <w:szCs w:val="21"/>
        </w:rPr>
        <w:t>posibilidad</w:t>
      </w:r>
      <w:r w:rsidRPr="00E10347">
        <w:rPr>
          <w:rFonts w:ascii="Palatino Linotype" w:hAnsi="Palatino Linotype"/>
          <w:sz w:val="21"/>
          <w:szCs w:val="21"/>
        </w:rPr>
        <w:t xml:space="preserve"> de ser refutadas mediante enunciados contrastadores. Así, dicho criterio se refiere a la posibilidad de ser falsable, a la </w:t>
      </w:r>
      <w:r w:rsidRPr="00E10347">
        <w:rPr>
          <w:rFonts w:ascii="Palatino Linotype" w:hAnsi="Palatino Linotype"/>
          <w:i/>
          <w:sz w:val="21"/>
          <w:szCs w:val="21"/>
        </w:rPr>
        <w:t>posibilidad abstracta</w:t>
      </w:r>
      <w:r w:rsidRPr="00E10347">
        <w:rPr>
          <w:rFonts w:ascii="Palatino Linotype" w:hAnsi="Palatino Linotype"/>
          <w:sz w:val="21"/>
          <w:szCs w:val="21"/>
        </w:rPr>
        <w:t xml:space="preserve"> de que una hipótesis sea sometida a algún test o prueba que pudiera mostrar su falsedad: </w:t>
      </w:r>
    </w:p>
    <w:p w:rsidR="002014CA" w:rsidRPr="00E10347" w:rsidRDefault="002014CA" w:rsidP="00E10347">
      <w:pPr>
        <w:ind w:left="708" w:firstLine="709"/>
        <w:jc w:val="both"/>
        <w:rPr>
          <w:rFonts w:ascii="Palatino Linotype" w:hAnsi="Palatino Linotype"/>
          <w:sz w:val="21"/>
          <w:szCs w:val="21"/>
        </w:rPr>
      </w:pPr>
      <w:r w:rsidRPr="00E10347">
        <w:rPr>
          <w:rFonts w:ascii="Palatino Linotype" w:hAnsi="Palatino Linotype"/>
          <w:sz w:val="21"/>
          <w:szCs w:val="21"/>
        </w:rPr>
        <w:t xml:space="preserve">todo científico que afirme que su teoría es corroborada por medio de algún experimento o de cierta(s) observación(es), debería estar dispuesto a formularse la siguiente pregunta: ¿puedo describir algún resultado posible de observación o de experimento que, si realmente se lograra, refutase mi teoría? (Popper, 1972: 92).  </w:t>
      </w:r>
    </w:p>
    <w:p w:rsidR="002014CA" w:rsidRPr="00E10347" w:rsidRDefault="002A76CC" w:rsidP="00E10347">
      <w:pPr>
        <w:ind w:firstLine="709"/>
        <w:jc w:val="both"/>
        <w:rPr>
          <w:rFonts w:ascii="Palatino Linotype" w:hAnsi="Palatino Linotype"/>
          <w:sz w:val="21"/>
          <w:szCs w:val="21"/>
        </w:rPr>
      </w:pPr>
      <w:r>
        <w:rPr>
          <w:rFonts w:ascii="Palatino Linotype" w:hAnsi="Palatino Linotype"/>
          <w:sz w:val="21"/>
          <w:szCs w:val="21"/>
        </w:rPr>
        <w:t xml:space="preserve">Solo </w:t>
      </w:r>
      <w:r w:rsidR="002014CA" w:rsidRPr="00E10347">
        <w:rPr>
          <w:rFonts w:ascii="Palatino Linotype" w:hAnsi="Palatino Linotype"/>
          <w:sz w:val="21"/>
          <w:szCs w:val="21"/>
        </w:rPr>
        <w:t>aquel enunciado o sistema de enunciados que pudieran entrar en conflicto con observaciones podría, pues, según Popper, ser científico. Como él mismo afirmó, hay grados de testabilidad, i.e., algunas teorías se exponen a las refutaciones más audazmente que otras (1972: 313). Por ello, el criterio de demarcación popperiano no sería categórico, sino gradual.</w:t>
      </w:r>
      <w:r w:rsidR="002014CA" w:rsidRPr="00E10347">
        <w:rPr>
          <w:rFonts w:ascii="Palatino Linotype" w:hAnsi="Palatino Linotype"/>
          <w:sz w:val="21"/>
          <w:szCs w:val="21"/>
          <w:vertAlign w:val="superscript"/>
        </w:rPr>
        <w:footnoteReference w:id="114"/>
      </w:r>
      <w:r w:rsidR="002014CA" w:rsidRPr="00E10347">
        <w:rPr>
          <w:rFonts w:ascii="Palatino Linotype" w:hAnsi="Palatino Linotype"/>
          <w:sz w:val="21"/>
          <w:szCs w:val="21"/>
        </w:rPr>
        <w:t xml:space="preserve">  </w:t>
      </w:r>
    </w:p>
    <w:p w:rsidR="002014CA" w:rsidRPr="00E10347" w:rsidRDefault="002014CA" w:rsidP="00E10347">
      <w:pPr>
        <w:ind w:firstLine="709"/>
        <w:jc w:val="both"/>
        <w:rPr>
          <w:rFonts w:ascii="Palatino Linotype" w:hAnsi="Palatino Linotype"/>
          <w:sz w:val="21"/>
          <w:szCs w:val="21"/>
          <w:lang w:val="es-ES_tradnl"/>
        </w:rPr>
      </w:pPr>
      <w:r w:rsidRPr="00E10347">
        <w:rPr>
          <w:rFonts w:ascii="Palatino Linotype" w:hAnsi="Palatino Linotype"/>
          <w:sz w:val="21"/>
          <w:szCs w:val="21"/>
          <w:lang w:val="es-ES_tradnl"/>
        </w:rPr>
        <w:t xml:space="preserve">Entiéndase bien, un criterio de demarcación como éste no requiere cierto tipo de justificación epistémica </w:t>
      </w:r>
      <w:r w:rsidRPr="00E10347">
        <w:rPr>
          <w:rFonts w:ascii="Palatino Linotype" w:hAnsi="Palatino Linotype"/>
          <w:i/>
          <w:sz w:val="21"/>
          <w:szCs w:val="21"/>
          <w:lang w:val="es-ES_tradnl"/>
        </w:rPr>
        <w:t>vigente</w:t>
      </w:r>
      <w:r w:rsidRPr="00E10347">
        <w:rPr>
          <w:rFonts w:ascii="Palatino Linotype" w:hAnsi="Palatino Linotype"/>
          <w:sz w:val="21"/>
          <w:szCs w:val="21"/>
          <w:lang w:val="es-ES_tradnl"/>
        </w:rPr>
        <w:t xml:space="preserve">, para lo cual sería necesario algún tipo de juicio retrospectivo sobre la hipótesis o la teoría o la afirmación respectiva, sino que </w:t>
      </w:r>
      <w:r w:rsidR="002A76CC">
        <w:rPr>
          <w:rFonts w:ascii="Palatino Linotype" w:hAnsi="Palatino Linotype"/>
          <w:sz w:val="21"/>
          <w:szCs w:val="21"/>
          <w:lang w:val="es-ES_tradnl"/>
        </w:rPr>
        <w:lastRenderedPageBreak/>
        <w:t xml:space="preserve">solo </w:t>
      </w:r>
      <w:r w:rsidRPr="00E10347">
        <w:rPr>
          <w:rFonts w:ascii="Palatino Linotype" w:hAnsi="Palatino Linotype"/>
          <w:sz w:val="21"/>
          <w:szCs w:val="21"/>
          <w:lang w:val="es-ES_tradnl"/>
        </w:rPr>
        <w:t xml:space="preserve">se compromete con algún tipo de </w:t>
      </w:r>
      <w:r w:rsidRPr="00E10347">
        <w:rPr>
          <w:rFonts w:ascii="Palatino Linotype" w:hAnsi="Palatino Linotype"/>
          <w:i/>
          <w:sz w:val="21"/>
          <w:szCs w:val="21"/>
          <w:lang w:val="es-ES_tradnl"/>
        </w:rPr>
        <w:t>potencial</w:t>
      </w:r>
      <w:r w:rsidRPr="00E10347">
        <w:rPr>
          <w:rFonts w:ascii="Palatino Linotype" w:hAnsi="Palatino Linotype"/>
          <w:sz w:val="21"/>
          <w:szCs w:val="21"/>
          <w:lang w:val="es-ES_tradnl"/>
        </w:rPr>
        <w:t xml:space="preserve"> sometimiento a test. Entonces una teoría resultaría científica aun cuando no se le haya sometido a prueba alguna o bien haya sido sometida aunque no la hubiese superado. Por ello, si la pretensión de la Corte era fundamentar la demarcación entre la ciencia y la no-ciencia, su apelación a Popper en el ámbito probatorio podría tener como consecuencia que una prueba que bajo dicho criterio fuera considerada científica debiera ser admitida como tal aun cuando sea falsa y/o cuando ni siquiera se tenga información sobre si de hecho superó (o no) los test a los que fue sometida en el área de conocimiento correspondiente.</w:t>
      </w:r>
      <w:r w:rsidRPr="00E10347">
        <w:rPr>
          <w:rStyle w:val="Refdenotaalpie"/>
          <w:rFonts w:ascii="Palatino Linotype" w:hAnsi="Palatino Linotype"/>
          <w:sz w:val="21"/>
          <w:szCs w:val="21"/>
          <w:lang w:val="es-ES_tradnl"/>
        </w:rPr>
        <w:footnoteReference w:id="115"/>
      </w:r>
      <w:r w:rsidRPr="00E10347">
        <w:rPr>
          <w:rFonts w:ascii="Palatino Linotype" w:hAnsi="Palatino Linotype"/>
          <w:sz w:val="21"/>
          <w:szCs w:val="21"/>
          <w:lang w:val="es-ES_tradnl"/>
        </w:rPr>
        <w:t xml:space="preserve"> </w:t>
      </w:r>
    </w:p>
    <w:p w:rsidR="002014CA" w:rsidRPr="00E10347" w:rsidRDefault="002014CA" w:rsidP="00E10347">
      <w:pPr>
        <w:ind w:firstLine="709"/>
        <w:jc w:val="both"/>
        <w:rPr>
          <w:rFonts w:ascii="Palatino Linotype" w:hAnsi="Palatino Linotype"/>
          <w:sz w:val="21"/>
          <w:szCs w:val="21"/>
          <w:lang w:val="es-ES_tradnl"/>
        </w:rPr>
      </w:pPr>
      <w:r w:rsidRPr="00E10347">
        <w:rPr>
          <w:rFonts w:ascii="Palatino Linotype" w:hAnsi="Palatino Linotype"/>
          <w:sz w:val="21"/>
          <w:szCs w:val="21"/>
          <w:lang w:val="es-ES_tradnl"/>
        </w:rPr>
        <w:t xml:space="preserve">Por otro lado, la cita de Popper quizá podría reconstruirse con el giro que también se ha señalado en su propia teoría, i.e. cambiando la “cientificidad” por el “carácter empírico” de los enunciados. Así, jurídicamente entonces diríamos que una prueba científica debería admitirse cuando pueda tenerse información </w:t>
      </w:r>
      <w:r w:rsidRPr="00E10347">
        <w:rPr>
          <w:rFonts w:ascii="Palatino Linotype" w:hAnsi="Palatino Linotype"/>
          <w:i/>
          <w:sz w:val="21"/>
          <w:szCs w:val="21"/>
          <w:lang w:val="es-ES_tradnl"/>
        </w:rPr>
        <w:t>empírica</w:t>
      </w:r>
      <w:r w:rsidRPr="00E10347">
        <w:rPr>
          <w:rFonts w:ascii="Palatino Linotype" w:hAnsi="Palatino Linotype"/>
          <w:sz w:val="21"/>
          <w:szCs w:val="21"/>
          <w:lang w:val="es-ES_tradnl"/>
        </w:rPr>
        <w:t xml:space="preserve"> sobre su verdad o falsedad.</w:t>
      </w:r>
      <w:r w:rsidRPr="00E10347">
        <w:rPr>
          <w:rFonts w:ascii="Palatino Linotype" w:hAnsi="Palatino Linotype"/>
          <w:sz w:val="21"/>
          <w:szCs w:val="21"/>
          <w:vertAlign w:val="superscript"/>
          <w:lang w:val="es-ES_tradnl"/>
        </w:rPr>
        <w:footnoteReference w:id="116"/>
      </w:r>
      <w:r w:rsidRPr="00E10347">
        <w:rPr>
          <w:rFonts w:ascii="Palatino Linotype" w:hAnsi="Palatino Linotype"/>
          <w:sz w:val="21"/>
          <w:szCs w:val="21"/>
          <w:lang w:val="es-ES_tradnl"/>
        </w:rPr>
        <w:t xml:space="preserve"> Sin embargo, como bien señala Haack (2013: 171) considerar si el testimonio ofrecido ha sido sometido a alguna prueba es un buen criterio cuando el supuesto experto no ha hecho esfuerzo alguno para comprobar y/o demostrar la solidez de sus afirmaciones. En este sentido, serviría como una especie de recordatorio para que los jueces, en el hipotético caso de lo que no lo hubiesen considerado, exijan al perito que fundamente </w:t>
      </w:r>
      <w:r w:rsidRPr="00E10347">
        <w:rPr>
          <w:rFonts w:ascii="Palatino Linotype" w:hAnsi="Palatino Linotype"/>
          <w:i/>
          <w:sz w:val="21"/>
          <w:szCs w:val="21"/>
          <w:lang w:val="es-ES_tradnl"/>
        </w:rPr>
        <w:t>empíricamente</w:t>
      </w:r>
      <w:r w:rsidRPr="00E10347">
        <w:rPr>
          <w:rFonts w:ascii="Palatino Linotype" w:hAnsi="Palatino Linotype"/>
          <w:sz w:val="21"/>
          <w:szCs w:val="21"/>
          <w:lang w:val="es-ES_tradnl"/>
        </w:rPr>
        <w:t xml:space="preserve"> sus afirmaciones.</w:t>
      </w:r>
      <w:r w:rsidRPr="00E10347">
        <w:rPr>
          <w:rFonts w:ascii="Palatino Linotype" w:hAnsi="Palatino Linotype"/>
          <w:sz w:val="21"/>
          <w:szCs w:val="21"/>
          <w:vertAlign w:val="superscript"/>
          <w:lang w:val="es-ES_tradnl"/>
        </w:rPr>
        <w:footnoteReference w:id="117"/>
      </w:r>
      <w:r w:rsidRPr="00E10347">
        <w:rPr>
          <w:rFonts w:ascii="Palatino Linotype" w:hAnsi="Palatino Linotype"/>
          <w:sz w:val="21"/>
          <w:szCs w:val="21"/>
          <w:lang w:val="es-ES_tradnl"/>
        </w:rPr>
        <w:t xml:space="preserve">  </w:t>
      </w:r>
    </w:p>
    <w:p w:rsidR="002014CA" w:rsidRPr="00E10347" w:rsidRDefault="002014CA" w:rsidP="00E10347">
      <w:pPr>
        <w:ind w:firstLine="709"/>
        <w:jc w:val="both"/>
        <w:rPr>
          <w:rFonts w:ascii="Palatino Linotype" w:hAnsi="Palatino Linotype"/>
          <w:sz w:val="21"/>
          <w:szCs w:val="21"/>
          <w:lang w:val="es-ES_tradnl"/>
        </w:rPr>
      </w:pPr>
      <w:r w:rsidRPr="00E10347">
        <w:rPr>
          <w:rFonts w:ascii="Palatino Linotype" w:hAnsi="Palatino Linotype"/>
          <w:sz w:val="21"/>
          <w:szCs w:val="21"/>
        </w:rPr>
        <w:t xml:space="preserve">Así pues, si el objetivo que se proponía la Corte era asegurar de alguna manera la entrada de conocimiento científico firme o sólido, lo que es una exigencia más fuerte que la mera susceptibilidad a la falsación, la teoría popperiana no es </w:t>
      </w:r>
      <w:r w:rsidRPr="00E10347">
        <w:rPr>
          <w:rFonts w:ascii="Palatino Linotype" w:hAnsi="Palatino Linotype"/>
          <w:sz w:val="21"/>
          <w:szCs w:val="21"/>
        </w:rPr>
        <w:lastRenderedPageBreak/>
        <w:t xml:space="preserve">precisamente un fundamento adecuado para ello. </w:t>
      </w:r>
      <w:r w:rsidRPr="00E10347">
        <w:rPr>
          <w:rFonts w:ascii="Palatino Linotype" w:hAnsi="Palatino Linotype"/>
          <w:sz w:val="21"/>
          <w:szCs w:val="21"/>
          <w:lang w:val="es-ES_tradnl"/>
        </w:rPr>
        <w:t>Pero, ¿cuál hubiese sido una concepción adecuada al respecto?</w:t>
      </w:r>
    </w:p>
    <w:p w:rsidR="002014CA" w:rsidRPr="00E10347" w:rsidRDefault="002014CA" w:rsidP="00E10347">
      <w:pPr>
        <w:ind w:firstLine="709"/>
        <w:jc w:val="both"/>
        <w:rPr>
          <w:rFonts w:ascii="Palatino Linotype" w:hAnsi="Palatino Linotype"/>
          <w:sz w:val="21"/>
          <w:szCs w:val="21"/>
          <w:lang w:val="es-MX"/>
        </w:rPr>
      </w:pPr>
      <w:r w:rsidRPr="00E10347">
        <w:rPr>
          <w:rFonts w:ascii="Palatino Linotype" w:hAnsi="Palatino Linotype"/>
          <w:sz w:val="21"/>
          <w:szCs w:val="21"/>
          <w:lang w:val="es-ES_tradnl"/>
        </w:rPr>
        <w:t xml:space="preserve">En la historia de la filosofía de la ciencia se han ofrecido criterios de demarcación muy variados, ninguno de los cuales ha sido predominante y muchos de los cuales se han demostrado insostenibles. Entre otras cuestiones, ello ha llevado a varios filósofos de la ciencia a sostener que la preocupación por especificar el método o aquello que distingue a la actividad científica de otras actividades es inútil dado que no existe una distinción tajante entre la ciencia y la no-ciencia; mucho menos que hay algo que distinga cualitativamente de forma superior a todas las ciencias y </w:t>
      </w:r>
      <w:r w:rsidR="002A76CC">
        <w:rPr>
          <w:rFonts w:ascii="Palatino Linotype" w:hAnsi="Palatino Linotype"/>
          <w:sz w:val="21"/>
          <w:szCs w:val="21"/>
          <w:lang w:val="es-ES_tradnl"/>
        </w:rPr>
        <w:t xml:space="preserve">solo </w:t>
      </w:r>
      <w:r w:rsidRPr="00E10347">
        <w:rPr>
          <w:rFonts w:ascii="Palatino Linotype" w:hAnsi="Palatino Linotype"/>
          <w:sz w:val="21"/>
          <w:szCs w:val="21"/>
          <w:lang w:val="es-ES_tradnl"/>
        </w:rPr>
        <w:t>a las ciencias. Si esto es así, entonces, ninguna filosofía de la ciencia podría ofrecer criterios válidos para distinguir la pretendida genuinidad científica (Laudan, 1977 y Haack, 2007: 251).</w:t>
      </w:r>
      <w:r w:rsidRPr="00E10347">
        <w:rPr>
          <w:rFonts w:ascii="Palatino Linotype" w:hAnsi="Palatino Linotype"/>
          <w:sz w:val="21"/>
          <w:szCs w:val="21"/>
          <w:lang w:val="es-MX"/>
        </w:rPr>
        <w:t xml:space="preserve"> </w:t>
      </w:r>
      <w:r w:rsidRPr="00E10347">
        <w:rPr>
          <w:rFonts w:ascii="Palatino Linotype" w:hAnsi="Palatino Linotype"/>
          <w:sz w:val="21"/>
          <w:szCs w:val="21"/>
          <w:lang w:val="es-ES_tradnl"/>
        </w:rPr>
        <w:t>En todo este amplio y complejo panorama, ¿</w:t>
      </w:r>
      <w:r w:rsidRPr="00E10347">
        <w:rPr>
          <w:rFonts w:ascii="Palatino Linotype" w:hAnsi="Palatino Linotype"/>
          <w:i/>
          <w:sz w:val="21"/>
          <w:szCs w:val="21"/>
          <w:lang w:val="es-ES_tradnl"/>
        </w:rPr>
        <w:t>jurídicamente</w:t>
      </w:r>
      <w:r w:rsidRPr="00E10347">
        <w:rPr>
          <w:rFonts w:ascii="Palatino Linotype" w:hAnsi="Palatino Linotype"/>
          <w:sz w:val="21"/>
          <w:szCs w:val="21"/>
          <w:lang w:val="es-ES_tradnl"/>
        </w:rPr>
        <w:t xml:space="preserve"> cuál sería la opción?</w:t>
      </w:r>
      <w:r w:rsidRPr="00E10347">
        <w:rPr>
          <w:rFonts w:ascii="Palatino Linotype" w:hAnsi="Palatino Linotype"/>
          <w:sz w:val="21"/>
          <w:szCs w:val="21"/>
          <w:vertAlign w:val="superscript"/>
          <w:lang w:val="es-ES_tradnl"/>
        </w:rPr>
        <w:footnoteReference w:id="118"/>
      </w:r>
      <w:r w:rsidRPr="00E10347">
        <w:rPr>
          <w:rFonts w:ascii="Palatino Linotype" w:hAnsi="Palatino Linotype"/>
          <w:sz w:val="21"/>
          <w:szCs w:val="21"/>
          <w:lang w:val="es-ES_tradnl"/>
        </w:rPr>
        <w:t xml:space="preserve"> ¿que un tribunal, o el propio legislador, terminara </w:t>
      </w:r>
      <w:r w:rsidRPr="00E10347">
        <w:rPr>
          <w:rFonts w:ascii="Palatino Linotype" w:hAnsi="Palatino Linotype"/>
          <w:i/>
          <w:sz w:val="21"/>
          <w:szCs w:val="21"/>
          <w:lang w:val="es-ES_tradnl"/>
        </w:rPr>
        <w:t>decidiendo</w:t>
      </w:r>
      <w:r w:rsidRPr="00E10347">
        <w:rPr>
          <w:rFonts w:ascii="Palatino Linotype" w:hAnsi="Palatino Linotype"/>
          <w:sz w:val="21"/>
          <w:szCs w:val="21"/>
          <w:lang w:val="es-ES_tradnl"/>
        </w:rPr>
        <w:t xml:space="preserve"> disputas filosóficas o científicas? </w:t>
      </w:r>
    </w:p>
    <w:p w:rsidR="002014CA" w:rsidRPr="00E10347" w:rsidRDefault="002014CA" w:rsidP="00E10347">
      <w:pPr>
        <w:ind w:firstLine="709"/>
        <w:jc w:val="both"/>
        <w:rPr>
          <w:rFonts w:ascii="Palatino Linotype" w:hAnsi="Palatino Linotype"/>
          <w:sz w:val="21"/>
          <w:szCs w:val="21"/>
          <w:lang w:val="es-ES_tradnl"/>
        </w:rPr>
      </w:pPr>
      <w:r w:rsidRPr="00E10347">
        <w:rPr>
          <w:rFonts w:ascii="Palatino Linotype" w:hAnsi="Palatino Linotype"/>
          <w:sz w:val="21"/>
          <w:szCs w:val="21"/>
          <w:lang w:val="es-MX"/>
        </w:rPr>
        <w:t xml:space="preserve">En mi opinión, no es necesario si quiera entrar a discutir cuestiones sobre la cientificidad. Si observamos mínimamente el funcionamiento real de la empresa científica, parece claro que dentro de la ciencia hay una gran heterogeneidad epistémica, algunas técnicas son más o menos fiables, algunas teorías están más o menos sustentadas, etc.; pero, además, no </w:t>
      </w:r>
      <w:r w:rsidR="002A76CC">
        <w:rPr>
          <w:rFonts w:ascii="Palatino Linotype" w:hAnsi="Palatino Linotype"/>
          <w:sz w:val="21"/>
          <w:szCs w:val="21"/>
          <w:lang w:val="es-MX"/>
        </w:rPr>
        <w:t xml:space="preserve">solo </w:t>
      </w:r>
      <w:r w:rsidRPr="00E10347">
        <w:rPr>
          <w:rFonts w:ascii="Palatino Linotype" w:hAnsi="Palatino Linotype"/>
          <w:sz w:val="21"/>
          <w:szCs w:val="21"/>
          <w:lang w:val="es-MX"/>
        </w:rPr>
        <w:t xml:space="preserve">lo científico es fiable. Y tal estado de cosas es oscurecido por simples etiquetas como “científico”, “no-científico”, “buena ciencia” o “mala ciencia”, escondiendo con ellas los importantes detalles sobre la información disponible respecto la calidad de aquello que los jueces tienen que valorar. Con independencia de si “X” puede ser calificado de científico, o con independencia de aquello que en filosofía de la ciencia se decida sobre la cientificidad, jurídicamente lo fundamental es pues la información sobre el funciomiento actual de los métodos y las técnicas empleadas y, por supuesto, su correcta aplicación a los hechos del caso concreto. </w:t>
      </w:r>
    </w:p>
    <w:p w:rsidR="002014CA" w:rsidRPr="00E10347" w:rsidRDefault="005771E0" w:rsidP="00E10347">
      <w:pPr>
        <w:keepNext/>
        <w:keepLines/>
        <w:widowControl/>
        <w:autoSpaceDE/>
        <w:autoSpaceDN/>
        <w:adjustRightInd/>
        <w:contextualSpacing/>
        <w:jc w:val="both"/>
        <w:rPr>
          <w:rFonts w:ascii="Palatino Linotype" w:hAnsi="Palatino Linotype"/>
          <w:b/>
          <w:i/>
          <w:sz w:val="21"/>
          <w:szCs w:val="21"/>
          <w:lang w:val="es-CR"/>
        </w:rPr>
      </w:pPr>
      <w:r w:rsidRPr="00E10347">
        <w:rPr>
          <w:rFonts w:ascii="Palatino Linotype" w:hAnsi="Palatino Linotype"/>
          <w:b/>
          <w:sz w:val="21"/>
          <w:szCs w:val="21"/>
          <w:lang w:val="es-CR"/>
        </w:rPr>
        <w:lastRenderedPageBreak/>
        <w:t xml:space="preserve">6.- </w:t>
      </w:r>
      <w:r w:rsidR="002014CA" w:rsidRPr="00E10347">
        <w:rPr>
          <w:rFonts w:ascii="Palatino Linotype" w:hAnsi="Palatino Linotype"/>
          <w:b/>
          <w:sz w:val="21"/>
          <w:szCs w:val="21"/>
          <w:lang w:val="es-CR"/>
        </w:rPr>
        <w:t>Las publicaciones y la evaluación por pares</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 xml:space="preserve">En un trabajo sumamente interesante sobre la evaluación por pares y las publicaciones científicas, Haack (2015: 16) distingue un sentido amplio y un sentido estricto de “evaluación por pares”. En sentido amplio hace referencia a una discusión académica de las ideas presentadas por un experto ante una colectividad científica específica, por ejemplo, en congresos, seminarios, coloquios o incluso entre los compañeros de laboratorio o departamento; mientras que en sentido estricto hace referencia a una evaluación más formal de trabajos escritos para determinar, </w:t>
      </w:r>
      <w:r w:rsidRPr="00E10347">
        <w:rPr>
          <w:rFonts w:ascii="Palatino Linotype" w:eastAsia="MS PGothic" w:hAnsi="Palatino Linotype"/>
          <w:i/>
          <w:sz w:val="21"/>
          <w:szCs w:val="21"/>
          <w:lang w:val="es-ES_tradnl" w:eastAsia="es-ES"/>
        </w:rPr>
        <w:t>bajo determinados parámetros</w:t>
      </w:r>
      <w:r w:rsidRPr="00E10347">
        <w:rPr>
          <w:rFonts w:ascii="Palatino Linotype" w:eastAsia="MS PGothic" w:hAnsi="Palatino Linotype"/>
          <w:sz w:val="21"/>
          <w:szCs w:val="21"/>
          <w:lang w:val="es-ES_tradnl" w:eastAsia="es-ES"/>
        </w:rPr>
        <w:t xml:space="preserve">, su publicación en alguna casa editorial o revista académica. </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Si tomamos en cuenta únicamente el sentido estricto de la evaluación por pares, el punto quizá clave a discutir es precisamente lo parámetros usados en la revisión para la publicación. Entre los estándares de aceptación que forman parte de las prácticas editoriales, supuestamente además de la corrección del mismo, suele aludirse a la originalidad del trabajo, su utilidad, las referencias usadas y un largo etcétera;</w:t>
      </w:r>
      <w:r w:rsidRPr="00E10347">
        <w:rPr>
          <w:rFonts w:ascii="Palatino Linotype" w:eastAsia="MS PGothic" w:hAnsi="Palatino Linotype"/>
          <w:sz w:val="21"/>
          <w:szCs w:val="21"/>
          <w:vertAlign w:val="superscript"/>
          <w:lang w:val="es-ES_tradnl" w:eastAsia="es-ES"/>
        </w:rPr>
        <w:footnoteReference w:id="119"/>
      </w:r>
      <w:r w:rsidRPr="00E10347">
        <w:rPr>
          <w:rFonts w:ascii="Palatino Linotype" w:eastAsia="MS PGothic" w:hAnsi="Palatino Linotype"/>
          <w:sz w:val="21"/>
          <w:szCs w:val="21"/>
          <w:lang w:val="es-ES_tradnl" w:eastAsia="es-ES"/>
        </w:rPr>
        <w:t xml:space="preserve"> mismos que, desde luego, llevados a la práctica varían ampliamente de un campo a otro, de una revista o editorial a otra y de un revisor a otro. </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Aun sin profundizar en todo lo anterior, es posible inferir a partir de ello que la evaluación por pares y/o la publicación</w:t>
      </w:r>
      <w:r w:rsidRPr="00E10347">
        <w:rPr>
          <w:rFonts w:ascii="Palatino Linotype" w:eastAsia="MS PGothic" w:hAnsi="Palatino Linotype"/>
          <w:i/>
          <w:sz w:val="21"/>
          <w:szCs w:val="21"/>
          <w:lang w:val="es-ES_tradnl" w:eastAsia="es-ES"/>
        </w:rPr>
        <w:t xml:space="preserve"> </w:t>
      </w:r>
      <w:r w:rsidRPr="00E10347">
        <w:rPr>
          <w:rFonts w:ascii="Palatino Linotype" w:eastAsia="MS PGothic" w:hAnsi="Palatino Linotype"/>
          <w:sz w:val="21"/>
          <w:szCs w:val="21"/>
          <w:lang w:val="es-ES_tradnl" w:eastAsia="es-ES"/>
        </w:rPr>
        <w:t xml:space="preserve">no pueden considerarse como un indicador </w:t>
      </w:r>
      <w:r w:rsidRPr="00E10347">
        <w:rPr>
          <w:rFonts w:ascii="Palatino Linotype" w:eastAsia="MS PGothic" w:hAnsi="Palatino Linotype"/>
          <w:i/>
          <w:sz w:val="21"/>
          <w:szCs w:val="21"/>
          <w:lang w:val="es-ES_tradnl" w:eastAsia="es-ES"/>
        </w:rPr>
        <w:t>consistente</w:t>
      </w:r>
      <w:r w:rsidRPr="00E10347">
        <w:rPr>
          <w:rFonts w:ascii="Palatino Linotype" w:eastAsia="MS PGothic" w:hAnsi="Palatino Linotype"/>
          <w:sz w:val="21"/>
          <w:szCs w:val="21"/>
          <w:lang w:val="es-ES_tradnl" w:eastAsia="es-ES"/>
        </w:rPr>
        <w:t xml:space="preserve"> de la calidad de la teoría o técnica publicada; así pues, el </w:t>
      </w:r>
      <w:r w:rsidRPr="00E10347">
        <w:rPr>
          <w:rFonts w:ascii="Palatino Linotype" w:eastAsia="MS PGothic" w:hAnsi="Palatino Linotype"/>
          <w:i/>
          <w:sz w:val="21"/>
          <w:szCs w:val="21"/>
          <w:lang w:val="es-ES_tradnl" w:eastAsia="es-ES"/>
        </w:rPr>
        <w:t xml:space="preserve">hecho </w:t>
      </w:r>
      <w:r w:rsidRPr="00E10347">
        <w:rPr>
          <w:rFonts w:ascii="Palatino Linotype" w:eastAsia="MS PGothic" w:hAnsi="Palatino Linotype"/>
          <w:sz w:val="21"/>
          <w:szCs w:val="21"/>
          <w:lang w:val="es-ES_tradnl" w:eastAsia="es-ES"/>
        </w:rPr>
        <w:t>de la publicación en sí mismo no es informativo sobre la calidad de lo afirmado en ella.</w:t>
      </w:r>
      <w:r w:rsidRPr="00E10347">
        <w:rPr>
          <w:rFonts w:ascii="Palatino Linotype" w:eastAsia="MS PGothic" w:hAnsi="Palatino Linotype"/>
          <w:sz w:val="21"/>
          <w:szCs w:val="21"/>
          <w:vertAlign w:val="superscript"/>
          <w:lang w:val="es-ES_tradnl" w:eastAsia="es-ES"/>
        </w:rPr>
        <w:t xml:space="preserve"> </w:t>
      </w:r>
      <w:r w:rsidRPr="00E10347">
        <w:rPr>
          <w:rFonts w:ascii="Palatino Linotype" w:eastAsia="MS PGothic" w:hAnsi="Palatino Linotype"/>
          <w:sz w:val="21"/>
          <w:szCs w:val="21"/>
          <w:vertAlign w:val="superscript"/>
          <w:lang w:val="es-ES_tradnl" w:eastAsia="es-ES"/>
        </w:rPr>
        <w:footnoteReference w:id="120"/>
      </w:r>
      <w:r w:rsidRPr="00E10347">
        <w:rPr>
          <w:rFonts w:ascii="Palatino Linotype" w:eastAsia="MS PGothic" w:hAnsi="Palatino Linotype"/>
          <w:sz w:val="21"/>
          <w:szCs w:val="21"/>
          <w:lang w:val="es-ES_tradnl" w:eastAsia="es-ES"/>
        </w:rPr>
        <w:t xml:space="preserve"> En términos generales, un mejor uso de este azaroso factor exigiría tener más información sobre el proceso concreto que ha superado determinado trabajo para </w:t>
      </w:r>
      <w:r w:rsidRPr="00E10347">
        <w:rPr>
          <w:rFonts w:ascii="Palatino Linotype" w:eastAsia="MS PGothic" w:hAnsi="Palatino Linotype"/>
          <w:sz w:val="21"/>
          <w:szCs w:val="21"/>
          <w:lang w:val="es-ES_tradnl" w:eastAsia="es-ES"/>
        </w:rPr>
        <w:lastRenderedPageBreak/>
        <w:t xml:space="preserve">su publicación: cuáles son los criterios que se observaron para decidir la publicación, quiénes fueron los revisores, qué historial tiene la revista, y un largo etcétera. Pero, aun suponiendo que todo el proceso ha ido bien, ¿es relevante en sí mismo haber pasado la revisión por pares? </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 xml:space="preserve">En un escenario ideal, tal revisión serviría como filtro de los buenos trabajos, permitiría revelar errores o incluso abonaría a la corrección de errores. Lamentablemente, parece que estamos lejos de ese ideal, aún así podemos seguir encontrando la potencialidad de la revisión para la publicación o la publicación, no en sí misma o en su proceso, sino </w:t>
      </w:r>
      <w:r w:rsidRPr="00E10347">
        <w:rPr>
          <w:rFonts w:ascii="Palatino Linotype" w:eastAsia="MS PGothic" w:hAnsi="Palatino Linotype"/>
          <w:i/>
          <w:sz w:val="21"/>
          <w:szCs w:val="21"/>
          <w:lang w:val="es-ES_tradnl" w:eastAsia="es-ES"/>
        </w:rPr>
        <w:t>después</w:t>
      </w:r>
      <w:r w:rsidRPr="00E10347">
        <w:rPr>
          <w:rFonts w:ascii="Palatino Linotype" w:eastAsia="MS PGothic" w:hAnsi="Palatino Linotype"/>
          <w:sz w:val="21"/>
          <w:szCs w:val="21"/>
          <w:lang w:val="es-ES_tradnl" w:eastAsia="es-ES"/>
        </w:rPr>
        <w:t xml:space="preserve"> de la publicación. Si las publicaciones son una dinámica epistemológicamente adecuada para el buen desempeño de la empresa científica, lo son porque hacen públicas las ideas, las pruebas, las investigaciones, etc. que terminan siendo filtradas, revisadas y, en su caso, aceptadas por la comunidad experta en general.</w:t>
      </w:r>
      <w:r w:rsidRPr="00E10347">
        <w:rPr>
          <w:rFonts w:ascii="Palatino Linotype" w:eastAsia="MS PGothic" w:hAnsi="Palatino Linotype"/>
          <w:sz w:val="21"/>
          <w:szCs w:val="21"/>
          <w:vertAlign w:val="superscript"/>
          <w:lang w:val="es-ES_tradnl" w:eastAsia="es-ES"/>
        </w:rPr>
        <w:footnoteReference w:id="121"/>
      </w:r>
      <w:r w:rsidRPr="00E10347">
        <w:rPr>
          <w:rFonts w:ascii="Palatino Linotype" w:eastAsia="MS PGothic" w:hAnsi="Palatino Linotype"/>
          <w:sz w:val="21"/>
          <w:szCs w:val="21"/>
          <w:lang w:val="es-ES_tradnl" w:eastAsia="es-ES"/>
        </w:rPr>
        <w:t xml:space="preserve">  Así pues, es lo que sucede después de la publicación lo que nos brinda más y mejor información sobre la calidad de lo afirmado en ésta: ¿qué críticas ha recibido la publicación en cuestión, revelando, por ejemplo, errores o defectos metodológicos?, ¿existen otras publicaciones confirmando, por ejemplo, los experimentos realizados?, etc.   </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Ahora bien, todo lo anterior, evidentemente, tiene lugar al interior del área de conocimiento misma, son los propios expertos quienes tienen un mejor acceso a esta información y quienes son capaces de valorar las consecuencias respectivas. Pero, ¿es útil para la valoración judicial de la calidad de las pruebas periciales?</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 xml:space="preserve">Supongamos que tenemos un artículo como el 422 del </w:t>
      </w:r>
      <w:r w:rsidRPr="00E10347">
        <w:rPr>
          <w:rFonts w:ascii="Palatino Linotype" w:eastAsia="MS PGothic" w:hAnsi="Palatino Linotype"/>
          <w:sz w:val="21"/>
          <w:szCs w:val="21"/>
          <w:lang w:val="es-MX" w:eastAsia="es-ES"/>
        </w:rPr>
        <w:t xml:space="preserve">Código de Procedimiento Penal colombiano que exige “que la teoría o técnica subyacente haya sido publicada y haya recibido la crítica de la comunidad científica”. Para iniciar, tenemos un problema interpretativo, puesto que el artículo podría hacer referencia a que antes de la publicación </w:t>
      </w:r>
      <w:r w:rsidRPr="00E10347">
        <w:rPr>
          <w:rFonts w:ascii="Palatino Linotype" w:hAnsi="Palatino Linotype"/>
          <w:sz w:val="21"/>
          <w:szCs w:val="21"/>
          <w:lang w:val="es-MX"/>
        </w:rPr>
        <w:t xml:space="preserve">se haya recibido </w:t>
      </w:r>
      <w:r w:rsidRPr="00E10347">
        <w:rPr>
          <w:rFonts w:ascii="Palatino Linotype" w:hAnsi="Palatino Linotype"/>
          <w:i/>
          <w:sz w:val="21"/>
          <w:szCs w:val="21"/>
          <w:lang w:val="es-MX"/>
        </w:rPr>
        <w:t>alguna</w:t>
      </w:r>
      <w:r w:rsidRPr="00E10347">
        <w:rPr>
          <w:rFonts w:ascii="Palatino Linotype" w:hAnsi="Palatino Linotype"/>
          <w:sz w:val="21"/>
          <w:szCs w:val="21"/>
          <w:lang w:val="es-MX"/>
        </w:rPr>
        <w:t xml:space="preserve"> crítica de la comunidad científica; o que ésta se haya recibido a efecto de la publicación; o, incluso, que tal crítica haya sido posterior a la publicación.</w:t>
      </w:r>
      <w:r w:rsidRPr="00E10347">
        <w:rPr>
          <w:rFonts w:ascii="Palatino Linotype" w:eastAsia="MS PGothic" w:hAnsi="Palatino Linotype"/>
          <w:sz w:val="21"/>
          <w:szCs w:val="21"/>
          <w:lang w:val="es-MX" w:eastAsia="es-ES"/>
        </w:rPr>
        <w:t xml:space="preserve"> </w:t>
      </w:r>
      <w:r w:rsidRPr="00E10347">
        <w:rPr>
          <w:rFonts w:ascii="Palatino Linotype" w:hAnsi="Palatino Linotype"/>
          <w:sz w:val="21"/>
          <w:szCs w:val="21"/>
          <w:lang w:val="es-MX"/>
        </w:rPr>
        <w:t xml:space="preserve">Pero, lo más importante es ¿cómo podría un lego, como el juez, evaluar las consecuencias de tales </w:t>
      </w:r>
      <w:r w:rsidRPr="00E10347">
        <w:rPr>
          <w:rFonts w:ascii="Palatino Linotype" w:eastAsia="MS PGothic" w:hAnsi="Palatino Linotype"/>
          <w:sz w:val="21"/>
          <w:szCs w:val="21"/>
          <w:lang w:val="es-ES_tradnl" w:eastAsia="es-ES"/>
        </w:rPr>
        <w:t xml:space="preserve">críticas para las </w:t>
      </w:r>
      <w:r w:rsidRPr="00E10347">
        <w:rPr>
          <w:rFonts w:ascii="Palatino Linotype" w:eastAsia="MS PGothic" w:hAnsi="Palatino Linotype"/>
          <w:sz w:val="21"/>
          <w:szCs w:val="21"/>
          <w:lang w:val="es-ES_tradnl" w:eastAsia="es-ES"/>
        </w:rPr>
        <w:lastRenderedPageBreak/>
        <w:t xml:space="preserve">afirmaciones del experto? </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 xml:space="preserve">No hay un respuesta única y/o definitiva para la pregunta anterior, dependerá de varias cuestiones, entre ellas, por ejemplo, de la complejidad del conocimiento experto en juego y/o del resto de información disponible en el caso que le sea útil al juzgador para poner en contexto la crítica respectiva, etc. Lo que muestra cómo un criterio como la publicación o la revisión por pares, aunque no </w:t>
      </w:r>
      <w:r w:rsidR="002A76CC">
        <w:rPr>
          <w:rFonts w:ascii="Palatino Linotype" w:eastAsia="MS PGothic" w:hAnsi="Palatino Linotype"/>
          <w:sz w:val="21"/>
          <w:szCs w:val="21"/>
          <w:lang w:val="es-ES_tradnl" w:eastAsia="es-ES"/>
        </w:rPr>
        <w:t xml:space="preserve">solo </w:t>
      </w:r>
      <w:r w:rsidRPr="00E10347">
        <w:rPr>
          <w:rFonts w:ascii="Palatino Linotype" w:eastAsia="MS PGothic" w:hAnsi="Palatino Linotype"/>
          <w:sz w:val="21"/>
          <w:szCs w:val="21"/>
          <w:lang w:val="es-ES_tradnl" w:eastAsia="es-ES"/>
        </w:rPr>
        <w:t xml:space="preserve">éste, tiene que ir acompañado de herramientas o mecanismos que permitan al juzgador explotarlo, entre ellos la práctica de las pruebas en contradicción o el careo entre los expertos. Mediante éstos el juez tendrá mayores posibilidades de comprender los alcances reales del hecho de que el método, la técnica o, en general, el conocimiento experto subyacente a una prueba pericial haya sido publicado o revisado por la comunidad experta. </w:t>
      </w:r>
    </w:p>
    <w:p w:rsidR="009A5379" w:rsidRDefault="009A5379" w:rsidP="00E10347">
      <w:pPr>
        <w:widowControl/>
        <w:autoSpaceDE/>
        <w:autoSpaceDN/>
        <w:adjustRightInd/>
        <w:contextualSpacing/>
        <w:jc w:val="both"/>
        <w:rPr>
          <w:rFonts w:ascii="Palatino Linotype" w:hAnsi="Palatino Linotype"/>
          <w:b/>
          <w:sz w:val="21"/>
          <w:szCs w:val="21"/>
          <w:lang w:val="es-CR"/>
        </w:rPr>
      </w:pPr>
    </w:p>
    <w:p w:rsidR="002014CA" w:rsidRPr="00E10347" w:rsidRDefault="005771E0" w:rsidP="00E10347">
      <w:pPr>
        <w:widowControl/>
        <w:autoSpaceDE/>
        <w:autoSpaceDN/>
        <w:adjustRightInd/>
        <w:contextualSpacing/>
        <w:jc w:val="both"/>
        <w:rPr>
          <w:rFonts w:ascii="Palatino Linotype" w:hAnsi="Palatino Linotype"/>
          <w:b/>
          <w:i/>
          <w:sz w:val="21"/>
          <w:szCs w:val="21"/>
          <w:lang w:val="es-CR"/>
        </w:rPr>
      </w:pPr>
      <w:r w:rsidRPr="00E10347">
        <w:rPr>
          <w:rFonts w:ascii="Palatino Linotype" w:hAnsi="Palatino Linotype"/>
          <w:b/>
          <w:sz w:val="21"/>
          <w:szCs w:val="21"/>
          <w:lang w:val="es-CR"/>
        </w:rPr>
        <w:t xml:space="preserve">7.- </w:t>
      </w:r>
      <w:r w:rsidR="002014CA" w:rsidRPr="00E10347">
        <w:rPr>
          <w:rFonts w:ascii="Palatino Linotype" w:hAnsi="Palatino Linotype"/>
          <w:b/>
          <w:sz w:val="21"/>
          <w:szCs w:val="21"/>
          <w:lang w:val="es-CR"/>
        </w:rPr>
        <w:t xml:space="preserve">El rango de error </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 xml:space="preserve">Este tercer factor Daubert es, en mi opinión, sumamente novedoso en el ámbito probatorio y permitiría solucionar </w:t>
      </w:r>
      <w:r w:rsidRPr="00E10347">
        <w:rPr>
          <w:rFonts w:ascii="Palatino Linotype" w:eastAsia="MS PGothic" w:hAnsi="Palatino Linotype"/>
          <w:i/>
          <w:sz w:val="21"/>
          <w:szCs w:val="21"/>
          <w:lang w:val="es-ES_tradnl" w:eastAsia="es-ES"/>
        </w:rPr>
        <w:t>algunos</w:t>
      </w:r>
      <w:r w:rsidRPr="00E10347">
        <w:rPr>
          <w:rFonts w:ascii="Palatino Linotype" w:eastAsia="MS PGothic" w:hAnsi="Palatino Linotype"/>
          <w:sz w:val="21"/>
          <w:szCs w:val="21"/>
          <w:lang w:val="es-ES_tradnl" w:eastAsia="es-ES"/>
        </w:rPr>
        <w:t xml:space="preserve"> de los problemas del razonamiento judicial respecto de </w:t>
      </w:r>
      <w:r w:rsidRPr="00E10347">
        <w:rPr>
          <w:rFonts w:ascii="Palatino Linotype" w:eastAsia="MS PGothic" w:hAnsi="Palatino Linotype"/>
          <w:i/>
          <w:sz w:val="21"/>
          <w:szCs w:val="21"/>
          <w:lang w:val="es-ES_tradnl" w:eastAsia="es-ES"/>
        </w:rPr>
        <w:t>algunas</w:t>
      </w:r>
      <w:r w:rsidRPr="00E10347">
        <w:rPr>
          <w:rFonts w:ascii="Palatino Linotype" w:eastAsia="MS PGothic" w:hAnsi="Palatino Linotype"/>
          <w:sz w:val="21"/>
          <w:szCs w:val="21"/>
          <w:lang w:val="es-ES_tradnl" w:eastAsia="es-ES"/>
        </w:rPr>
        <w:t xml:space="preserve"> pruebas periciales mediante el uso de la ratio de errores, esto, a través de estimaciones </w:t>
      </w:r>
      <w:r w:rsidRPr="00E10347">
        <w:rPr>
          <w:rFonts w:ascii="Palatino Linotype" w:eastAsia="MS PGothic" w:hAnsi="Palatino Linotype"/>
          <w:i/>
          <w:sz w:val="21"/>
          <w:szCs w:val="21"/>
          <w:lang w:val="es-ES_tradnl" w:eastAsia="es-ES"/>
        </w:rPr>
        <w:t>cuantitativas</w:t>
      </w:r>
      <w:r w:rsidRPr="00E10347">
        <w:rPr>
          <w:rFonts w:ascii="Palatino Linotype" w:eastAsia="MS PGothic" w:hAnsi="Palatino Linotype"/>
          <w:sz w:val="21"/>
          <w:szCs w:val="21"/>
          <w:lang w:val="es-ES_tradnl" w:eastAsia="es-ES"/>
        </w:rPr>
        <w:t xml:space="preserve"> de fiabilidad en términos de frecuencias de errores, con fundamento en cierto tipo de frecuencias objetivas. Lo que implica, desde luego, centrarse en los errores y aprender de ellos.</w:t>
      </w:r>
      <w:r w:rsidRPr="00E10347">
        <w:rPr>
          <w:rFonts w:ascii="Palatino Linotype" w:eastAsia="MS PGothic" w:hAnsi="Palatino Linotype"/>
          <w:sz w:val="21"/>
          <w:szCs w:val="21"/>
          <w:vertAlign w:val="superscript"/>
          <w:lang w:val="es-ES_tradnl" w:eastAsia="es-ES"/>
        </w:rPr>
        <w:t xml:space="preserve"> </w:t>
      </w:r>
      <w:r w:rsidRPr="00E10347">
        <w:rPr>
          <w:rFonts w:ascii="Palatino Linotype" w:eastAsia="MS PGothic" w:hAnsi="Palatino Linotype"/>
          <w:sz w:val="21"/>
          <w:szCs w:val="21"/>
          <w:vertAlign w:val="superscript"/>
          <w:lang w:val="es-ES_tradnl" w:eastAsia="es-ES"/>
        </w:rPr>
        <w:footnoteReference w:id="122"/>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 xml:space="preserve">Hay dos tipos de error, los falsos positivos y los falsos negativos. Si usamos como ejemplo la identificación de las huellas dactilares, un falso positivo ocurriría </w:t>
      </w:r>
      <w:r w:rsidRPr="00E10347">
        <w:rPr>
          <w:rFonts w:ascii="Palatino Linotype" w:eastAsia="MS PGothic" w:hAnsi="Palatino Linotype"/>
          <w:sz w:val="21"/>
          <w:szCs w:val="21"/>
          <w:lang w:val="es-ES_tradnl" w:eastAsia="es-ES"/>
        </w:rPr>
        <w:lastRenderedPageBreak/>
        <w:t>si mediante una técnica concreta se concluye que dos huellas tienen una misma fuente pero, de hecho, no la tienen; y un falso negativo ocurre si mediante la técnica concreta en cuestión se concluye que las dos huellas no tienen una misma fuente cuando, de hecho, sí la tienen.</w:t>
      </w:r>
      <w:r w:rsidRPr="00E10347">
        <w:rPr>
          <w:rStyle w:val="Refdenotaalpie"/>
          <w:rFonts w:ascii="Palatino Linotype" w:eastAsia="MS PGothic" w:hAnsi="Palatino Linotype"/>
          <w:sz w:val="21"/>
          <w:szCs w:val="21"/>
          <w:lang w:val="es-ES_tradnl" w:eastAsia="es-ES"/>
        </w:rPr>
        <w:footnoteReference w:id="123"/>
      </w:r>
      <w:r w:rsidRPr="00E10347">
        <w:rPr>
          <w:rFonts w:ascii="Palatino Linotype" w:eastAsia="MS PGothic" w:hAnsi="Palatino Linotype"/>
          <w:sz w:val="21"/>
          <w:szCs w:val="21"/>
          <w:lang w:val="es-ES_tradnl" w:eastAsia="es-ES"/>
        </w:rPr>
        <w:t xml:space="preserve"> Para obtener la ratio respectiva habría que hacer una operación consistente en dividir los falsos positivos entre el número de muestras comparadas que tienen fuentes diferentes; y los falsos negativos entre el número de muestras comparadas que tienen fuentes coincidentes. Obsérvese que la ratio de errores de la que hablo es una medición realizada sobre </w:t>
      </w:r>
      <w:r w:rsidRPr="00E10347">
        <w:rPr>
          <w:rFonts w:ascii="Palatino Linotype" w:eastAsia="MS PGothic" w:hAnsi="Palatino Linotype"/>
          <w:i/>
          <w:sz w:val="21"/>
          <w:szCs w:val="21"/>
          <w:lang w:val="es-ES_tradnl" w:eastAsia="es-ES"/>
        </w:rPr>
        <w:t>una técnica</w:t>
      </w:r>
      <w:r w:rsidRPr="00E10347">
        <w:rPr>
          <w:rFonts w:ascii="Palatino Linotype" w:eastAsia="MS PGothic" w:hAnsi="Palatino Linotype"/>
          <w:sz w:val="21"/>
          <w:szCs w:val="21"/>
          <w:lang w:val="es-ES_tradnl" w:eastAsia="es-ES"/>
        </w:rPr>
        <w:t xml:space="preserve"> empleada por diversos sujetos, no sobre diversas técnicas y, sobretodo, no respecto el uso que hace cada uno de esos sujetos de la técnica en análisis (aunque esto también podría llevarse a cabo, es comprensible que las áreas de conocimiento no se ocupen de ello). </w:t>
      </w:r>
    </w:p>
    <w:p w:rsidR="002014CA" w:rsidRPr="00E10347" w:rsidRDefault="002014CA" w:rsidP="00E10347">
      <w:pPr>
        <w:ind w:firstLine="709"/>
        <w:jc w:val="both"/>
        <w:rPr>
          <w:rFonts w:ascii="Palatino Linotype" w:eastAsia="MS PGothic" w:hAnsi="Palatino Linotype"/>
          <w:sz w:val="21"/>
          <w:szCs w:val="21"/>
          <w:lang w:eastAsia="es-ES"/>
        </w:rPr>
      </w:pPr>
      <w:r w:rsidRPr="00E10347">
        <w:rPr>
          <w:rFonts w:ascii="Palatino Linotype" w:eastAsia="MS PGothic" w:hAnsi="Palatino Linotype"/>
          <w:sz w:val="21"/>
          <w:szCs w:val="21"/>
          <w:lang w:val="es-ES_tradnl" w:eastAsia="es-ES"/>
        </w:rPr>
        <w:t xml:space="preserve">El tipo de datos al que se alude tiene, desde luego, el problema que sufre toda hipótesis probabilística, la relación entre el caso concreto y la clase de referencia en juego. Por ello, una cosa es la información general que se obtenga sobre una técnica específica y otra muy distinta la forma en que dicha técnica sea empleada en los casos concretos; pero tener la primera, como veremos, permitiría una valoración judicial adecuada de la segunda. </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 xml:space="preserve">El tipo de información empírica en comento sobre los métodos empleados en un área del conocimiento muchas veces se desconoce o directamente no se tiene, de modo que la única información sobre su fiabilidad parecería ser el hecho de que se ha usado de forma continuada en contextos específicos, como el propio proceso judicial. Un hecho que en sí mismo nada dice sobre la fiabilidad de una técnica, es perfectamente posible que en muchos de nuestros sistemas jurídicos estemos haciendo uso de técnicas cuyo funcionamiento real desconozcamos y </w:t>
      </w:r>
      <w:r w:rsidR="002A76CC">
        <w:rPr>
          <w:rFonts w:ascii="Palatino Linotype" w:eastAsia="MS PGothic" w:hAnsi="Palatino Linotype"/>
          <w:sz w:val="21"/>
          <w:szCs w:val="21"/>
          <w:lang w:val="es-ES_tradnl" w:eastAsia="es-ES"/>
        </w:rPr>
        <w:t xml:space="preserve">solo </w:t>
      </w:r>
      <w:r w:rsidRPr="00E10347">
        <w:rPr>
          <w:rFonts w:ascii="Palatino Linotype" w:eastAsia="MS PGothic" w:hAnsi="Palatino Linotype"/>
          <w:sz w:val="21"/>
          <w:szCs w:val="21"/>
          <w:lang w:val="es-ES_tradnl" w:eastAsia="es-ES"/>
        </w:rPr>
        <w:t xml:space="preserve">lo presupongamos. Entiéndase bien, no se trata de una </w:t>
      </w:r>
      <w:r w:rsidRPr="00E10347">
        <w:rPr>
          <w:rFonts w:ascii="Palatino Linotype" w:eastAsia="MS PGothic" w:hAnsi="Palatino Linotype"/>
          <w:i/>
          <w:sz w:val="21"/>
          <w:szCs w:val="21"/>
          <w:lang w:val="es-ES_tradnl" w:eastAsia="es-ES"/>
        </w:rPr>
        <w:t>atribución jurídica</w:t>
      </w:r>
      <w:r w:rsidRPr="00E10347">
        <w:rPr>
          <w:rFonts w:ascii="Palatino Linotype" w:eastAsia="MS PGothic" w:hAnsi="Palatino Linotype"/>
          <w:sz w:val="21"/>
          <w:szCs w:val="21"/>
          <w:lang w:val="es-ES_tradnl" w:eastAsia="es-ES"/>
        </w:rPr>
        <w:t xml:space="preserve"> de fiabilidad: el derecho tiene poco o nada que hacer directamente al respecto (más allá de incentivar la obtención de información relevante)</w:t>
      </w:r>
      <w:r w:rsidRPr="00E10347">
        <w:rPr>
          <w:rStyle w:val="Refdenotaalpie"/>
          <w:rFonts w:ascii="Palatino Linotype" w:eastAsia="MS PGothic" w:hAnsi="Palatino Linotype"/>
          <w:sz w:val="21"/>
          <w:szCs w:val="21"/>
          <w:lang w:val="es-ES_tradnl" w:eastAsia="es-ES"/>
        </w:rPr>
        <w:footnoteReference w:id="124"/>
      </w:r>
      <w:r w:rsidRPr="00E10347">
        <w:rPr>
          <w:rFonts w:ascii="Palatino Linotype" w:eastAsia="MS PGothic" w:hAnsi="Palatino Linotype"/>
          <w:sz w:val="21"/>
          <w:szCs w:val="21"/>
          <w:lang w:val="es-ES_tradnl" w:eastAsia="es-ES"/>
        </w:rPr>
        <w:t xml:space="preserve">, es una tarea empírica que corresponde fundamentalmente a las áreas de conocimiento que tienen o pretenden </w:t>
      </w:r>
      <w:r w:rsidRPr="00E10347">
        <w:rPr>
          <w:rFonts w:ascii="Palatino Linotype" w:eastAsia="MS PGothic" w:hAnsi="Palatino Linotype"/>
          <w:sz w:val="21"/>
          <w:szCs w:val="21"/>
          <w:lang w:val="es-ES_tradnl" w:eastAsia="es-ES"/>
        </w:rPr>
        <w:lastRenderedPageBreak/>
        <w:t xml:space="preserve">tener un rol en los procesos judiciales.  </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 xml:space="preserve">Pero, una vez que se tiene dicha información, corresponde discutir el manejo jurídico de ésta. Me estoy refiriendo básicamente al tipo de decisiones jurídico-políticas que se pueden (y deben) tomar una vez se cuenta con tal información. Un sencillo ejemplo español sobre los rangos de error de los radares puede ser ilustrativo: en España se </w:t>
      </w:r>
      <w:r w:rsidRPr="00E10347">
        <w:rPr>
          <w:rFonts w:ascii="Palatino Linotype" w:eastAsia="MS PGothic" w:hAnsi="Palatino Linotype"/>
          <w:i/>
          <w:sz w:val="21"/>
          <w:szCs w:val="21"/>
          <w:lang w:val="es-ES_tradnl" w:eastAsia="es-ES"/>
        </w:rPr>
        <w:t>reconoce</w:t>
      </w:r>
      <w:r w:rsidRPr="00E10347">
        <w:rPr>
          <w:rFonts w:ascii="Palatino Linotype" w:eastAsia="MS PGothic" w:hAnsi="Palatino Linotype"/>
          <w:sz w:val="21"/>
          <w:szCs w:val="21"/>
          <w:lang w:val="es-ES_tradnl" w:eastAsia="es-ES"/>
        </w:rPr>
        <w:t xml:space="preserve"> normativamente cierto rango de error respecto a los radares que miden la velocidad a la que circulan los automóviles, distinguiéndose entre los cinemómetros estáticos y los móviles y previendo una ratio de error máxima del 4% y del 7% respectivamente. </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 xml:space="preserve">Lo anterior no </w:t>
      </w:r>
      <w:r w:rsidR="002A76CC">
        <w:rPr>
          <w:rFonts w:ascii="Palatino Linotype" w:eastAsia="MS PGothic" w:hAnsi="Palatino Linotype"/>
          <w:sz w:val="21"/>
          <w:szCs w:val="21"/>
          <w:lang w:val="es-ES_tradnl" w:eastAsia="es-ES"/>
        </w:rPr>
        <w:t xml:space="preserve">solo </w:t>
      </w:r>
      <w:r w:rsidRPr="00E10347">
        <w:rPr>
          <w:rFonts w:ascii="Palatino Linotype" w:eastAsia="MS PGothic" w:hAnsi="Palatino Linotype"/>
          <w:sz w:val="21"/>
          <w:szCs w:val="21"/>
          <w:lang w:val="es-ES_tradnl" w:eastAsia="es-ES"/>
        </w:rPr>
        <w:t>quiere decir que cualquier radar que se pretenda instalar debe satisfacer estos porcentajes, sino sobretodo que tales porcentajes son presupuestos a la hora de identificar la velocidad con la que transita un vehículo. Es decir, una vez confirmado que un radar cumplía con los controles de verificación periódica y se encontraba calibrado, si éste registra que X circulaba a una velocidad de 125 km/h en una autopista, un margen de error del 4% se traduce como “la velocidad a la que circulaba X oscilaba aproximadamente entre los 120 km/h y los 130 km/h”. Por supuesto, la primera discusión es qué elementos tuvo en cuenta el legislador para establecer genéricamente el 4% y el 7% como rangos de error, respondiendo a cuestiones del tipo: ¿qué probabilidad de error resulta jurídicamente aceptable?</w:t>
      </w:r>
      <w:r w:rsidRPr="00E10347">
        <w:rPr>
          <w:rFonts w:ascii="Palatino Linotype" w:eastAsia="MS PGothic" w:hAnsi="Palatino Linotype"/>
          <w:sz w:val="21"/>
          <w:szCs w:val="21"/>
          <w:vertAlign w:val="superscript"/>
          <w:lang w:val="es-ES_tradnl" w:eastAsia="es-ES"/>
        </w:rPr>
        <w:t xml:space="preserve"> </w:t>
      </w:r>
      <w:r w:rsidRPr="00E10347">
        <w:rPr>
          <w:rFonts w:ascii="Palatino Linotype" w:eastAsia="MS PGothic" w:hAnsi="Palatino Linotype"/>
          <w:sz w:val="21"/>
          <w:szCs w:val="21"/>
          <w:vertAlign w:val="superscript"/>
          <w:lang w:val="es-ES_tradnl" w:eastAsia="es-ES"/>
        </w:rPr>
        <w:footnoteReference w:id="125"/>
      </w:r>
      <w:r w:rsidRPr="00E10347">
        <w:rPr>
          <w:rFonts w:ascii="Palatino Linotype" w:eastAsia="MS PGothic" w:hAnsi="Palatino Linotype"/>
          <w:sz w:val="21"/>
          <w:szCs w:val="21"/>
          <w:lang w:val="es-ES_tradnl" w:eastAsia="es-ES"/>
        </w:rPr>
        <w:t xml:space="preserve"> Pero otra discusión, atinente al caso concreto, es qué hacemos con el rango de duda existente. Si estamos en el ámbito penal, constituyéndose un delito contra la seguridad del tráfico, por ejemplo, ese margen de duda sobre si un vehículo realmente excedió la velocidad  permitida podría hacer que el caso se resuelva a favor del acusado por el principio de presunción de inocencia.    </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 xml:space="preserve">Hay una cuestión presupuesta en todo lo dicho anteriormente y que vale la pena explicitar antes de terminar este epígrafe y es que ninguna técnica o método es infalible, todos tienen un rango de error, incluso la prueba de ADN, que a día de hoy es la más fiable. Siendo así las cosas, hay que decidir jurídicamente sobre los rangos de error tanto para la admisibilidad de pruebas, i.e., qué rango de error es adecuado para admitir un tipo de pruebas periciales en el proceso judicial; pero </w:t>
      </w:r>
      <w:r w:rsidRPr="00E10347">
        <w:rPr>
          <w:rFonts w:ascii="Palatino Linotype" w:eastAsia="MS PGothic" w:hAnsi="Palatino Linotype"/>
          <w:sz w:val="21"/>
          <w:szCs w:val="21"/>
          <w:lang w:val="es-ES_tradnl" w:eastAsia="es-ES"/>
        </w:rPr>
        <w:lastRenderedPageBreak/>
        <w:t xml:space="preserve">también en la valoración de éstas, es decir, con qué rango de error resulta compatible un estándar de prueba. Y en ese proceso, como bien afirma Schauer (2009: 1191ss): </w:t>
      </w:r>
    </w:p>
    <w:p w:rsidR="002014CA" w:rsidRPr="00E10347" w:rsidRDefault="002014CA" w:rsidP="00E10347">
      <w:pPr>
        <w:ind w:left="709"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 xml:space="preserve">La ciencia puede decirnos que un proceso científico concreto tiene, digamos, un 12% de tasa de error (o tasas específicas de errores del tipo I y del tipo II o falsos positivos y falsos negativos). Y los científicos deben decidir para sus propios propósitos científicos si tales tasas son suficientes, por ejemplo, para afirmar que algo es el caso, concluir que un resultado es adecuado para publicar o para considerar un proyecto de investigación lo suficientemente prometedor para renovar un financiamiento. Pero si tal tasa de error es suficiente para que un juzgador de los hechos envíe a alguien a prisión, lo exonere de la cárcel, justifique una orden judicial o impute daños, no es en sí misma una cuestión científica. </w:t>
      </w:r>
    </w:p>
    <w:p w:rsidR="002014CA" w:rsidRPr="00E10347" w:rsidRDefault="002A76CC" w:rsidP="00E10347">
      <w:pPr>
        <w:ind w:firstLine="709"/>
        <w:jc w:val="both"/>
        <w:rPr>
          <w:rFonts w:ascii="Palatino Linotype" w:eastAsia="MS PGothic" w:hAnsi="Palatino Linotype"/>
          <w:sz w:val="21"/>
          <w:szCs w:val="21"/>
          <w:lang w:val="es-ES_tradnl" w:eastAsia="es-ES"/>
        </w:rPr>
      </w:pPr>
      <w:r>
        <w:rPr>
          <w:rFonts w:ascii="Palatino Linotype" w:eastAsia="MS PGothic" w:hAnsi="Palatino Linotype"/>
          <w:sz w:val="21"/>
          <w:szCs w:val="21"/>
          <w:lang w:val="es-ES_tradnl" w:eastAsia="es-ES"/>
        </w:rPr>
        <w:t xml:space="preserve">Solo </w:t>
      </w:r>
      <w:r w:rsidR="002014CA" w:rsidRPr="00E10347">
        <w:rPr>
          <w:rFonts w:ascii="Palatino Linotype" w:eastAsia="MS PGothic" w:hAnsi="Palatino Linotype"/>
          <w:sz w:val="21"/>
          <w:szCs w:val="21"/>
          <w:lang w:val="es-ES_tradnl" w:eastAsia="es-ES"/>
        </w:rPr>
        <w:t xml:space="preserve">queda enfatizar que ésta es una cuestión jurídica, es decir, una decisión que debe tomarse atendiendo a los objetivos del derecho. </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 xml:space="preserve">Hasta aquí he planteado problemas específicos de cada uno de los criterios que conforman Daubert. Aunado a ello, podrían discutirse diversas combinaciones de tales criterios a efectos de tener información suficiente sobre la calidad de las pruebas periciales. También podrían analizarse otros criterios considerados en el propio contexto estadounidense para, de alguna manera, complementar Daubert. Sin embargo, dado el espacio de este artículo, me parece más relevante dedicar las últimas páginas a plantear ciertos argumentos para restringir la admisión de pruebas periciales atendiendo a su calidad y las características de los criterios que deberían jugar  a efectos de valorar tales pruebas en cualquier etapa procesal.  </w:t>
      </w:r>
    </w:p>
    <w:p w:rsidR="002014CA" w:rsidRPr="00E10347" w:rsidRDefault="005771E0" w:rsidP="00E10347">
      <w:pPr>
        <w:widowControl/>
        <w:autoSpaceDE/>
        <w:autoSpaceDN/>
        <w:adjustRightInd/>
        <w:jc w:val="both"/>
        <w:rPr>
          <w:rFonts w:ascii="Palatino Linotype" w:eastAsia="MS PGothic" w:hAnsi="Palatino Linotype"/>
          <w:b/>
          <w:sz w:val="21"/>
          <w:szCs w:val="21"/>
          <w:lang w:val="es-ES_tradnl" w:eastAsia="es-ES"/>
        </w:rPr>
      </w:pPr>
      <w:r w:rsidRPr="00E10347">
        <w:rPr>
          <w:rFonts w:ascii="Palatino Linotype" w:eastAsia="MS PGothic" w:hAnsi="Palatino Linotype"/>
          <w:b/>
          <w:sz w:val="21"/>
          <w:szCs w:val="21"/>
          <w:lang w:val="es-ES_tradnl" w:eastAsia="es-ES"/>
        </w:rPr>
        <w:t xml:space="preserve">8.- </w:t>
      </w:r>
      <w:r w:rsidR="002014CA" w:rsidRPr="00E10347">
        <w:rPr>
          <w:rFonts w:ascii="Palatino Linotype" w:eastAsia="MS PGothic" w:hAnsi="Palatino Linotype"/>
          <w:b/>
          <w:sz w:val="21"/>
          <w:szCs w:val="21"/>
          <w:lang w:val="es-ES_tradnl" w:eastAsia="es-ES"/>
        </w:rPr>
        <w:t xml:space="preserve">Admisibilidad y criterios de valoración de la prueba pericial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Con independencia de la corrección y/o utilidad de los criterios específicos de</w:t>
      </w:r>
      <w:r w:rsidRPr="00E10347">
        <w:rPr>
          <w:rFonts w:ascii="Palatino Linotype" w:hAnsi="Palatino Linotype"/>
          <w:i/>
          <w:sz w:val="21"/>
          <w:szCs w:val="21"/>
        </w:rPr>
        <w:t xml:space="preserve"> Daubert</w:t>
      </w:r>
      <w:r w:rsidRPr="00E10347">
        <w:rPr>
          <w:rFonts w:ascii="Palatino Linotype" w:hAnsi="Palatino Linotype"/>
          <w:sz w:val="21"/>
          <w:szCs w:val="21"/>
        </w:rPr>
        <w:t>, esta parte de la experiencia estadounidense con la prueba pericial ha logrado llamar la atención sobre la etapa de admisión como posible filtro de la calidad de la información experta que entrará al proceso judicial, no dejando esta tarea para la etapa de valoración propiamente, como tradicionalmente sucede en nuestros sistemas.</w:t>
      </w:r>
      <w:r w:rsidRPr="00E10347">
        <w:rPr>
          <w:rStyle w:val="Refdenotaalpie"/>
          <w:rFonts w:ascii="Palatino Linotype" w:hAnsi="Palatino Linotype"/>
          <w:sz w:val="21"/>
          <w:szCs w:val="21"/>
        </w:rPr>
        <w:footnoteReference w:id="126"/>
      </w:r>
      <w:r w:rsidRPr="00E10347">
        <w:rPr>
          <w:rFonts w:ascii="Palatino Linotype" w:hAnsi="Palatino Linotype"/>
          <w:sz w:val="21"/>
          <w:szCs w:val="21"/>
        </w:rPr>
        <w:t xml:space="preserve"> En un escenario así, vale la pena plantearse dos cuestiones </w:t>
      </w:r>
      <w:r w:rsidRPr="00E10347">
        <w:rPr>
          <w:rFonts w:ascii="Palatino Linotype" w:hAnsi="Palatino Linotype"/>
          <w:sz w:val="21"/>
          <w:szCs w:val="21"/>
        </w:rPr>
        <w:lastRenderedPageBreak/>
        <w:t xml:space="preserve">generales: la justificación de una admisión más rígida y el tipo de criterios atinentes sobre la calidad de las pruebas periciales. Veamos cada una de éstas de forma separada.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Hay al menos dos líneas argumentativas que podrían ser discutidas si para la admisión de una prueba pericial se pretende exigir a las partes que muestren no </w:t>
      </w:r>
      <w:r w:rsidR="002A76CC">
        <w:rPr>
          <w:rFonts w:ascii="Palatino Linotype" w:hAnsi="Palatino Linotype"/>
          <w:sz w:val="21"/>
          <w:szCs w:val="21"/>
        </w:rPr>
        <w:t xml:space="preserve">solo </w:t>
      </w:r>
      <w:r w:rsidRPr="00E10347">
        <w:rPr>
          <w:rFonts w:ascii="Palatino Linotype" w:hAnsi="Palatino Linotype"/>
          <w:sz w:val="21"/>
          <w:szCs w:val="21"/>
        </w:rPr>
        <w:t xml:space="preserve">su relevancia sino también su fiabilidad: evitar la contaminación del juzgador de los hechos y cuestiones de economía procesal.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Para abordar adecuadamente el argumento de la contaminación, primero es indispensable pensar en al menos dos posibles escenarios en los que pudieran desarrollarse las diferentes etapas procesales en atención a cuántos decisores participan. Así, como sucede en el sistema estadounidense, podría darse el caso de que hubiera un agente que decide la admisión de pruebas diferente al agente que valora el conjunto de pruebas, filtradas por el primero, para tomar la decisión sobre los hechos del caso. Por el contrario, el otro escenario, tradicional en nuestros sistemas, es un solo agente que decide ambas cuestiones, la admisión de las pruebas y su valoración. Hay quienes, en el primer escenario, presuponiendo cierta incapacidad del juzgador de los hechos, plantean que el rol del juez de la causa es excluir pruebas periciales de baja calidad para evitar una persuasión irracional de aquél, sobretodo cuando se trata de un jurado lego; sin embargo, dada la falta de información empírica al respecto, dejaré de lado ese argumento.</w:t>
      </w:r>
      <w:r w:rsidRPr="00E10347">
        <w:rPr>
          <w:rStyle w:val="Refdenotaalpie"/>
          <w:rFonts w:ascii="Palatino Linotype" w:hAnsi="Palatino Linotype"/>
          <w:sz w:val="21"/>
          <w:szCs w:val="21"/>
        </w:rPr>
        <w:footnoteReference w:id="127"/>
      </w:r>
      <w:r w:rsidRPr="00E10347">
        <w:rPr>
          <w:rFonts w:ascii="Palatino Linotype" w:hAnsi="Palatino Linotype"/>
          <w:sz w:val="21"/>
          <w:szCs w:val="21"/>
        </w:rPr>
        <w:t xml:space="preserve"> En mi opinión, el problema de la contaminación del juzgador de los hechos tiene que ver más con otra cuestión relacionada con el funcionamiento intelectual del ser humano, no específicamente relacionado con las pruebas periciales. Y es que aun cuando algunas veces somos conscientes de nuestras parcialidades cognitivas, otras veces </w:t>
      </w:r>
      <w:r w:rsidRPr="00E10347">
        <w:rPr>
          <w:rFonts w:ascii="Palatino Linotype" w:hAnsi="Palatino Linotype"/>
          <w:i/>
          <w:sz w:val="21"/>
          <w:szCs w:val="21"/>
        </w:rPr>
        <w:t>no</w:t>
      </w:r>
      <w:r w:rsidRPr="00E10347">
        <w:rPr>
          <w:rFonts w:ascii="Palatino Linotype" w:hAnsi="Palatino Linotype"/>
          <w:sz w:val="21"/>
          <w:szCs w:val="21"/>
        </w:rPr>
        <w:t xml:space="preserve"> lo somos y éstas directamente “nos hacen ver” o valorar situaciones de una forma u otra, algunas veces de forma incluso no justificada. Para explicar mejor este punto quizá podamos tomar como ejemplo paradigmático la información obtenida </w:t>
      </w:r>
      <w:r w:rsidRPr="00E10347">
        <w:rPr>
          <w:rFonts w:ascii="Palatino Linotype" w:hAnsi="Palatino Linotype"/>
          <w:sz w:val="21"/>
          <w:szCs w:val="21"/>
        </w:rPr>
        <w:lastRenderedPageBreak/>
        <w:t xml:space="preserve">mediante pruebas relevantes, fiables pero que al ser ilícitas el derecho exige excluirlas y no considerarlas en la toma de decisión. Un juez que sabe a través de tales pruebas que el acusado es culpable no siempre podrá controlar la influencia de tal conocimiento en aquello que ve y/o analiza </w:t>
      </w:r>
      <w:r w:rsidRPr="00E10347">
        <w:rPr>
          <w:rFonts w:ascii="Palatino Linotype" w:hAnsi="Palatino Linotype"/>
          <w:i/>
          <w:sz w:val="21"/>
          <w:szCs w:val="21"/>
        </w:rPr>
        <w:t>en el resto</w:t>
      </w:r>
      <w:r w:rsidRPr="00E10347">
        <w:rPr>
          <w:rFonts w:ascii="Palatino Linotype" w:hAnsi="Palatino Linotype"/>
          <w:sz w:val="21"/>
          <w:szCs w:val="21"/>
        </w:rPr>
        <w:t xml:space="preserve"> de pruebas admitidas y practicadas, aun cuando consciente y voluntariamente quiera o intente hacerlo. Si esto es así, entonces, para evitar la contaminación del juzgador de los hechos, un mejor modelo sería precisamente aquél en el que un sujeto filtra la información </w:t>
      </w:r>
      <w:r w:rsidRPr="00E10347">
        <w:rPr>
          <w:rFonts w:ascii="Palatino Linotype" w:hAnsi="Palatino Linotype"/>
          <w:i/>
          <w:sz w:val="21"/>
          <w:szCs w:val="21"/>
        </w:rPr>
        <w:t>adecuada</w:t>
      </w:r>
      <w:r w:rsidRPr="00E10347">
        <w:rPr>
          <w:rFonts w:ascii="Palatino Linotype" w:hAnsi="Palatino Linotype"/>
          <w:sz w:val="21"/>
          <w:szCs w:val="21"/>
        </w:rPr>
        <w:t xml:space="preserve"> con la que otro(s) decidirá(n). Así pues, el argumento de la contaminación del juzgador de los hechos podría funcionar para decidir entre un modelo con un agente decisor o al menos dos decisores; pero, esa contaminación no tiene que ver necesariamente con la calidad epistemológica de las pruebas, como lo muestra el caso de las pruebas ilícitas y mucho menos con las pruebas periciales en general y la supuesta incapacidad de los juzgadores para valorarlas racionalmente.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Por otro lado, el segundo argumento para el establecimiento de una etapa de admisión exigente, como he mencionado, está relacionado con la economía procesal y, más específicamente, con evitar la perdida de recursos cognitivos, temporales y/o económicos cuando se cuestiona la calidad de las pruebas periciales ofrecidas y/o su suficiencia para probar los hechos del caso. Aquí también vale la pena dilucidar algunas características del sistema estadounidense, fundamentalmente el establecimiento de la llamada </w:t>
      </w:r>
      <w:r w:rsidRPr="00E10347">
        <w:rPr>
          <w:rFonts w:ascii="Palatino Linotype" w:hAnsi="Palatino Linotype"/>
          <w:i/>
          <w:sz w:val="21"/>
          <w:szCs w:val="21"/>
        </w:rPr>
        <w:t>burden of production</w:t>
      </w:r>
      <w:r w:rsidRPr="00E10347">
        <w:rPr>
          <w:rFonts w:ascii="Palatino Linotype" w:hAnsi="Palatino Linotype"/>
          <w:sz w:val="21"/>
          <w:szCs w:val="21"/>
        </w:rPr>
        <w:t xml:space="preserve"> a las partes </w:t>
      </w:r>
      <w:r w:rsidRPr="00E10347">
        <w:rPr>
          <w:rFonts w:ascii="Palatino Linotype" w:hAnsi="Palatino Linotype"/>
          <w:i/>
          <w:sz w:val="21"/>
          <w:szCs w:val="21"/>
        </w:rPr>
        <w:t>a efectos de avanzar</w:t>
      </w:r>
      <w:r w:rsidRPr="00E10347">
        <w:rPr>
          <w:rFonts w:ascii="Palatino Linotype" w:hAnsi="Palatino Linotype"/>
          <w:sz w:val="21"/>
          <w:szCs w:val="21"/>
        </w:rPr>
        <w:t xml:space="preserve"> a la siguiente etapa procesal, además de la </w:t>
      </w:r>
      <w:r w:rsidRPr="00E10347">
        <w:rPr>
          <w:rFonts w:ascii="Palatino Linotype" w:hAnsi="Palatino Linotype"/>
          <w:i/>
          <w:sz w:val="21"/>
          <w:szCs w:val="21"/>
        </w:rPr>
        <w:t>burden of persuasion</w:t>
      </w:r>
      <w:r w:rsidRPr="00E10347">
        <w:rPr>
          <w:rFonts w:ascii="Palatino Linotype" w:hAnsi="Palatino Linotype"/>
          <w:sz w:val="21"/>
          <w:szCs w:val="21"/>
        </w:rPr>
        <w:t xml:space="preserve">. Ésta última sería lo que en nuestra tradición identificamos como “carga de la prueba”,  establece quién pierde el proceso judicial si después de practicadas todas las pruebas no hay elementos suficientes para que le juzgador de los hechos tenga por probados los hechos del caso, no ahondaré más en ello y me centraré en la primera, puesto que es el tema relevante para este punto.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La </w:t>
      </w:r>
      <w:r w:rsidRPr="00E10347">
        <w:rPr>
          <w:rFonts w:ascii="Palatino Linotype" w:hAnsi="Palatino Linotype"/>
          <w:i/>
          <w:sz w:val="21"/>
          <w:szCs w:val="21"/>
        </w:rPr>
        <w:t>burden of production</w:t>
      </w:r>
      <w:r w:rsidRPr="00E10347">
        <w:rPr>
          <w:rFonts w:ascii="Palatino Linotype" w:hAnsi="Palatino Linotype"/>
          <w:sz w:val="21"/>
          <w:szCs w:val="21"/>
        </w:rPr>
        <w:t xml:space="preserve"> consiste en la exigencia a las partes de producir pruebas suficientes desde la presentación de la demanda (o contestación) sobre los hechos que consideran litigiosos </w:t>
      </w:r>
      <w:r w:rsidRPr="00E10347">
        <w:rPr>
          <w:rFonts w:ascii="Palatino Linotype" w:hAnsi="Palatino Linotype"/>
          <w:i/>
          <w:sz w:val="21"/>
          <w:szCs w:val="21"/>
        </w:rPr>
        <w:t xml:space="preserve">a efectos de </w:t>
      </w:r>
      <w:r w:rsidRPr="00E10347">
        <w:rPr>
          <w:rFonts w:ascii="Palatino Linotype" w:hAnsi="Palatino Linotype"/>
          <w:sz w:val="21"/>
          <w:szCs w:val="21"/>
        </w:rPr>
        <w:t xml:space="preserve">que el juez de la causa decida si dada la información conformada en esa etapa inicial (conocida como </w:t>
      </w:r>
      <w:r w:rsidRPr="00E10347">
        <w:rPr>
          <w:rFonts w:ascii="Palatino Linotype" w:hAnsi="Palatino Linotype"/>
          <w:i/>
          <w:sz w:val="21"/>
          <w:szCs w:val="21"/>
        </w:rPr>
        <w:t>pre-trial</w:t>
      </w:r>
      <w:r w:rsidRPr="00E10347">
        <w:rPr>
          <w:rFonts w:ascii="Palatino Linotype" w:hAnsi="Palatino Linotype"/>
          <w:sz w:val="21"/>
          <w:szCs w:val="21"/>
        </w:rPr>
        <w:t xml:space="preserve">) hay un caso que deba ser decidido por un jurado. El </w:t>
      </w:r>
      <w:r w:rsidRPr="00E10347">
        <w:rPr>
          <w:rFonts w:ascii="Palatino Linotype" w:hAnsi="Palatino Linotype"/>
          <w:i/>
          <w:sz w:val="21"/>
          <w:szCs w:val="21"/>
        </w:rPr>
        <w:t>quid</w:t>
      </w:r>
      <w:r w:rsidRPr="00E10347">
        <w:rPr>
          <w:rFonts w:ascii="Palatino Linotype" w:hAnsi="Palatino Linotype"/>
          <w:sz w:val="21"/>
          <w:szCs w:val="21"/>
        </w:rPr>
        <w:t xml:space="preserve"> radica entonces en si la información disponible en el </w:t>
      </w:r>
      <w:r w:rsidRPr="00E10347">
        <w:rPr>
          <w:rFonts w:ascii="Palatino Linotype" w:hAnsi="Palatino Linotype"/>
          <w:i/>
          <w:sz w:val="21"/>
          <w:szCs w:val="21"/>
        </w:rPr>
        <w:t>pre-trial</w:t>
      </w:r>
      <w:r w:rsidRPr="00E10347">
        <w:rPr>
          <w:rFonts w:ascii="Palatino Linotype" w:hAnsi="Palatino Linotype"/>
          <w:sz w:val="21"/>
          <w:szCs w:val="21"/>
        </w:rPr>
        <w:t xml:space="preserve"> es suficiente como para que una persona racional pueda considerar que se alcanzan las exigencias probatorias establecidas por el estándar </w:t>
      </w:r>
      <w:r w:rsidRPr="00E10347">
        <w:rPr>
          <w:rFonts w:ascii="Palatino Linotype" w:hAnsi="Palatino Linotype"/>
          <w:sz w:val="21"/>
          <w:szCs w:val="21"/>
        </w:rPr>
        <w:lastRenderedPageBreak/>
        <w:t>de prueba aplicable.</w:t>
      </w:r>
      <w:r w:rsidRPr="00E10347">
        <w:rPr>
          <w:rStyle w:val="Refdenotaalpie"/>
          <w:rFonts w:ascii="Palatino Linotype" w:hAnsi="Palatino Linotype"/>
          <w:sz w:val="21"/>
          <w:szCs w:val="21"/>
        </w:rPr>
        <w:t xml:space="preserve"> </w:t>
      </w:r>
      <w:r w:rsidRPr="00E10347">
        <w:rPr>
          <w:rStyle w:val="Refdenotaalpie"/>
          <w:rFonts w:ascii="Palatino Linotype" w:hAnsi="Palatino Linotype"/>
          <w:sz w:val="21"/>
          <w:szCs w:val="21"/>
        </w:rPr>
        <w:footnoteReference w:id="128"/>
      </w:r>
      <w:r w:rsidRPr="00E10347">
        <w:rPr>
          <w:rFonts w:ascii="Palatino Linotype" w:hAnsi="Palatino Linotype"/>
          <w:sz w:val="21"/>
          <w:szCs w:val="21"/>
        </w:rPr>
        <w:t xml:space="preserve"> En caso negativo, entonces el juez de la causa resuelve el caso adoptando alguna de las </w:t>
      </w:r>
      <w:r w:rsidRPr="00E10347">
        <w:rPr>
          <w:rFonts w:ascii="Palatino Linotype" w:hAnsi="Palatino Linotype"/>
          <w:i/>
          <w:sz w:val="21"/>
          <w:szCs w:val="21"/>
        </w:rPr>
        <w:t>preclusive motions</w:t>
      </w:r>
      <w:r w:rsidRPr="00E10347">
        <w:rPr>
          <w:rFonts w:ascii="Palatino Linotype" w:hAnsi="Palatino Linotype"/>
          <w:sz w:val="21"/>
          <w:szCs w:val="21"/>
        </w:rPr>
        <w:t xml:space="preserve"> previstas y el proceso termina antes de la completa práctica de todas las pruebas ante el jurado.</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De hecho esto fue lo que sucedió en Daubert, la exclusión de las pruebas periciales presentadas por los demandantes, por cuestiones relacionadas con su calidad, supuso  que éstos no satisficieran su </w:t>
      </w:r>
      <w:r w:rsidRPr="00E10347">
        <w:rPr>
          <w:rFonts w:ascii="Palatino Linotype" w:hAnsi="Palatino Linotype"/>
          <w:i/>
          <w:sz w:val="21"/>
          <w:szCs w:val="21"/>
        </w:rPr>
        <w:t>burden of production</w:t>
      </w:r>
      <w:r w:rsidRPr="00E10347">
        <w:rPr>
          <w:rFonts w:ascii="Palatino Linotype" w:hAnsi="Palatino Linotype"/>
          <w:sz w:val="21"/>
          <w:szCs w:val="21"/>
        </w:rPr>
        <w:t xml:space="preserve"> sobre la relación causal entre la ingesta de Bendectin y las deformaciones congénitas; y, por ello, el caso terminó en esa etapa procesal, otorgándole a Merrell Dow una sentencia sumaria.</w:t>
      </w:r>
      <w:r w:rsidRPr="00E10347">
        <w:rPr>
          <w:rFonts w:ascii="Palatino Linotype" w:eastAsia="MS PGothic" w:hAnsi="Palatino Linotype"/>
          <w:sz w:val="21"/>
          <w:szCs w:val="21"/>
          <w:vertAlign w:val="superscript"/>
          <w:lang w:val="es-ES_tradnl" w:eastAsia="es-ES"/>
        </w:rPr>
        <w:t xml:space="preserve"> </w:t>
      </w:r>
      <w:r w:rsidRPr="00E10347">
        <w:rPr>
          <w:rFonts w:ascii="Palatino Linotype" w:eastAsia="MS PGothic" w:hAnsi="Palatino Linotype"/>
          <w:sz w:val="21"/>
          <w:szCs w:val="21"/>
          <w:vertAlign w:val="superscript"/>
          <w:lang w:val="es-ES_tradnl" w:eastAsia="es-ES"/>
        </w:rPr>
        <w:footnoteReference w:id="129"/>
      </w:r>
      <w:r w:rsidRPr="00E10347">
        <w:rPr>
          <w:rFonts w:ascii="Palatino Linotype" w:hAnsi="Palatino Linotype"/>
          <w:sz w:val="21"/>
          <w:szCs w:val="21"/>
        </w:rPr>
        <w:t xml:space="preserve"> Esta dinámica procesal, en términos abstractos, adquiere total sentido a efectos de ahorrar recursos judiciales si el asunto no podrá ser decidido de una forma distinta</w:t>
      </w:r>
      <w:r w:rsidRPr="00E10347">
        <w:rPr>
          <w:rFonts w:ascii="Palatino Linotype" w:hAnsi="Palatino Linotype"/>
          <w:i/>
          <w:sz w:val="21"/>
          <w:szCs w:val="21"/>
        </w:rPr>
        <w:t xml:space="preserve"> al nivel de prueba exigido</w:t>
      </w:r>
      <w:r w:rsidRPr="00E10347">
        <w:rPr>
          <w:rFonts w:ascii="Palatino Linotype" w:hAnsi="Palatino Linotype"/>
          <w:sz w:val="21"/>
          <w:szCs w:val="21"/>
        </w:rPr>
        <w:t xml:space="preserve"> dada toda la información disponible en el caso. Sin embargo, el punto clave radica precisamente en cuánta información disponible existe en un proceso judicial para tomar una decisión como la que supone el establecimiento de cargas de producción de pruebas a las partes.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Para seguir con el argumento, es necesario tomar en consideración la </w:t>
      </w:r>
      <w:r w:rsidRPr="00E10347">
        <w:rPr>
          <w:rFonts w:ascii="Palatino Linotype" w:hAnsi="Palatino Linotype"/>
          <w:i/>
          <w:sz w:val="21"/>
          <w:szCs w:val="21"/>
        </w:rPr>
        <w:t>big picture</w:t>
      </w:r>
      <w:r w:rsidRPr="00E10347">
        <w:rPr>
          <w:rFonts w:ascii="Palatino Linotype" w:hAnsi="Palatino Linotype"/>
          <w:sz w:val="21"/>
          <w:szCs w:val="21"/>
        </w:rPr>
        <w:t xml:space="preserve"> del sistema estadounidense, concretamente la suma de su adversarialismo, el </w:t>
      </w:r>
      <w:r w:rsidRPr="00E10347">
        <w:rPr>
          <w:rFonts w:ascii="Palatino Linotype" w:hAnsi="Palatino Linotype"/>
          <w:i/>
          <w:sz w:val="21"/>
          <w:szCs w:val="21"/>
        </w:rPr>
        <w:t>discovery</w:t>
      </w:r>
      <w:r w:rsidRPr="00E10347">
        <w:rPr>
          <w:rFonts w:ascii="Palatino Linotype" w:hAnsi="Palatino Linotype"/>
          <w:sz w:val="21"/>
          <w:szCs w:val="21"/>
        </w:rPr>
        <w:t xml:space="preserve">, los </w:t>
      </w:r>
      <w:r w:rsidRPr="00E10347">
        <w:rPr>
          <w:rFonts w:ascii="Palatino Linotype" w:hAnsi="Palatino Linotype"/>
          <w:i/>
          <w:sz w:val="21"/>
          <w:szCs w:val="21"/>
        </w:rPr>
        <w:t>pre-hearings</w:t>
      </w:r>
      <w:r w:rsidRPr="00E10347">
        <w:rPr>
          <w:rFonts w:ascii="Palatino Linotype" w:hAnsi="Palatino Linotype"/>
          <w:sz w:val="21"/>
          <w:szCs w:val="21"/>
        </w:rPr>
        <w:t xml:space="preserve"> y la concentración del juicio oral en una sola audiencia. Y si bien es cierto que, </w:t>
      </w:r>
      <w:r w:rsidRPr="00E10347">
        <w:rPr>
          <w:rFonts w:ascii="Palatino Linotype" w:hAnsi="Palatino Linotype"/>
          <w:i/>
          <w:sz w:val="21"/>
          <w:szCs w:val="21"/>
        </w:rPr>
        <w:t>qua</w:t>
      </w:r>
      <w:r w:rsidRPr="00E10347">
        <w:rPr>
          <w:rFonts w:ascii="Palatino Linotype" w:hAnsi="Palatino Linotype"/>
          <w:sz w:val="21"/>
          <w:szCs w:val="21"/>
        </w:rPr>
        <w:t xml:space="preserve"> sistema adversarial, las partes tienen el control de la información con la que se tomarán las decisiones, más importante aún es que tienen mecanismos para acceder a la información que consideran relevante para defender su caso</w:t>
      </w:r>
      <w:r w:rsidRPr="00E10347">
        <w:rPr>
          <w:rStyle w:val="Refdenotaalpie"/>
          <w:rFonts w:ascii="Palatino Linotype" w:hAnsi="Palatino Linotype"/>
          <w:sz w:val="21"/>
          <w:szCs w:val="21"/>
        </w:rPr>
        <w:footnoteReference w:id="130"/>
      </w:r>
      <w:r w:rsidRPr="00E10347">
        <w:rPr>
          <w:rFonts w:ascii="Palatino Linotype" w:hAnsi="Palatino Linotype"/>
          <w:sz w:val="21"/>
          <w:szCs w:val="21"/>
        </w:rPr>
        <w:t xml:space="preserve"> y que ésta debe ser presentada no </w:t>
      </w:r>
      <w:r w:rsidR="002A76CC">
        <w:rPr>
          <w:rFonts w:ascii="Palatino Linotype" w:hAnsi="Palatino Linotype"/>
          <w:sz w:val="21"/>
          <w:szCs w:val="21"/>
        </w:rPr>
        <w:t xml:space="preserve">solo </w:t>
      </w:r>
      <w:r w:rsidRPr="00E10347">
        <w:rPr>
          <w:rFonts w:ascii="Palatino Linotype" w:hAnsi="Palatino Linotype"/>
          <w:sz w:val="21"/>
          <w:szCs w:val="21"/>
        </w:rPr>
        <w:t xml:space="preserve">resumidamente en la demanda (o </w:t>
      </w:r>
      <w:r w:rsidRPr="00E10347">
        <w:rPr>
          <w:rFonts w:ascii="Palatino Linotype" w:hAnsi="Palatino Linotype"/>
          <w:sz w:val="21"/>
          <w:szCs w:val="21"/>
        </w:rPr>
        <w:lastRenderedPageBreak/>
        <w:t xml:space="preserve">la contestación) sino que es explicada en una audiencia ante el juez de la causa, quien tiene discrecionalidad para gestionar esta etapa procesal de manera tal que luego sea posible (fáctica y racionalmente) la concentración de todo el caso en una sola audiencia para su decisión final. Todos los mecanismos e incentivos anteriores, en su conjunto, suelen tener como resultado un cúmulo de información lo suficientemente amplio como para que el juez de la causa pueda decidir racionalmente la satisfacción de la carga de producción de pruebas y si el caso continúa o no a la siguiente etapa procesal.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¿Qué pasa en los sistemas con una dinámica diversa, donde no hay cargas de producción acompañadas por un mecanismo de descubrimiento de información relevante entre quienes tienen la facultad (y obligación) de presentar las pruebas o donde el ejercicio de las facultades probatorias del juez puede impactar seriamente en los planteamientos o estrategias de defensa de las partes? La respuesta es, básicamente, que establecer una admisibilidad de pruebas rígida podría ser sumamente peligrosa, pudiendo potencialmente dejar sin prueba o sin caso a las partes. Y, si esto es así, el argumento de la economía procesal para hacer la admisibilidad probatoria más exigente se ve ampliamente mermado.  </w:t>
      </w:r>
    </w:p>
    <w:p w:rsidR="002014CA" w:rsidRPr="00E10347" w:rsidRDefault="002014CA" w:rsidP="00E10347">
      <w:pPr>
        <w:ind w:firstLine="709"/>
        <w:jc w:val="both"/>
        <w:rPr>
          <w:rFonts w:ascii="Palatino Linotype" w:hAnsi="Palatino Linotype"/>
          <w:sz w:val="21"/>
          <w:szCs w:val="21"/>
        </w:rPr>
      </w:pPr>
      <w:r w:rsidRPr="00E10347">
        <w:rPr>
          <w:rFonts w:ascii="Palatino Linotype" w:eastAsia="MS PGothic" w:hAnsi="Palatino Linotype"/>
          <w:sz w:val="21"/>
          <w:szCs w:val="21"/>
          <w:lang w:val="es-ES_tradnl" w:eastAsia="es-ES"/>
        </w:rPr>
        <w:t xml:space="preserve">Por último, es necesario analizar ciertos aspectos generales sobre los criterios que pudieran adoptarse para valorar la calidad de la información experta, bien sea para su admisión en aquellos contextos en que tenga sentido o, en la etapa de valoración propiamente dicha. Uno de los problemas más serios que tienen los criterios Daubert en su conjunto es que su satisfacción </w:t>
      </w:r>
      <w:r w:rsidR="002A76CC">
        <w:rPr>
          <w:rFonts w:ascii="Palatino Linotype" w:eastAsia="MS PGothic" w:hAnsi="Palatino Linotype"/>
          <w:sz w:val="21"/>
          <w:szCs w:val="21"/>
          <w:lang w:val="es-ES_tradnl" w:eastAsia="es-ES"/>
        </w:rPr>
        <w:t xml:space="preserve">solo </w:t>
      </w:r>
      <w:r w:rsidRPr="00E10347">
        <w:rPr>
          <w:rFonts w:ascii="Palatino Linotype" w:eastAsia="MS PGothic" w:hAnsi="Palatino Linotype"/>
          <w:sz w:val="21"/>
          <w:szCs w:val="21"/>
          <w:lang w:val="es-ES_tradnl" w:eastAsia="es-ES"/>
        </w:rPr>
        <w:t xml:space="preserve">brindaría información previa e independiente a la aplicación de los conocimientos expertos en el  caso concreto. Así, entonces, </w:t>
      </w:r>
      <w:r w:rsidRPr="00E10347">
        <w:rPr>
          <w:rFonts w:ascii="Palatino Linotype" w:hAnsi="Palatino Linotype"/>
          <w:sz w:val="21"/>
          <w:szCs w:val="21"/>
        </w:rPr>
        <w:t xml:space="preserve">cierto fundamento de una </w:t>
      </w:r>
      <w:r w:rsidRPr="00E10347">
        <w:rPr>
          <w:rFonts w:ascii="Palatino Linotype" w:hAnsi="Palatino Linotype"/>
          <w:i/>
          <w:sz w:val="21"/>
          <w:szCs w:val="21"/>
        </w:rPr>
        <w:t>afirmación</w:t>
      </w:r>
      <w:r w:rsidRPr="00E10347">
        <w:rPr>
          <w:rFonts w:ascii="Palatino Linotype" w:hAnsi="Palatino Linotype"/>
          <w:sz w:val="21"/>
          <w:szCs w:val="21"/>
        </w:rPr>
        <w:t xml:space="preserve"> realizada por el perito pudiera ser aceptado por la comunidad experta, pudiera tener rangos de error bajos o haber sido publicado en las mejores revistas y, aún así, haber sido mal-aplicado </w:t>
      </w:r>
      <w:r w:rsidRPr="00E10347">
        <w:rPr>
          <w:rFonts w:ascii="Palatino Linotype" w:hAnsi="Palatino Linotype"/>
          <w:i/>
          <w:sz w:val="21"/>
          <w:szCs w:val="21"/>
        </w:rPr>
        <w:t>en</w:t>
      </w:r>
      <w:r w:rsidRPr="00E10347">
        <w:rPr>
          <w:rFonts w:ascii="Palatino Linotype" w:hAnsi="Palatino Linotype"/>
          <w:sz w:val="21"/>
          <w:szCs w:val="21"/>
        </w:rPr>
        <w:t xml:space="preserve"> el caso concreto. Por ello, evidentemente, para la atribución de cualquier valor probatorio a una prueba pericial es indispensable no </w:t>
      </w:r>
      <w:r w:rsidR="002A76CC">
        <w:rPr>
          <w:rFonts w:ascii="Palatino Linotype" w:hAnsi="Palatino Linotype"/>
          <w:sz w:val="21"/>
          <w:szCs w:val="21"/>
        </w:rPr>
        <w:t xml:space="preserve">solo </w:t>
      </w:r>
      <w:r w:rsidRPr="00E10347">
        <w:rPr>
          <w:rFonts w:ascii="Palatino Linotype" w:hAnsi="Palatino Linotype"/>
          <w:sz w:val="21"/>
          <w:szCs w:val="21"/>
        </w:rPr>
        <w:t xml:space="preserve">tener información sobre </w:t>
      </w:r>
      <w:r w:rsidRPr="00E10347">
        <w:rPr>
          <w:rFonts w:ascii="Palatino Linotype" w:hAnsi="Palatino Linotype"/>
          <w:sz w:val="21"/>
          <w:szCs w:val="21"/>
        </w:rPr>
        <w:lastRenderedPageBreak/>
        <w:t>la calidad genérica de la información experta subyacente, sino también sobre cómo ésta fue observada y/o puesta en práctica en el análisis del caso que se está resolviendo.</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Aunado a lo anterior, uno de los aspectos clave y, bajo mi punto de vista, más importantes a partir de la experiencia estadounidense es que el interés por la calidad de la información experta </w:t>
      </w:r>
      <w:r w:rsidRPr="00E10347">
        <w:rPr>
          <w:rFonts w:ascii="Palatino Linotype" w:eastAsia="MS PGothic" w:hAnsi="Palatino Linotype"/>
          <w:sz w:val="21"/>
          <w:szCs w:val="21"/>
          <w:lang w:val="es-ES_tradnl" w:eastAsia="es-ES"/>
        </w:rPr>
        <w:t xml:space="preserve">se deja de centrar únicamente en los peritos particulares para voltear a ver a las </w:t>
      </w:r>
      <w:r w:rsidRPr="00E10347">
        <w:rPr>
          <w:rFonts w:ascii="Palatino Linotype" w:eastAsia="MS PGothic" w:hAnsi="Palatino Linotype"/>
          <w:i/>
          <w:sz w:val="21"/>
          <w:szCs w:val="21"/>
          <w:lang w:val="es-ES_tradnl" w:eastAsia="es-ES"/>
        </w:rPr>
        <w:t>comunidades</w:t>
      </w:r>
      <w:r w:rsidRPr="00E10347">
        <w:rPr>
          <w:rFonts w:ascii="Palatino Linotype" w:eastAsia="MS PGothic" w:hAnsi="Palatino Linotype"/>
          <w:sz w:val="21"/>
          <w:szCs w:val="21"/>
          <w:lang w:val="es-ES_tradnl" w:eastAsia="es-ES"/>
        </w:rPr>
        <w:t xml:space="preserve"> de expertos y el tipo de información que éstas pueden brindar al respecto.</w:t>
      </w:r>
      <w:r w:rsidRPr="00E10347">
        <w:rPr>
          <w:rStyle w:val="Refdenotaalpie"/>
          <w:rFonts w:ascii="Palatino Linotype" w:eastAsia="MS PGothic" w:hAnsi="Palatino Linotype"/>
          <w:sz w:val="21"/>
          <w:szCs w:val="21"/>
          <w:lang w:val="es-ES_tradnl" w:eastAsia="es-ES"/>
        </w:rPr>
        <w:footnoteReference w:id="131"/>
      </w:r>
      <w:r w:rsidRPr="00E10347">
        <w:rPr>
          <w:rFonts w:ascii="Palatino Linotype" w:eastAsia="MS PGothic" w:hAnsi="Palatino Linotype"/>
          <w:sz w:val="21"/>
          <w:szCs w:val="21"/>
          <w:lang w:val="es-ES_tradnl" w:eastAsia="es-ES"/>
        </w:rPr>
        <w:t xml:space="preserve"> En cambio, tiene el problema de que al menos algunas veces parece haber sucumbido a la tentación de deferir completa y consistentemente en las comunidades expertas </w:t>
      </w:r>
      <w:r w:rsidRPr="00E10347">
        <w:rPr>
          <w:rFonts w:ascii="Palatino Linotype" w:hAnsi="Palatino Linotype"/>
          <w:i/>
          <w:sz w:val="21"/>
          <w:szCs w:val="21"/>
        </w:rPr>
        <w:t>con independencia</w:t>
      </w:r>
      <w:r w:rsidRPr="00E10347">
        <w:rPr>
          <w:rFonts w:ascii="Palatino Linotype" w:hAnsi="Palatino Linotype"/>
          <w:sz w:val="21"/>
          <w:szCs w:val="21"/>
        </w:rPr>
        <w:t xml:space="preserve"> de los intereses jurídicos. El ejemplo más claro lo constituye el criterio de la aceptación general de la comunidad experta; si consideramos que la aceptación es contextual, una teoría o una técnica pudieran aceptarse </w:t>
      </w:r>
      <w:r w:rsidRPr="00E10347">
        <w:rPr>
          <w:rFonts w:ascii="Palatino Linotype" w:hAnsi="Palatino Linotype"/>
          <w:i/>
          <w:sz w:val="21"/>
          <w:szCs w:val="21"/>
        </w:rPr>
        <w:t>para</w:t>
      </w:r>
      <w:r w:rsidRPr="00E10347">
        <w:rPr>
          <w:rFonts w:ascii="Palatino Linotype" w:hAnsi="Palatino Linotype"/>
          <w:sz w:val="21"/>
          <w:szCs w:val="21"/>
        </w:rPr>
        <w:t xml:space="preserve"> determinado objetivo o cuestión que haya supuesto una decisión sobre la suficiencia de la información con que se cuenta.</w:t>
      </w:r>
      <w:r w:rsidRPr="00E10347">
        <w:rPr>
          <w:rStyle w:val="Refdenotaalpie"/>
          <w:rFonts w:ascii="Palatino Linotype" w:hAnsi="Palatino Linotype"/>
          <w:sz w:val="21"/>
          <w:szCs w:val="21"/>
        </w:rPr>
        <w:footnoteReference w:id="132"/>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En este punto, es sumamente conveniente distinguir entre la deferencia a la autoridad teórica y la deferencia a la autoridad práctica, los expertos ameritan la primera cuando tienen fundamentos para decirnos qué hay </w:t>
      </w:r>
      <w:r w:rsidRPr="00E10347">
        <w:rPr>
          <w:rFonts w:ascii="Palatino Linotype" w:hAnsi="Palatino Linotype"/>
          <w:i/>
          <w:sz w:val="21"/>
          <w:szCs w:val="21"/>
        </w:rPr>
        <w:t>que creer</w:t>
      </w:r>
      <w:r w:rsidRPr="00E10347">
        <w:rPr>
          <w:rFonts w:ascii="Palatino Linotype" w:hAnsi="Palatino Linotype"/>
          <w:sz w:val="21"/>
          <w:szCs w:val="21"/>
        </w:rPr>
        <w:t xml:space="preserve"> sobre una cuestión determinada dentro de su ámbito; en cambio, no hay fundamento alguno para que tales expertos nos digan </w:t>
      </w:r>
      <w:r w:rsidRPr="00E10347">
        <w:rPr>
          <w:rFonts w:ascii="Palatino Linotype" w:hAnsi="Palatino Linotype"/>
          <w:i/>
          <w:sz w:val="21"/>
          <w:szCs w:val="21"/>
        </w:rPr>
        <w:t>qué debemos hacer</w:t>
      </w:r>
      <w:r w:rsidRPr="00E10347">
        <w:rPr>
          <w:rFonts w:ascii="Palatino Linotype" w:hAnsi="Palatino Linotype"/>
          <w:sz w:val="21"/>
          <w:szCs w:val="21"/>
        </w:rPr>
        <w:t xml:space="preserve"> en el ámbito jurídico-probatorio, es decir, no tienen autoridad práctica. Esto se traduce, básicamente, en que los expertos (o las comunidades expertas) no tienen autoridad para decir cuándo está probado jurídicamente un hecho, aunque digan cuándo lo está en sus respectivas áreas. Es sumamente relevante diferenciar estas cuestiones y tener lo suficientemente claros los criterios de toma de decisión respectiva. Por ello, en los sistemas donde no se tiene un estándar de prueba medianamente claro que </w:t>
      </w:r>
      <w:r w:rsidRPr="00E10347">
        <w:rPr>
          <w:rFonts w:ascii="Palatino Linotype" w:hAnsi="Palatino Linotype"/>
          <w:sz w:val="21"/>
          <w:szCs w:val="21"/>
        </w:rPr>
        <w:lastRenderedPageBreak/>
        <w:t xml:space="preserve">establezca cuándo hay que tener por probados unos hechos, es mucho más potente el peligro de que los jueces terminen atribuyendo a los expertos la autoridad práctica que no deberían. </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 xml:space="preserve">Una última cuestión que los criterios Daubert descuidan son los desacuerdos entre los miembros de una comunidad de expertos o entre las comunidades de expertos; por el contrario, la parte de la experiencia estadounidense abordada enfatizó el rol del consenso en la comunidad científica. Más allá de lo ingenuo (y erróneo) que resulta pensar que </w:t>
      </w:r>
      <w:r w:rsidRPr="00E10347">
        <w:rPr>
          <w:rFonts w:ascii="Palatino Linotype" w:eastAsia="MS PGothic" w:hAnsi="Palatino Linotype"/>
          <w:i/>
          <w:sz w:val="21"/>
          <w:szCs w:val="21"/>
          <w:lang w:val="es-ES_tradnl" w:eastAsia="es-ES"/>
        </w:rPr>
        <w:t>todos o casi todos</w:t>
      </w:r>
      <w:r w:rsidRPr="00E10347">
        <w:rPr>
          <w:rFonts w:ascii="Palatino Linotype" w:eastAsia="MS PGothic" w:hAnsi="Palatino Linotype"/>
          <w:sz w:val="21"/>
          <w:szCs w:val="21"/>
          <w:lang w:val="es-ES_tradnl" w:eastAsia="es-ES"/>
        </w:rPr>
        <w:t xml:space="preserve"> los miembros de la comunidad acuerdan </w:t>
      </w:r>
      <w:r w:rsidRPr="00E10347">
        <w:rPr>
          <w:rFonts w:ascii="Palatino Linotype" w:eastAsia="MS PGothic" w:hAnsi="Palatino Linotype"/>
          <w:i/>
          <w:sz w:val="21"/>
          <w:szCs w:val="21"/>
          <w:lang w:val="es-ES_tradnl" w:eastAsia="es-ES"/>
        </w:rPr>
        <w:t>siempre</w:t>
      </w:r>
      <w:r w:rsidRPr="00E10347">
        <w:rPr>
          <w:rFonts w:ascii="Palatino Linotype" w:eastAsia="MS PGothic" w:hAnsi="Palatino Linotype"/>
          <w:sz w:val="21"/>
          <w:szCs w:val="21"/>
          <w:lang w:val="es-ES_tradnl" w:eastAsia="es-ES"/>
        </w:rPr>
        <w:t>, por ejemplo, en el marco teórico aplicable o cómo aplicar los conocimientos teóricos en el caso concreto, una de las características más importantes en el progreso de la empresa científica, y del conocimiento en general, es precisamente la diversidad de posiciones y el debate acerca de éstas.</w:t>
      </w:r>
      <w:r w:rsidRPr="00E10347">
        <w:rPr>
          <w:rFonts w:ascii="Palatino Linotype" w:eastAsia="MS PGothic" w:hAnsi="Palatino Linotype"/>
          <w:sz w:val="21"/>
          <w:szCs w:val="21"/>
          <w:vertAlign w:val="superscript"/>
          <w:lang w:val="es-ES_tradnl" w:eastAsia="es-ES"/>
        </w:rPr>
        <w:footnoteReference w:id="133"/>
      </w:r>
      <w:r w:rsidRPr="00E10347">
        <w:rPr>
          <w:rFonts w:ascii="Palatino Linotype" w:eastAsia="MS PGothic" w:hAnsi="Palatino Linotype"/>
          <w:sz w:val="21"/>
          <w:szCs w:val="21"/>
          <w:lang w:val="es-ES_tradnl" w:eastAsia="es-ES"/>
        </w:rPr>
        <w:t xml:space="preserve"> Así, es importante incorporar en la cultura jurídica la idea de los desacuerdos genuinos entre los expertos, que evidentemente no son resultado de cierta parcialidad derivada, por ejemplo, de su relación con las partes. Obviar estas cuestiones y abordar la prueba pericial únicamente desde el consenso supone que ni siquiera nos preocupemos por ofrecer a los juzgadores herramientas para abordar los desacuerdos, por no hablar de la información que perdemos al no interesarnos por los fundamentos de éstos, cuando pueden ser relevantes para la decisión en cuestión. </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eastAsia="MS PGothic" w:hAnsi="Palatino Linotype"/>
          <w:sz w:val="21"/>
          <w:szCs w:val="21"/>
          <w:lang w:val="es-ES_tradnl" w:eastAsia="es-ES"/>
        </w:rPr>
        <w:t xml:space="preserve">Entonces, más allá de especificar un listado de criterios de valoración de las pruebas periciales, todo lo anterior conduce a que a efectos de buscar tales criterios para valorar los muy distintos tipos de pruebas periciales, debe tenerse presente el ejercicio de la </w:t>
      </w:r>
      <w:r w:rsidRPr="00E10347">
        <w:rPr>
          <w:rFonts w:ascii="Palatino Linotype" w:eastAsia="MS PGothic" w:hAnsi="Palatino Linotype"/>
          <w:i/>
          <w:sz w:val="21"/>
          <w:szCs w:val="21"/>
          <w:lang w:val="es-ES_tradnl" w:eastAsia="es-ES"/>
        </w:rPr>
        <w:t xml:space="preserve">expertise </w:t>
      </w:r>
      <w:r w:rsidRPr="00E10347">
        <w:rPr>
          <w:rFonts w:ascii="Palatino Linotype" w:eastAsia="MS PGothic" w:hAnsi="Palatino Linotype"/>
          <w:sz w:val="21"/>
          <w:szCs w:val="21"/>
          <w:lang w:val="es-ES_tradnl" w:eastAsia="es-ES"/>
        </w:rPr>
        <w:t xml:space="preserve">en el caso concreto, las consideraciones sustantivas de las comunidades expertas sin perder de vista los intereses jurídicos y que tanto el conocimiento científico en particular como el experto en general son susceptibles no </w:t>
      </w:r>
      <w:r w:rsidR="002A76CC">
        <w:rPr>
          <w:rFonts w:ascii="Palatino Linotype" w:eastAsia="MS PGothic" w:hAnsi="Palatino Linotype"/>
          <w:sz w:val="21"/>
          <w:szCs w:val="21"/>
          <w:lang w:val="es-ES_tradnl" w:eastAsia="es-ES"/>
        </w:rPr>
        <w:t xml:space="preserve">solo </w:t>
      </w:r>
      <w:r w:rsidRPr="00E10347">
        <w:rPr>
          <w:rFonts w:ascii="Palatino Linotype" w:eastAsia="MS PGothic" w:hAnsi="Palatino Linotype"/>
          <w:sz w:val="21"/>
          <w:szCs w:val="21"/>
          <w:lang w:val="es-ES_tradnl" w:eastAsia="es-ES"/>
        </w:rPr>
        <w:t xml:space="preserve">de errores sino también de desacuerdos genuinos. </w:t>
      </w:r>
    </w:p>
    <w:p w:rsidR="002014CA" w:rsidRPr="00E10347" w:rsidRDefault="005771E0" w:rsidP="00E10347">
      <w:pPr>
        <w:jc w:val="both"/>
        <w:rPr>
          <w:rFonts w:ascii="Palatino Linotype" w:eastAsia="MS PGothic" w:hAnsi="Palatino Linotype"/>
          <w:b/>
          <w:sz w:val="21"/>
          <w:szCs w:val="21"/>
          <w:lang w:val="es-ES_tradnl" w:eastAsia="es-ES"/>
        </w:rPr>
      </w:pPr>
      <w:r w:rsidRPr="00E10347">
        <w:rPr>
          <w:rFonts w:ascii="Palatino Linotype" w:eastAsia="MS PGothic" w:hAnsi="Palatino Linotype"/>
          <w:b/>
          <w:sz w:val="21"/>
          <w:szCs w:val="21"/>
          <w:lang w:val="es-ES_tradnl" w:eastAsia="es-ES"/>
        </w:rPr>
        <w:t>9</w:t>
      </w:r>
      <w:r w:rsidR="002014CA" w:rsidRPr="00E10347">
        <w:rPr>
          <w:rFonts w:ascii="Palatino Linotype" w:eastAsia="MS PGothic" w:hAnsi="Palatino Linotype"/>
          <w:b/>
          <w:sz w:val="21"/>
          <w:szCs w:val="21"/>
          <w:lang w:val="es-ES_tradnl" w:eastAsia="es-ES"/>
        </w:rPr>
        <w:t xml:space="preserve">. Conclusiones </w:t>
      </w:r>
    </w:p>
    <w:p w:rsidR="002014CA" w:rsidRPr="00E10347" w:rsidRDefault="002014CA" w:rsidP="00E10347">
      <w:pPr>
        <w:ind w:firstLine="709"/>
        <w:jc w:val="both"/>
        <w:rPr>
          <w:rFonts w:ascii="Palatino Linotype" w:eastAsia="MS PGothic" w:hAnsi="Palatino Linotype"/>
          <w:sz w:val="21"/>
          <w:szCs w:val="21"/>
          <w:lang w:val="es-ES_tradnl" w:eastAsia="es-ES"/>
        </w:rPr>
      </w:pPr>
      <w:r w:rsidRPr="00E10347">
        <w:rPr>
          <w:rFonts w:ascii="Palatino Linotype" w:hAnsi="Palatino Linotype"/>
          <w:sz w:val="21"/>
          <w:szCs w:val="21"/>
        </w:rPr>
        <w:t xml:space="preserve">Después de Daubert, la Suprema Corte estadounidense se ha pronunciado en dos casos más sobre la admisibilidad de las pruebas periciales, conformando lo que se conoce como “la trilogía Daubert” o “Daubert y sus descendientes”. En el último de tales casos, </w:t>
      </w:r>
      <w:r w:rsidRPr="00E10347">
        <w:rPr>
          <w:rFonts w:ascii="Palatino Linotype" w:hAnsi="Palatino Linotype"/>
          <w:i/>
          <w:sz w:val="21"/>
          <w:szCs w:val="21"/>
        </w:rPr>
        <w:t>Kumho Tire Company v. Carmichael</w:t>
      </w:r>
      <w:r w:rsidRPr="00E10347">
        <w:rPr>
          <w:rFonts w:ascii="Palatino Linotype" w:hAnsi="Palatino Linotype"/>
          <w:sz w:val="21"/>
          <w:szCs w:val="21"/>
          <w:lang w:val="es-ES_tradnl"/>
        </w:rPr>
        <w:t xml:space="preserve">, se determinó, precisamente, que no puede trazarse una división clara entre el conocimiento científico y otros </w:t>
      </w:r>
      <w:r w:rsidRPr="00E10347">
        <w:rPr>
          <w:rFonts w:ascii="Palatino Linotype" w:hAnsi="Palatino Linotype"/>
          <w:sz w:val="21"/>
          <w:szCs w:val="21"/>
          <w:lang w:val="es-ES_tradnl"/>
        </w:rPr>
        <w:lastRenderedPageBreak/>
        <w:t xml:space="preserve">tipos de conocimiento y, por ello, se argumentó, </w:t>
      </w:r>
      <w:r w:rsidRPr="00E10347">
        <w:rPr>
          <w:rFonts w:ascii="Palatino Linotype" w:eastAsia="MS PGothic" w:hAnsi="Palatino Linotype"/>
          <w:sz w:val="21"/>
          <w:szCs w:val="21"/>
          <w:lang w:val="es-ES_tradnl" w:eastAsia="es-ES"/>
        </w:rPr>
        <w:t>que la regulación estadounidense de la prueba pericial no diferenciaba entre “conocimiento científico”, “conocimiento técnico” u otro tipo de “conocimiento especializado”, sino que hacía énfasis en que todo tipo de</w:t>
      </w:r>
      <w:r w:rsidRPr="00E10347">
        <w:rPr>
          <w:rFonts w:ascii="Palatino Linotype" w:eastAsia="MS PGothic" w:hAnsi="Palatino Linotype"/>
          <w:i/>
          <w:sz w:val="21"/>
          <w:szCs w:val="21"/>
          <w:lang w:val="es-ES_tradnl" w:eastAsia="es-ES"/>
        </w:rPr>
        <w:t xml:space="preserve"> conocimiento</w:t>
      </w:r>
      <w:r w:rsidRPr="00E10347">
        <w:rPr>
          <w:rFonts w:ascii="Palatino Linotype" w:eastAsia="MS PGothic" w:hAnsi="Palatino Linotype"/>
          <w:sz w:val="21"/>
          <w:szCs w:val="21"/>
          <w:lang w:val="es-ES_tradnl" w:eastAsia="es-ES"/>
        </w:rPr>
        <w:t xml:space="preserve"> podía constituir una prueba pericial y que la calidad (o fiabilidad) de cualquier tipo de conocimiento sería controlada para su admisión. Aunado a ello, la Corte resolvió que los factores a considerar como indicadores de la fiabilidad de una prueba pericial dependían de las particulares circunstancias del caso concreto. En esta flexible interpretación sobre la enfatizada función de </w:t>
      </w:r>
      <w:r w:rsidRPr="00E10347">
        <w:rPr>
          <w:rFonts w:ascii="Palatino Linotype" w:eastAsia="MS PGothic" w:hAnsi="Palatino Linotype"/>
          <w:i/>
          <w:sz w:val="21"/>
          <w:szCs w:val="21"/>
          <w:lang w:val="es-ES_tradnl" w:eastAsia="es-ES"/>
        </w:rPr>
        <w:t>gatekeeper</w:t>
      </w:r>
      <w:r w:rsidRPr="00E10347">
        <w:rPr>
          <w:rFonts w:ascii="Palatino Linotype" w:eastAsia="MS PGothic" w:hAnsi="Palatino Linotype"/>
          <w:sz w:val="21"/>
          <w:szCs w:val="21"/>
          <w:lang w:val="es-ES_tradnl" w:eastAsia="es-ES"/>
        </w:rPr>
        <w:t xml:space="preserve"> de los jueces de la causa, se subrayó que el objetivo es asegurarse que el experto usará ante los tribunales </w:t>
      </w:r>
      <w:r w:rsidRPr="00E10347">
        <w:rPr>
          <w:rFonts w:ascii="Palatino Linotype" w:eastAsia="MS PGothic" w:hAnsi="Palatino Linotype"/>
          <w:i/>
          <w:sz w:val="21"/>
          <w:szCs w:val="21"/>
          <w:lang w:val="es-ES_tradnl" w:eastAsia="es-ES"/>
        </w:rPr>
        <w:t>el mismo grado de rigor intelectual</w:t>
      </w:r>
      <w:r w:rsidRPr="00E10347">
        <w:rPr>
          <w:rFonts w:ascii="Palatino Linotype" w:eastAsia="MS PGothic" w:hAnsi="Palatino Linotype"/>
          <w:sz w:val="21"/>
          <w:szCs w:val="21"/>
          <w:lang w:val="es-ES_tradnl" w:eastAsia="es-ES"/>
        </w:rPr>
        <w:t xml:space="preserve"> </w:t>
      </w:r>
      <w:r w:rsidRPr="00E10347">
        <w:rPr>
          <w:rFonts w:ascii="Palatino Linotype" w:eastAsia="MS PGothic" w:hAnsi="Palatino Linotype"/>
          <w:i/>
          <w:sz w:val="21"/>
          <w:szCs w:val="21"/>
          <w:lang w:val="es-ES_tradnl" w:eastAsia="es-ES"/>
        </w:rPr>
        <w:t>usado en su práctica profesional.</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En general, cuando se habla de Daubert no se toman en cuenta estas otras decisiones de la Corte; pero lo importante, sobretodo fuera del sistema estadounidense, no es evidentemente si ésta lo dice o no. Como ya he dicho anteriormente, hay buenos argumentos extrajurídicos para evitar el criterio de la cientificidad del conocimiento como sinónimo de fiabilidad del mismo. Si estamos interesados en la calidad de los fundamentos de las pruebas periciales, que éstas sean o no científicas por sí mismo nada nos dice al respecto y, en cambio, obscurece los verdaderos problemas para obtener información relevante. Precisamente es en este contexto donde las comunidades expertas podrían jugar un rol mucho más sustantivo que aquel que, al menos en nuestros sistemas, suelen jugar (fundamentalmente participando en la conformación de listados de expertos dispuestos a peritar), no </w:t>
      </w:r>
      <w:r w:rsidR="002A76CC">
        <w:rPr>
          <w:rFonts w:ascii="Palatino Linotype" w:hAnsi="Palatino Linotype"/>
          <w:sz w:val="21"/>
          <w:szCs w:val="21"/>
        </w:rPr>
        <w:t xml:space="preserve">solo </w:t>
      </w:r>
      <w:r w:rsidRPr="00E10347">
        <w:rPr>
          <w:rFonts w:ascii="Palatino Linotype" w:hAnsi="Palatino Linotype"/>
          <w:sz w:val="21"/>
          <w:szCs w:val="21"/>
        </w:rPr>
        <w:t xml:space="preserve">brindándonos información empírica sobre el funcionamiento actual de sus técnicas, métodos, etc., sino informándonos sobre criterios adecuados a tener en cuenta para valorar la calidad de las afirmaciones realizadas por peritos individuales.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Por supuesto, es enriquecedor analizar lo que otros sistemas han hecho e intentar aprender de tal experiencia; sin embargo, así como no se puede trasplantar un órgano de un ser humano a otro sin un amplio y profundo análisis de los dos cuerpos en juego para saber su potencial compatibilidad, tampoco se puede trasladar sin más la experiencia de un sistema a otro. Y, desafortunadamente, en este punto muchos sistemas jurídicos sufren el gran problema de ignorar su funcionamiento real debido a la ausencia de análisis empíricos al respecto; quizá es precisamente en ello donde hace falta imitar al sistema estadounidense, que está constantemente preocupado por ello.</w:t>
      </w:r>
    </w:p>
    <w:p w:rsidR="002014CA" w:rsidRPr="00E10347" w:rsidRDefault="002014CA" w:rsidP="005F65BE">
      <w:pPr>
        <w:jc w:val="center"/>
        <w:rPr>
          <w:rFonts w:ascii="Palatino Linotype" w:hAnsi="Palatino Linotype"/>
          <w:b/>
          <w:sz w:val="21"/>
          <w:szCs w:val="21"/>
          <w:lang w:val="en-US"/>
        </w:rPr>
      </w:pPr>
      <w:r w:rsidRPr="00FC1DF6">
        <w:rPr>
          <w:rFonts w:ascii="Palatino Linotype" w:hAnsi="Palatino Linotype"/>
          <w:sz w:val="21"/>
          <w:szCs w:val="21"/>
          <w:lang w:val="en-US"/>
        </w:rPr>
        <w:br w:type="page"/>
      </w:r>
      <w:r w:rsidRPr="00E10347">
        <w:rPr>
          <w:rFonts w:ascii="Palatino Linotype" w:hAnsi="Palatino Linotype"/>
          <w:b/>
          <w:sz w:val="21"/>
          <w:szCs w:val="21"/>
          <w:lang w:val="en-US"/>
        </w:rPr>
        <w:lastRenderedPageBreak/>
        <w:t>Bibliografía</w:t>
      </w:r>
    </w:p>
    <w:p w:rsidR="002014CA" w:rsidRPr="00E10347" w:rsidRDefault="002014CA" w:rsidP="00E10347">
      <w:pPr>
        <w:pStyle w:val="Sinespaciado"/>
        <w:ind w:left="709" w:firstLine="709"/>
        <w:jc w:val="both"/>
        <w:rPr>
          <w:rFonts w:ascii="Palatino Linotype" w:hAnsi="Palatino Linotype"/>
          <w:sz w:val="21"/>
          <w:szCs w:val="21"/>
          <w:lang w:val="en-US"/>
        </w:rPr>
      </w:pPr>
      <w:r w:rsidRPr="00E10347">
        <w:rPr>
          <w:rFonts w:ascii="Palatino Linotype" w:hAnsi="Palatino Linotype"/>
          <w:sz w:val="21"/>
          <w:szCs w:val="21"/>
          <w:lang w:val="en-US"/>
        </w:rPr>
        <w:t>Allen, R.J., 1994: “Expertise and the Daubert Decision”, en Journal of Criminal Law and Criminology, no. 84.</w:t>
      </w:r>
    </w:p>
    <w:p w:rsidR="002014CA" w:rsidRPr="00E10347" w:rsidRDefault="002014CA" w:rsidP="00E10347">
      <w:pPr>
        <w:pStyle w:val="Sinespaciado"/>
        <w:ind w:left="709" w:firstLine="709"/>
        <w:jc w:val="both"/>
        <w:rPr>
          <w:rFonts w:ascii="Palatino Linotype" w:hAnsi="Palatino Linotype"/>
          <w:sz w:val="21"/>
          <w:szCs w:val="21"/>
        </w:rPr>
      </w:pPr>
      <w:r w:rsidRPr="00E10347">
        <w:rPr>
          <w:rFonts w:ascii="Palatino Linotype" w:hAnsi="Palatino Linotype"/>
          <w:sz w:val="21"/>
          <w:szCs w:val="21"/>
          <w:lang w:val="en-US"/>
        </w:rPr>
        <w:t xml:space="preserve">Allen, R.J., 2012: “The Conceptual Challenge of Expert Evidence”. </w:t>
      </w:r>
      <w:r w:rsidRPr="00E10347">
        <w:rPr>
          <w:rFonts w:ascii="Palatino Linotype" w:hAnsi="Palatino Linotype"/>
          <w:sz w:val="21"/>
          <w:szCs w:val="21"/>
        </w:rPr>
        <w:t xml:space="preserve">Disponible en </w:t>
      </w:r>
      <w:hyperlink r:id="rId20" w:history="1">
        <w:r w:rsidRPr="00E10347">
          <w:rPr>
            <w:rStyle w:val="Hipervnculo"/>
            <w:rFonts w:ascii="Palatino Linotype" w:hAnsi="Palatino Linotype"/>
            <w:color w:val="auto"/>
            <w:sz w:val="21"/>
            <w:szCs w:val="21"/>
          </w:rPr>
          <w:t>http://papers.ssrn.com/sol3/papers.cfm?abstract_id=2141395</w:t>
        </w:r>
      </w:hyperlink>
    </w:p>
    <w:p w:rsidR="002014CA" w:rsidRPr="00E10347" w:rsidRDefault="002014CA" w:rsidP="00E10347">
      <w:pPr>
        <w:pStyle w:val="Sinespaciado"/>
        <w:ind w:left="709" w:firstLine="709"/>
        <w:jc w:val="both"/>
        <w:rPr>
          <w:rFonts w:ascii="Palatino Linotype" w:hAnsi="Palatino Linotype"/>
          <w:sz w:val="21"/>
          <w:szCs w:val="21"/>
          <w:lang w:val="en-US"/>
        </w:rPr>
      </w:pPr>
      <w:r w:rsidRPr="00E10347">
        <w:rPr>
          <w:rFonts w:ascii="Palatino Linotype" w:hAnsi="Palatino Linotype"/>
          <w:sz w:val="21"/>
          <w:szCs w:val="21"/>
          <w:lang w:val="en-US"/>
        </w:rPr>
        <w:t>Allen, R.J. y Pardo, M.S., 2003: “The Myth of the Law-Fact Distinction”, en Northwestern University Law Review, vol. 97, no. 4</w:t>
      </w:r>
    </w:p>
    <w:p w:rsidR="002014CA" w:rsidRPr="00E10347" w:rsidRDefault="002014CA" w:rsidP="00E10347">
      <w:pPr>
        <w:pStyle w:val="Sinespaciado"/>
        <w:ind w:left="709" w:firstLine="709"/>
        <w:jc w:val="both"/>
        <w:rPr>
          <w:rFonts w:ascii="Palatino Linotype" w:hAnsi="Palatino Linotype"/>
          <w:sz w:val="21"/>
          <w:szCs w:val="21"/>
          <w:lang w:val="en-US"/>
        </w:rPr>
      </w:pPr>
      <w:r w:rsidRPr="00E10347">
        <w:rPr>
          <w:rFonts w:ascii="Palatino Linotype" w:hAnsi="Palatino Linotype"/>
          <w:sz w:val="21"/>
          <w:szCs w:val="21"/>
          <w:lang w:val="en-US"/>
        </w:rPr>
        <w:t xml:space="preserve">Angell, M., 1996: Science on Trial. The Clash of the Medical Evidence and the Law in the Breast Implant Case, New York: W.W. Norton and Co. </w:t>
      </w:r>
    </w:p>
    <w:p w:rsidR="002014CA" w:rsidRPr="00E10347" w:rsidRDefault="002014CA" w:rsidP="00E10347">
      <w:pPr>
        <w:pStyle w:val="Sinespaciado"/>
        <w:ind w:left="709" w:firstLine="709"/>
        <w:jc w:val="both"/>
        <w:rPr>
          <w:rFonts w:ascii="Palatino Linotype" w:hAnsi="Palatino Linotype"/>
          <w:sz w:val="21"/>
          <w:szCs w:val="21"/>
          <w:lang w:val="en-US"/>
        </w:rPr>
      </w:pPr>
      <w:r w:rsidRPr="00E10347">
        <w:rPr>
          <w:rFonts w:ascii="Palatino Linotype" w:hAnsi="Palatino Linotype"/>
          <w:sz w:val="21"/>
          <w:szCs w:val="21"/>
          <w:lang w:val="en-US"/>
        </w:rPr>
        <w:t>Bauer, H.H., 1992: Scientific Literacy and the Myth of the Scientific Method, Chicago: University of Illinois Press.</w:t>
      </w:r>
    </w:p>
    <w:p w:rsidR="002014CA" w:rsidRPr="00E10347" w:rsidRDefault="002014CA" w:rsidP="00E10347">
      <w:pPr>
        <w:ind w:left="709" w:firstLine="709"/>
        <w:jc w:val="both"/>
        <w:rPr>
          <w:rFonts w:ascii="Palatino Linotype" w:hAnsi="Palatino Linotype"/>
          <w:sz w:val="21"/>
          <w:szCs w:val="21"/>
          <w:lang w:val="en-US"/>
        </w:rPr>
      </w:pPr>
      <w:r w:rsidRPr="00E10347">
        <w:rPr>
          <w:rFonts w:ascii="Palatino Linotype" w:hAnsi="Palatino Linotype"/>
          <w:sz w:val="21"/>
          <w:szCs w:val="21"/>
          <w:lang w:val="en-US"/>
        </w:rPr>
        <w:t xml:space="preserve">Chan, E.J., 1995: “The ‘Brave New World’ of Daubert. True Peer Review, Editorial Peer Review and Scientific Validity”, en New York University Law Review, no. 70. </w:t>
      </w:r>
    </w:p>
    <w:p w:rsidR="002014CA" w:rsidRPr="00E10347" w:rsidRDefault="002014CA" w:rsidP="00E10347">
      <w:pPr>
        <w:pStyle w:val="Sinespaciado"/>
        <w:ind w:left="709" w:firstLine="709"/>
        <w:jc w:val="both"/>
        <w:rPr>
          <w:rFonts w:ascii="Palatino Linotype" w:hAnsi="Palatino Linotype"/>
          <w:sz w:val="21"/>
          <w:szCs w:val="21"/>
        </w:rPr>
      </w:pPr>
      <w:r w:rsidRPr="00E10347">
        <w:rPr>
          <w:rFonts w:ascii="Palatino Linotype" w:hAnsi="Palatino Linotype"/>
          <w:sz w:val="21"/>
          <w:szCs w:val="21"/>
        </w:rPr>
        <w:t xml:space="preserve">Denti, V., 1972: “Cientificidad de la prueba en relación principalmente con los dictámenes periciales y la libertad de apreciación del juzgador”. Citado por la traducción al castellano de Oñate L., S., en Revista de Derecho Procesal Iberoamericana, no. 2 – 3.  </w:t>
      </w:r>
    </w:p>
    <w:p w:rsidR="002014CA" w:rsidRPr="00E10347" w:rsidRDefault="002014CA" w:rsidP="00E10347">
      <w:pPr>
        <w:ind w:left="709" w:firstLine="709"/>
        <w:jc w:val="both"/>
        <w:rPr>
          <w:rFonts w:ascii="Palatino Linotype" w:eastAsia="MS PGothic" w:hAnsi="Palatino Linotype"/>
          <w:sz w:val="21"/>
          <w:szCs w:val="21"/>
          <w:lang w:val="en-US" w:eastAsia="es-ES"/>
        </w:rPr>
      </w:pPr>
      <w:r w:rsidRPr="00E10347">
        <w:rPr>
          <w:rFonts w:ascii="Palatino Linotype" w:hAnsi="Palatino Linotype"/>
          <w:sz w:val="21"/>
          <w:szCs w:val="21"/>
          <w:lang w:val="en-US"/>
        </w:rPr>
        <w:t>Dwyer, D.M., 2008: Judicial Assessment of Expert Evidence, Cambridge: Cambridge University Press.</w:t>
      </w:r>
    </w:p>
    <w:p w:rsidR="002014CA" w:rsidRPr="00E10347" w:rsidRDefault="002014CA" w:rsidP="00E10347">
      <w:pPr>
        <w:pStyle w:val="Sinespaciado"/>
        <w:ind w:left="709" w:firstLine="709"/>
        <w:jc w:val="both"/>
        <w:rPr>
          <w:rFonts w:ascii="Palatino Linotype" w:hAnsi="Palatino Linotype"/>
          <w:sz w:val="21"/>
          <w:szCs w:val="21"/>
          <w:lang w:val="en-US"/>
        </w:rPr>
      </w:pPr>
      <w:r w:rsidRPr="00E10347">
        <w:rPr>
          <w:rFonts w:ascii="Palatino Linotype" w:hAnsi="Palatino Linotype"/>
          <w:sz w:val="21"/>
          <w:szCs w:val="21"/>
          <w:lang w:val="en-US"/>
        </w:rPr>
        <w:t xml:space="preserve">Edmond, G. y Mercer, D., 2002: “Conjectures and Exhumations: Citations of History, Philosophy and Sociology of Science in US Federal Courts”, en Cardozo Studies in Law and Literature, no. 14.   </w:t>
      </w:r>
    </w:p>
    <w:p w:rsidR="002014CA" w:rsidRPr="00E10347" w:rsidRDefault="002014CA" w:rsidP="00E10347">
      <w:pPr>
        <w:pStyle w:val="Sinespaciado"/>
        <w:ind w:left="709" w:firstLine="709"/>
        <w:jc w:val="both"/>
        <w:rPr>
          <w:rFonts w:ascii="Palatino Linotype" w:hAnsi="Palatino Linotype"/>
          <w:sz w:val="21"/>
          <w:szCs w:val="21"/>
          <w:lang w:val="en-US"/>
        </w:rPr>
      </w:pPr>
      <w:r w:rsidRPr="00E10347">
        <w:rPr>
          <w:rFonts w:ascii="Palatino Linotype" w:hAnsi="Palatino Linotype"/>
          <w:sz w:val="21"/>
          <w:szCs w:val="21"/>
          <w:lang w:val="en-US"/>
        </w:rPr>
        <w:t>Faigman, D.L., 1999: Legal Alchemy: The Use and Misuse of Science in the Law, New York: W.H. Freeman and Company.</w:t>
      </w:r>
    </w:p>
    <w:p w:rsidR="002014CA" w:rsidRPr="00E10347" w:rsidRDefault="002014CA" w:rsidP="00E10347">
      <w:pPr>
        <w:ind w:left="709" w:firstLine="709"/>
        <w:jc w:val="both"/>
        <w:rPr>
          <w:rFonts w:ascii="Palatino Linotype" w:eastAsia="MS PGothic" w:hAnsi="Palatino Linotype"/>
          <w:sz w:val="21"/>
          <w:szCs w:val="21"/>
        </w:rPr>
      </w:pPr>
      <w:r w:rsidRPr="00E10347">
        <w:rPr>
          <w:rFonts w:ascii="Palatino Linotype" w:eastAsia="MS PGothic" w:hAnsi="Palatino Linotype"/>
          <w:sz w:val="21"/>
          <w:szCs w:val="21"/>
        </w:rPr>
        <w:t xml:space="preserve">Ferrer B., J., 2007: </w:t>
      </w:r>
      <w:r w:rsidRPr="00E10347">
        <w:rPr>
          <w:rFonts w:ascii="Palatino Linotype" w:hAnsi="Palatino Linotype"/>
          <w:sz w:val="21"/>
          <w:szCs w:val="21"/>
        </w:rPr>
        <w:t>La valoración racional de la prueba, Barcelona: Marcial Pons.</w:t>
      </w:r>
      <w:r w:rsidRPr="00E10347">
        <w:rPr>
          <w:rFonts w:ascii="Palatino Linotype" w:eastAsia="MS PGothic" w:hAnsi="Palatino Linotype"/>
          <w:sz w:val="21"/>
          <w:szCs w:val="21"/>
        </w:rPr>
        <w:t xml:space="preserve"> </w:t>
      </w:r>
    </w:p>
    <w:p w:rsidR="002014CA" w:rsidRPr="00E10347" w:rsidRDefault="002014CA" w:rsidP="00E10347">
      <w:pPr>
        <w:pStyle w:val="Sinespaciado"/>
        <w:ind w:left="709" w:firstLine="709"/>
        <w:jc w:val="both"/>
        <w:rPr>
          <w:rFonts w:ascii="Palatino Linotype" w:hAnsi="Palatino Linotype"/>
          <w:sz w:val="21"/>
          <w:szCs w:val="21"/>
        </w:rPr>
      </w:pPr>
      <w:r w:rsidRPr="00E10347">
        <w:rPr>
          <w:rFonts w:ascii="Palatino Linotype" w:hAnsi="Palatino Linotype"/>
          <w:sz w:val="21"/>
          <w:szCs w:val="21"/>
        </w:rPr>
        <w:t>Gascón A., M.; Lucena Molina, J.J.; González Rodríguez, J. 2010: “Razones científico–jurídicas para valorar la prueba científica. Una argumentación multidisciplinaria”, en La Ley, no. 5619.</w:t>
      </w:r>
    </w:p>
    <w:p w:rsidR="002014CA" w:rsidRPr="00E10347" w:rsidRDefault="002014CA" w:rsidP="00E10347">
      <w:pPr>
        <w:ind w:left="709" w:firstLine="709"/>
        <w:jc w:val="both"/>
        <w:rPr>
          <w:rFonts w:ascii="Palatino Linotype" w:eastAsia="MS PGothic" w:hAnsi="Palatino Linotype"/>
          <w:sz w:val="21"/>
          <w:szCs w:val="21"/>
          <w:lang w:eastAsia="es-ES"/>
        </w:rPr>
      </w:pPr>
      <w:r w:rsidRPr="00E10347">
        <w:rPr>
          <w:rFonts w:ascii="Palatino Linotype" w:eastAsia="MS PGothic" w:hAnsi="Palatino Linotype"/>
          <w:sz w:val="21"/>
          <w:szCs w:val="21"/>
          <w:lang w:eastAsia="es-ES"/>
        </w:rPr>
        <w:t>Giannelli, P.C., 1980: “The Admissibility of Novel Scientific Evidence: Frye v. United States, A Half – Century Later”, en Columbia Law Review,</w:t>
      </w:r>
      <w:r w:rsidRPr="00E10347">
        <w:rPr>
          <w:rFonts w:ascii="Palatino Linotype" w:eastAsia="MS PGothic" w:hAnsi="Palatino Linotype"/>
          <w:i/>
          <w:sz w:val="21"/>
          <w:szCs w:val="21"/>
          <w:lang w:eastAsia="es-ES"/>
        </w:rPr>
        <w:t xml:space="preserve"> </w:t>
      </w:r>
      <w:r w:rsidRPr="00E10347">
        <w:rPr>
          <w:rFonts w:ascii="Palatino Linotype" w:eastAsia="MS PGothic" w:hAnsi="Palatino Linotype"/>
          <w:sz w:val="21"/>
          <w:szCs w:val="21"/>
          <w:lang w:eastAsia="es-ES"/>
        </w:rPr>
        <w:t xml:space="preserve">no. 80. </w:t>
      </w:r>
    </w:p>
    <w:p w:rsidR="002014CA" w:rsidRPr="00E10347" w:rsidRDefault="002014CA" w:rsidP="00E10347">
      <w:pPr>
        <w:ind w:left="709" w:firstLine="709"/>
        <w:jc w:val="both"/>
        <w:rPr>
          <w:rFonts w:ascii="Palatino Linotype" w:hAnsi="Palatino Linotype"/>
          <w:sz w:val="21"/>
          <w:szCs w:val="21"/>
          <w:lang w:val="en-US"/>
        </w:rPr>
      </w:pPr>
      <w:r w:rsidRPr="00E10347">
        <w:rPr>
          <w:rFonts w:ascii="Palatino Linotype" w:hAnsi="Palatino Linotype"/>
          <w:sz w:val="21"/>
          <w:szCs w:val="21"/>
          <w:lang w:val="en-US"/>
        </w:rPr>
        <w:t>Giannelli, P.C. y Imwinkelried, E.J., 1999: Scientific Evidence, 3</w:t>
      </w:r>
      <w:r w:rsidRPr="00E10347">
        <w:rPr>
          <w:rFonts w:ascii="Palatino Linotype" w:hAnsi="Palatino Linotype"/>
          <w:sz w:val="21"/>
          <w:szCs w:val="21"/>
          <w:vertAlign w:val="superscript"/>
          <w:lang w:val="en-US"/>
        </w:rPr>
        <w:t>a</w:t>
      </w:r>
      <w:r w:rsidRPr="00E10347">
        <w:rPr>
          <w:rFonts w:ascii="Palatino Linotype" w:hAnsi="Palatino Linotype"/>
          <w:sz w:val="21"/>
          <w:szCs w:val="21"/>
          <w:lang w:val="en-US"/>
        </w:rPr>
        <w:t xml:space="preserve"> ed., II vols., Charlottesville, VA: Lexis Law Publishing.  </w:t>
      </w:r>
    </w:p>
    <w:p w:rsidR="002014CA" w:rsidRPr="00E10347" w:rsidRDefault="002014CA" w:rsidP="00E10347">
      <w:pPr>
        <w:pStyle w:val="Sinespaciado"/>
        <w:ind w:left="709" w:firstLine="709"/>
        <w:jc w:val="both"/>
        <w:rPr>
          <w:rFonts w:ascii="Palatino Linotype" w:hAnsi="Palatino Linotype"/>
          <w:sz w:val="21"/>
          <w:szCs w:val="21"/>
          <w:lang w:val="en-US"/>
        </w:rPr>
      </w:pPr>
      <w:r w:rsidRPr="00E10347">
        <w:rPr>
          <w:rFonts w:ascii="Palatino Linotype" w:hAnsi="Palatino Linotype"/>
          <w:sz w:val="21"/>
          <w:szCs w:val="21"/>
          <w:lang w:val="en-US"/>
        </w:rPr>
        <w:lastRenderedPageBreak/>
        <w:t>Haack, S., 1993: Evidence and Inquiry: Towards Reconstruction in Epistemology, Oxford: Blackwell Publishers.</w:t>
      </w:r>
    </w:p>
    <w:p w:rsidR="002014CA" w:rsidRPr="00E10347" w:rsidRDefault="002014CA" w:rsidP="00E10347">
      <w:pPr>
        <w:pStyle w:val="Sinespaciado"/>
        <w:ind w:left="709" w:firstLine="709"/>
        <w:jc w:val="both"/>
        <w:rPr>
          <w:rFonts w:ascii="Palatino Linotype" w:hAnsi="Palatino Linotype"/>
          <w:sz w:val="21"/>
          <w:szCs w:val="21"/>
          <w:lang w:val="en-US"/>
        </w:rPr>
      </w:pPr>
      <w:r w:rsidRPr="00E10347">
        <w:rPr>
          <w:rFonts w:ascii="Palatino Linotype" w:eastAsia="MS PGothic" w:hAnsi="Palatino Linotype"/>
          <w:sz w:val="21"/>
          <w:szCs w:val="21"/>
          <w:lang w:val="en-US" w:eastAsia="es-ES"/>
        </w:rPr>
        <w:t xml:space="preserve">Haack, S., </w:t>
      </w:r>
      <w:r w:rsidRPr="00E10347">
        <w:rPr>
          <w:rFonts w:ascii="Palatino Linotype" w:hAnsi="Palatino Linotype"/>
          <w:sz w:val="21"/>
          <w:szCs w:val="21"/>
          <w:lang w:val="en-US"/>
        </w:rPr>
        <w:t>2005: “Trial and Error: The Supreme Court’s Philosophy of Science”, en American Journal of Public Health, supplement 1.</w:t>
      </w:r>
    </w:p>
    <w:p w:rsidR="002014CA" w:rsidRPr="00E10347" w:rsidRDefault="002014CA" w:rsidP="00E10347">
      <w:pPr>
        <w:pStyle w:val="Sinespaciado"/>
        <w:ind w:left="709" w:firstLine="709"/>
        <w:jc w:val="both"/>
        <w:rPr>
          <w:rFonts w:ascii="Palatino Linotype" w:hAnsi="Palatino Linotype"/>
          <w:sz w:val="21"/>
          <w:szCs w:val="21"/>
          <w:lang w:val="en-US"/>
        </w:rPr>
      </w:pPr>
      <w:r w:rsidRPr="00E10347">
        <w:rPr>
          <w:rFonts w:ascii="Palatino Linotype" w:hAnsi="Palatino Linotype"/>
          <w:sz w:val="21"/>
          <w:szCs w:val="21"/>
          <w:lang w:val="en-US"/>
        </w:rPr>
        <w:t xml:space="preserve">Haack, S., </w:t>
      </w:r>
      <w:r w:rsidRPr="00E10347">
        <w:rPr>
          <w:rFonts w:ascii="Palatino Linotype" w:eastAsia="MS PGothic" w:hAnsi="Palatino Linotype"/>
          <w:sz w:val="21"/>
          <w:szCs w:val="21"/>
          <w:lang w:val="en-US" w:eastAsia="es-ES"/>
        </w:rPr>
        <w:t xml:space="preserve">2007: </w:t>
      </w:r>
      <w:r w:rsidRPr="00E10347">
        <w:rPr>
          <w:rFonts w:ascii="Palatino Linotype" w:hAnsi="Palatino Linotype"/>
          <w:sz w:val="21"/>
          <w:szCs w:val="21"/>
          <w:lang w:val="en-US"/>
        </w:rPr>
        <w:t>Defending Science -Within reason. Between Scientism and Cynicism, New York: Prometheus Books.</w:t>
      </w:r>
    </w:p>
    <w:p w:rsidR="002014CA" w:rsidRPr="00E10347" w:rsidRDefault="002014CA" w:rsidP="00E10347">
      <w:pPr>
        <w:pStyle w:val="Sinespaciado"/>
        <w:ind w:left="709" w:firstLine="709"/>
        <w:jc w:val="both"/>
        <w:rPr>
          <w:rFonts w:ascii="Palatino Linotype" w:hAnsi="Palatino Linotype"/>
          <w:sz w:val="21"/>
          <w:szCs w:val="21"/>
          <w:lang w:val="en-US"/>
        </w:rPr>
      </w:pPr>
      <w:r w:rsidRPr="00E10347">
        <w:rPr>
          <w:rFonts w:ascii="Palatino Linotype" w:hAnsi="Palatino Linotype"/>
          <w:sz w:val="21"/>
          <w:szCs w:val="21"/>
          <w:lang w:val="en-US"/>
        </w:rPr>
        <w:t xml:space="preserve">Haack, S., 2013 Putting Philosophy to Work. Inquiry and its Place in Culture (expanded ed.), New York: Prometheus Books.  </w:t>
      </w:r>
    </w:p>
    <w:p w:rsidR="002014CA" w:rsidRPr="00E10347" w:rsidRDefault="002014CA" w:rsidP="00E10347">
      <w:pPr>
        <w:pStyle w:val="Sinespaciado"/>
        <w:ind w:left="709" w:firstLine="709"/>
        <w:jc w:val="both"/>
        <w:rPr>
          <w:rFonts w:ascii="Palatino Linotype" w:hAnsi="Palatino Linotype"/>
          <w:sz w:val="21"/>
          <w:szCs w:val="21"/>
        </w:rPr>
      </w:pPr>
      <w:r w:rsidRPr="00E10347">
        <w:rPr>
          <w:rFonts w:ascii="Palatino Linotype" w:hAnsi="Palatino Linotype"/>
          <w:sz w:val="21"/>
          <w:szCs w:val="21"/>
          <w:lang w:val="es-ES_tradnl"/>
        </w:rPr>
        <w:t xml:space="preserve">Haack, S., 2014: </w:t>
      </w:r>
      <w:r w:rsidRPr="00E10347">
        <w:rPr>
          <w:rFonts w:ascii="Palatino Linotype" w:hAnsi="Palatino Linotype"/>
          <w:sz w:val="21"/>
          <w:szCs w:val="21"/>
        </w:rPr>
        <w:t>“Risky Business”. Citado por la traducción al castellano de Muffato, N.: “Asuntos arriesgados. Sobre la prueba estadística de la causación específica” en Papayannis, D. (ed.): Causalidad y atribución de responsabilidad, Madrid – Barcelona: Marcial Pons.</w:t>
      </w:r>
    </w:p>
    <w:p w:rsidR="002014CA" w:rsidRPr="00E10347" w:rsidRDefault="002014CA" w:rsidP="00E10347">
      <w:pPr>
        <w:pStyle w:val="Sinespaciado"/>
        <w:ind w:left="709" w:firstLine="709"/>
        <w:jc w:val="both"/>
        <w:rPr>
          <w:rFonts w:ascii="Palatino Linotype" w:hAnsi="Palatino Linotype"/>
          <w:sz w:val="21"/>
          <w:szCs w:val="21"/>
        </w:rPr>
      </w:pPr>
      <w:r w:rsidRPr="00E10347">
        <w:rPr>
          <w:rFonts w:ascii="Palatino Linotype" w:hAnsi="Palatino Linotype"/>
          <w:sz w:val="21"/>
          <w:szCs w:val="21"/>
          <w:lang w:val="en-US"/>
        </w:rPr>
        <w:t xml:space="preserve">Haack, S., 2015: “Peer Review and Publications: Lessons for Lawyers”. </w:t>
      </w:r>
      <w:r w:rsidRPr="00E10347">
        <w:rPr>
          <w:rFonts w:ascii="Palatino Linotype" w:hAnsi="Palatino Linotype"/>
          <w:sz w:val="21"/>
          <w:szCs w:val="21"/>
        </w:rPr>
        <w:t xml:space="preserve">Citado por la traducción al castellano de Vázquez, C., “Evaluación por pares y publicaciones”, en DOXA, 38. </w:t>
      </w:r>
    </w:p>
    <w:p w:rsidR="002014CA" w:rsidRPr="00E10347" w:rsidRDefault="002014CA" w:rsidP="00E10347">
      <w:pPr>
        <w:pStyle w:val="Sinespaciado"/>
        <w:ind w:left="709" w:firstLine="709"/>
        <w:jc w:val="both"/>
        <w:rPr>
          <w:rFonts w:ascii="Palatino Linotype" w:hAnsi="Palatino Linotype"/>
          <w:sz w:val="21"/>
          <w:szCs w:val="21"/>
        </w:rPr>
      </w:pPr>
      <w:r w:rsidRPr="00E10347">
        <w:rPr>
          <w:rFonts w:ascii="Palatino Linotype" w:hAnsi="Palatino Linotype"/>
          <w:sz w:val="21"/>
          <w:szCs w:val="21"/>
          <w:lang w:val="en-US"/>
        </w:rPr>
        <w:t xml:space="preserve">Hempel, K., 1966: Aspects of Scientific Explanation and Other Essays in The Philosophy of Science, New York: The Free Press. </w:t>
      </w:r>
      <w:r w:rsidRPr="00E10347">
        <w:rPr>
          <w:rFonts w:ascii="Palatino Linotype" w:hAnsi="Palatino Linotype"/>
          <w:sz w:val="21"/>
          <w:szCs w:val="21"/>
        </w:rPr>
        <w:t>Citado por la traducción al castellano de Frassineti de Gallo, M.; Mínguez, N.; y Ruíz A., I., 2005: La explicación científica. Estudios sobre la filosofía de la ciencia, Barcelona: Paidós.</w:t>
      </w:r>
    </w:p>
    <w:p w:rsidR="002014CA" w:rsidRPr="00E10347" w:rsidRDefault="002014CA" w:rsidP="00E10347">
      <w:pPr>
        <w:pStyle w:val="Sinespaciado"/>
        <w:ind w:left="709" w:firstLine="709"/>
        <w:jc w:val="both"/>
        <w:rPr>
          <w:rFonts w:ascii="Palatino Linotype" w:hAnsi="Palatino Linotype"/>
          <w:sz w:val="21"/>
          <w:szCs w:val="21"/>
        </w:rPr>
      </w:pPr>
      <w:r w:rsidRPr="00E10347">
        <w:rPr>
          <w:rFonts w:ascii="Palatino Linotype" w:hAnsi="Palatino Linotype"/>
          <w:sz w:val="21"/>
          <w:szCs w:val="21"/>
        </w:rPr>
        <w:t>Kaye, D.H., 2005: “On ‘Falsification’ and ‘Falsifiability’: The First Daubert Factor and the Philosophy of Science”, en Jurimetrics, vol. 45.</w:t>
      </w:r>
    </w:p>
    <w:p w:rsidR="002014CA" w:rsidRPr="00E10347" w:rsidRDefault="002014CA" w:rsidP="00E10347">
      <w:pPr>
        <w:pStyle w:val="Sinespaciado"/>
        <w:ind w:left="709" w:firstLine="709"/>
        <w:jc w:val="both"/>
        <w:rPr>
          <w:rFonts w:ascii="Palatino Linotype" w:hAnsi="Palatino Linotype"/>
          <w:sz w:val="21"/>
          <w:szCs w:val="21"/>
          <w:lang w:val="en-US"/>
        </w:rPr>
      </w:pPr>
      <w:r w:rsidRPr="00E10347">
        <w:rPr>
          <w:rFonts w:ascii="Palatino Linotype" w:hAnsi="Palatino Linotype"/>
          <w:sz w:val="21"/>
          <w:szCs w:val="21"/>
          <w:lang w:val="en-US"/>
        </w:rPr>
        <w:t>Kiely, T.F., 2002: “Science and Peer Review”, en Science and Litigation: Products Liability in Theory and Practice, London: CRC Press.</w:t>
      </w:r>
    </w:p>
    <w:p w:rsidR="002014CA" w:rsidRPr="00E10347" w:rsidRDefault="002014CA" w:rsidP="00E10347">
      <w:pPr>
        <w:pStyle w:val="Sinespaciado"/>
        <w:ind w:left="709" w:firstLine="709"/>
        <w:jc w:val="both"/>
        <w:rPr>
          <w:rFonts w:ascii="Palatino Linotype" w:hAnsi="Palatino Linotype"/>
          <w:sz w:val="21"/>
          <w:szCs w:val="21"/>
        </w:rPr>
      </w:pPr>
      <w:r w:rsidRPr="00E10347">
        <w:rPr>
          <w:rFonts w:ascii="Palatino Linotype" w:hAnsi="Palatino Linotype"/>
          <w:sz w:val="21"/>
          <w:szCs w:val="21"/>
          <w:lang w:val="en-US"/>
        </w:rPr>
        <w:t xml:space="preserve">Lakatos, I., 1973: Science and Pseudoscience. Broadcast on 30 June 1973 as Programme 11 of The Open University Arts Course A303, 'Problems of Philosophy'. </w:t>
      </w:r>
      <w:r w:rsidRPr="00E10347">
        <w:rPr>
          <w:rFonts w:ascii="Palatino Linotype" w:hAnsi="Palatino Linotype"/>
          <w:sz w:val="21"/>
          <w:szCs w:val="21"/>
        </w:rPr>
        <w:t xml:space="preserve">Disponible en: </w:t>
      </w:r>
      <w:hyperlink r:id="rId21" w:history="1">
        <w:r w:rsidRPr="00E10347">
          <w:rPr>
            <w:rStyle w:val="Hipervnculo"/>
            <w:rFonts w:ascii="Palatino Linotype" w:hAnsi="Palatino Linotype"/>
            <w:color w:val="auto"/>
            <w:sz w:val="21"/>
            <w:szCs w:val="21"/>
          </w:rPr>
          <w:t>http://www2.lse.ac.uk/philosophy/about/lakatos/scienceAndPseudoscience.aspx</w:t>
        </w:r>
      </w:hyperlink>
    </w:p>
    <w:p w:rsidR="002014CA" w:rsidRPr="00E10347" w:rsidRDefault="002014CA" w:rsidP="00E10347">
      <w:pPr>
        <w:ind w:left="709" w:firstLine="709"/>
        <w:jc w:val="both"/>
        <w:rPr>
          <w:rFonts w:ascii="Palatino Linotype" w:hAnsi="Palatino Linotype"/>
          <w:sz w:val="21"/>
          <w:szCs w:val="21"/>
        </w:rPr>
      </w:pPr>
      <w:r w:rsidRPr="00E10347">
        <w:rPr>
          <w:rFonts w:ascii="Palatino Linotype" w:hAnsi="Palatino Linotype"/>
          <w:sz w:val="21"/>
          <w:szCs w:val="21"/>
          <w:lang w:val="en-US"/>
        </w:rPr>
        <w:t xml:space="preserve">Laudan, L., 1977: Progress and its Problems, University of California Press. </w:t>
      </w:r>
      <w:r w:rsidRPr="00E10347">
        <w:rPr>
          <w:rFonts w:ascii="Palatino Linotype" w:hAnsi="Palatino Linotype"/>
          <w:sz w:val="21"/>
          <w:szCs w:val="21"/>
        </w:rPr>
        <w:t xml:space="preserve">Citado por la traducción al castellano de López Tapia, J., (1986): El progreso y sus problemas. Hacia una teoría del progreso científico, Madrid: Ed. Encuentro.  </w:t>
      </w:r>
    </w:p>
    <w:p w:rsidR="002014CA" w:rsidRPr="00E10347" w:rsidRDefault="002014CA" w:rsidP="00E10347">
      <w:pPr>
        <w:ind w:left="709" w:firstLine="709"/>
        <w:jc w:val="both"/>
        <w:rPr>
          <w:rFonts w:ascii="Palatino Linotype" w:hAnsi="Palatino Linotype"/>
          <w:sz w:val="21"/>
          <w:szCs w:val="21"/>
          <w:lang w:val="es-MX"/>
        </w:rPr>
      </w:pPr>
      <w:r w:rsidRPr="00E10347">
        <w:rPr>
          <w:rFonts w:ascii="Palatino Linotype" w:hAnsi="Palatino Linotype"/>
          <w:sz w:val="21"/>
          <w:szCs w:val="21"/>
        </w:rPr>
        <w:t xml:space="preserve">Laudan, L., </w:t>
      </w:r>
      <w:r w:rsidRPr="00E10347">
        <w:rPr>
          <w:rFonts w:ascii="Palatino Linotype" w:hAnsi="Palatino Linotype"/>
          <w:sz w:val="21"/>
          <w:szCs w:val="21"/>
          <w:lang w:val="es-MX"/>
        </w:rPr>
        <w:t xml:space="preserve">1983: </w:t>
      </w:r>
      <w:r w:rsidRPr="00E10347">
        <w:rPr>
          <w:rFonts w:ascii="Palatino Linotype" w:hAnsi="Palatino Linotype"/>
          <w:sz w:val="21"/>
          <w:szCs w:val="21"/>
          <w:lang w:val="es-ES_tradnl"/>
        </w:rPr>
        <w:t xml:space="preserve">“The Demise of the Demarcation Problem”, en Cohen y Laudan, L. (ed.): Physics, Philosophy and Psychoanalysis, Boston – </w:t>
      </w:r>
      <w:r w:rsidRPr="00E10347">
        <w:rPr>
          <w:rFonts w:ascii="Palatino Linotype" w:hAnsi="Palatino Linotype"/>
          <w:sz w:val="21"/>
          <w:szCs w:val="21"/>
          <w:lang w:val="es-ES_tradnl"/>
        </w:rPr>
        <w:lastRenderedPageBreak/>
        <w:t>Lancaster: Kluwer Academic Publishers.</w:t>
      </w:r>
    </w:p>
    <w:p w:rsidR="002014CA" w:rsidRPr="00E10347" w:rsidRDefault="002014CA" w:rsidP="00E10347">
      <w:pPr>
        <w:pStyle w:val="Sinespaciado"/>
        <w:ind w:left="709" w:firstLine="709"/>
        <w:jc w:val="both"/>
        <w:rPr>
          <w:rFonts w:ascii="Palatino Linotype" w:hAnsi="Palatino Linotype"/>
          <w:sz w:val="21"/>
          <w:szCs w:val="21"/>
          <w:lang w:val="en-US"/>
        </w:rPr>
      </w:pPr>
      <w:r w:rsidRPr="00E10347">
        <w:rPr>
          <w:rFonts w:ascii="Palatino Linotype" w:hAnsi="Palatino Linotype"/>
          <w:sz w:val="21"/>
          <w:szCs w:val="21"/>
          <w:lang w:val="en-US"/>
        </w:rPr>
        <w:t>Mayo, D., 1996: Error and the Growth of Experimental Knowledge, Chicago: University of Chicago Press.</w:t>
      </w:r>
    </w:p>
    <w:p w:rsidR="002014CA" w:rsidRPr="00E10347" w:rsidRDefault="002014CA" w:rsidP="00E10347">
      <w:pPr>
        <w:pStyle w:val="Sinespaciado"/>
        <w:ind w:left="709" w:firstLine="709"/>
        <w:jc w:val="both"/>
        <w:rPr>
          <w:rFonts w:ascii="Palatino Linotype" w:hAnsi="Palatino Linotype"/>
          <w:sz w:val="21"/>
          <w:szCs w:val="21"/>
        </w:rPr>
      </w:pPr>
      <w:r w:rsidRPr="00E10347">
        <w:rPr>
          <w:rFonts w:ascii="Palatino Linotype" w:hAnsi="Palatino Linotype"/>
          <w:sz w:val="21"/>
          <w:szCs w:val="21"/>
          <w:lang w:val="en-US"/>
        </w:rPr>
        <w:t xml:space="preserve">National Academy of Science, 2009: Strengthening Forensic Science in the United States, Washington: The National Academy Press. </w:t>
      </w:r>
      <w:r w:rsidRPr="00E10347">
        <w:rPr>
          <w:rFonts w:ascii="Palatino Linotype" w:hAnsi="Palatino Linotype"/>
          <w:sz w:val="21"/>
          <w:szCs w:val="21"/>
        </w:rPr>
        <w:t xml:space="preserve">Disponible en </w:t>
      </w:r>
      <w:hyperlink r:id="rId22" w:history="1">
        <w:r w:rsidRPr="00E10347">
          <w:rPr>
            <w:rStyle w:val="Hipervnculo"/>
            <w:rFonts w:ascii="Palatino Linotype" w:hAnsi="Palatino Linotype"/>
            <w:color w:val="auto"/>
            <w:sz w:val="21"/>
            <w:szCs w:val="21"/>
          </w:rPr>
          <w:t>http://www.nap-edu/catalog/12589.html</w:t>
        </w:r>
      </w:hyperlink>
      <w:r w:rsidRPr="00E10347">
        <w:rPr>
          <w:rFonts w:ascii="Palatino Linotype" w:hAnsi="Palatino Linotype"/>
          <w:sz w:val="21"/>
          <w:szCs w:val="21"/>
        </w:rPr>
        <w:t xml:space="preserve"> </w:t>
      </w:r>
    </w:p>
    <w:p w:rsidR="002014CA" w:rsidRPr="00E10347" w:rsidRDefault="002014CA" w:rsidP="00E10347">
      <w:pPr>
        <w:pStyle w:val="Sinespaciado"/>
        <w:ind w:left="709" w:firstLine="709"/>
        <w:jc w:val="both"/>
        <w:rPr>
          <w:rFonts w:ascii="Palatino Linotype" w:hAnsi="Palatino Linotype"/>
          <w:sz w:val="21"/>
          <w:szCs w:val="21"/>
        </w:rPr>
      </w:pPr>
      <w:r w:rsidRPr="00E10347">
        <w:rPr>
          <w:rFonts w:ascii="Palatino Linotype" w:eastAsia="MS PGothic" w:hAnsi="Palatino Linotype"/>
          <w:sz w:val="21"/>
          <w:szCs w:val="21"/>
          <w:lang w:val="es-ES_tradnl" w:eastAsia="es-ES"/>
        </w:rPr>
        <w:t xml:space="preserve">Nieva F., J., </w:t>
      </w:r>
      <w:r w:rsidRPr="00E10347">
        <w:rPr>
          <w:rFonts w:ascii="Palatino Linotype" w:hAnsi="Palatino Linotype"/>
          <w:sz w:val="21"/>
          <w:szCs w:val="21"/>
        </w:rPr>
        <w:t>2010: La valoración de la prueba, Barcelona: Marcial Pons.</w:t>
      </w:r>
    </w:p>
    <w:p w:rsidR="002014CA" w:rsidRPr="00E10347" w:rsidRDefault="002014CA" w:rsidP="00E10347">
      <w:pPr>
        <w:ind w:left="709" w:firstLine="709"/>
        <w:jc w:val="both"/>
        <w:rPr>
          <w:rFonts w:ascii="Palatino Linotype" w:hAnsi="Palatino Linotype"/>
          <w:sz w:val="21"/>
          <w:szCs w:val="21"/>
          <w:lang w:val="en-US"/>
        </w:rPr>
      </w:pPr>
      <w:r w:rsidRPr="00E10347">
        <w:rPr>
          <w:rFonts w:ascii="Palatino Linotype" w:hAnsi="Palatino Linotype"/>
          <w:sz w:val="21"/>
          <w:szCs w:val="21"/>
          <w:lang w:val="en-US" w:eastAsia="ja-JP"/>
        </w:rPr>
        <w:t>Pacheco, Igor; Cerchiai, Brian; y Stoiloff, Stephanie, 2014: Miami-Dade Research Study for the Reliability of the ACE-V Process: Accuracy &amp; Precision in Latent Fingerprint Examinations, report submitted to the U.S. Department of Justice.</w:t>
      </w:r>
      <w:r w:rsidRPr="00E10347">
        <w:rPr>
          <w:rFonts w:ascii="Palatino Linotype" w:hAnsi="Palatino Linotype"/>
          <w:sz w:val="21"/>
          <w:szCs w:val="21"/>
          <w:lang w:val="en-US"/>
        </w:rPr>
        <w:t xml:space="preserve"> </w:t>
      </w:r>
    </w:p>
    <w:p w:rsidR="002014CA" w:rsidRPr="00E10347" w:rsidRDefault="002014CA" w:rsidP="00E10347">
      <w:pPr>
        <w:pStyle w:val="Sinespaciado"/>
        <w:ind w:left="709" w:firstLine="709"/>
        <w:jc w:val="both"/>
        <w:rPr>
          <w:rFonts w:ascii="Palatino Linotype" w:hAnsi="Palatino Linotype"/>
          <w:sz w:val="21"/>
          <w:szCs w:val="21"/>
        </w:rPr>
      </w:pPr>
      <w:r w:rsidRPr="00E10347">
        <w:rPr>
          <w:rFonts w:ascii="Palatino Linotype" w:hAnsi="Palatino Linotype"/>
          <w:sz w:val="21"/>
          <w:szCs w:val="21"/>
          <w:lang w:val="en-US"/>
        </w:rPr>
        <w:t xml:space="preserve">Popper, K.R., 1934: The Logic of Scientific Discovery: Routledge. </w:t>
      </w:r>
      <w:r w:rsidRPr="00E10347">
        <w:rPr>
          <w:rFonts w:ascii="Palatino Linotype" w:hAnsi="Palatino Linotype"/>
          <w:sz w:val="21"/>
          <w:szCs w:val="21"/>
        </w:rPr>
        <w:t xml:space="preserve">Citado por la traducción al castellano de Sánchez de Zavala, V., 2008: La lógica de la investigación científica, 2ª ed., Madrid: Tecnos. </w:t>
      </w:r>
    </w:p>
    <w:p w:rsidR="002014CA" w:rsidRPr="00E10347" w:rsidRDefault="002014CA" w:rsidP="00E10347">
      <w:pPr>
        <w:pStyle w:val="Sinespaciado"/>
        <w:ind w:left="709" w:firstLine="709"/>
        <w:jc w:val="both"/>
        <w:rPr>
          <w:rFonts w:ascii="Palatino Linotype" w:hAnsi="Palatino Linotype"/>
          <w:sz w:val="21"/>
          <w:szCs w:val="21"/>
        </w:rPr>
      </w:pPr>
      <w:r w:rsidRPr="00E10347">
        <w:rPr>
          <w:rFonts w:ascii="Palatino Linotype" w:hAnsi="Palatino Linotype"/>
          <w:sz w:val="21"/>
          <w:szCs w:val="21"/>
          <w:lang w:val="en-US"/>
        </w:rPr>
        <w:t xml:space="preserve">Popper, K.R., 1972: Objective Knowledge. An Evolutionary Approach, Oxford: Oxford University Press. </w:t>
      </w:r>
      <w:r w:rsidRPr="00E10347">
        <w:rPr>
          <w:rFonts w:ascii="Palatino Linotype" w:hAnsi="Palatino Linotype"/>
          <w:sz w:val="21"/>
          <w:szCs w:val="21"/>
        </w:rPr>
        <w:t xml:space="preserve">Citado por la traducción al castellano de Solís Santos, C., 1974: Conocimiento objetivo, Madrid: Editoral Tecnos. </w:t>
      </w:r>
    </w:p>
    <w:p w:rsidR="002014CA" w:rsidRPr="00E10347" w:rsidRDefault="002014CA" w:rsidP="00E10347">
      <w:pPr>
        <w:pStyle w:val="Sinespaciado"/>
        <w:ind w:left="709" w:firstLine="709"/>
        <w:jc w:val="both"/>
        <w:rPr>
          <w:rFonts w:ascii="Palatino Linotype" w:hAnsi="Palatino Linotype"/>
          <w:sz w:val="21"/>
          <w:szCs w:val="21"/>
        </w:rPr>
      </w:pPr>
      <w:r w:rsidRPr="00E10347">
        <w:rPr>
          <w:rFonts w:ascii="Palatino Linotype" w:hAnsi="Palatino Linotype"/>
          <w:sz w:val="21"/>
          <w:szCs w:val="21"/>
          <w:lang w:val="en-US"/>
        </w:rPr>
        <w:t xml:space="preserve">Popper, K.R., 1980: Die beiden Grundprobleme der Erkenntnistheorie. Aufgrund von Manuskripten aus den Jahren 1930 – 1933, Mohr Siebeck. </w:t>
      </w:r>
      <w:r w:rsidRPr="00E10347">
        <w:rPr>
          <w:rFonts w:ascii="Palatino Linotype" w:hAnsi="Palatino Linotype"/>
          <w:sz w:val="21"/>
          <w:szCs w:val="21"/>
        </w:rPr>
        <w:t>Citado por la traducción al castellano de Albisu Aparicio, M.A., 1998: Los dos problemas fundamentales de la Epistemología (Basado en manuscritos de los años 1930 – 1933), Madrid: Tecnos.</w:t>
      </w:r>
    </w:p>
    <w:p w:rsidR="002014CA" w:rsidRPr="00E10347" w:rsidRDefault="002014CA" w:rsidP="00E10347">
      <w:pPr>
        <w:pStyle w:val="Sinespaciado"/>
        <w:ind w:left="709" w:firstLine="709"/>
        <w:jc w:val="both"/>
        <w:rPr>
          <w:rFonts w:ascii="Palatino Linotype" w:hAnsi="Palatino Linotype"/>
          <w:sz w:val="21"/>
          <w:szCs w:val="21"/>
        </w:rPr>
      </w:pPr>
      <w:r w:rsidRPr="00E10347">
        <w:rPr>
          <w:rFonts w:ascii="Palatino Linotype" w:hAnsi="Palatino Linotype"/>
          <w:sz w:val="21"/>
          <w:szCs w:val="21"/>
        </w:rPr>
        <w:t xml:space="preserve">Quesada, D., 1998: Saber, opinión y ciencia, Barcelona: Ariel. </w:t>
      </w:r>
    </w:p>
    <w:p w:rsidR="002014CA" w:rsidRPr="00E10347" w:rsidRDefault="002014CA" w:rsidP="00E10347">
      <w:pPr>
        <w:pStyle w:val="Sinespaciado"/>
        <w:ind w:left="709" w:firstLine="709"/>
        <w:jc w:val="both"/>
        <w:rPr>
          <w:rFonts w:ascii="Palatino Linotype" w:hAnsi="Palatino Linotype"/>
          <w:sz w:val="21"/>
          <w:szCs w:val="21"/>
          <w:lang w:val="en-US"/>
        </w:rPr>
      </w:pPr>
      <w:r w:rsidRPr="00E10347">
        <w:rPr>
          <w:rFonts w:ascii="Palatino Linotype" w:hAnsi="Palatino Linotype"/>
          <w:sz w:val="21"/>
          <w:szCs w:val="21"/>
          <w:lang w:val="en-US"/>
        </w:rPr>
        <w:t xml:space="preserve">Rakoff, J.S., 2008: “Science and the Law: Uncomfortable Bedfellows”, en Setton Hall Law Review, vol. 38. </w:t>
      </w:r>
    </w:p>
    <w:p w:rsidR="002014CA" w:rsidRPr="00E10347" w:rsidRDefault="002014CA" w:rsidP="00E10347">
      <w:pPr>
        <w:pStyle w:val="Sinespaciado"/>
        <w:ind w:left="709" w:firstLine="709"/>
        <w:jc w:val="both"/>
        <w:rPr>
          <w:rFonts w:ascii="Palatino Linotype" w:hAnsi="Palatino Linotype"/>
          <w:sz w:val="21"/>
          <w:szCs w:val="21"/>
        </w:rPr>
      </w:pPr>
      <w:r w:rsidRPr="00E10347">
        <w:rPr>
          <w:rFonts w:ascii="Palatino Linotype" w:hAnsi="Palatino Linotype"/>
          <w:sz w:val="21"/>
          <w:szCs w:val="21"/>
        </w:rPr>
        <w:t xml:space="preserve">Rivera Morales, R., 2011: La prueba. Un análisis racional y práctico, Madrid: Marcial Pons. </w:t>
      </w:r>
    </w:p>
    <w:p w:rsidR="002014CA" w:rsidRPr="00E10347" w:rsidRDefault="002014CA" w:rsidP="00E10347">
      <w:pPr>
        <w:pStyle w:val="Sinespaciado"/>
        <w:ind w:left="709" w:firstLine="709"/>
        <w:jc w:val="both"/>
        <w:rPr>
          <w:rFonts w:ascii="Palatino Linotype" w:hAnsi="Palatino Linotype"/>
          <w:sz w:val="21"/>
          <w:szCs w:val="21"/>
          <w:lang w:val="en-US"/>
        </w:rPr>
      </w:pPr>
      <w:r w:rsidRPr="00E10347">
        <w:rPr>
          <w:rFonts w:ascii="Palatino Linotype" w:hAnsi="Palatino Linotype"/>
          <w:sz w:val="21"/>
          <w:szCs w:val="21"/>
          <w:lang w:val="en-US"/>
        </w:rPr>
        <w:t>Sanders, J., 1992: “The Bendectin Litigation: A Case Study in the Life Cycle of Mass Torts”, en Hastings Law Journal, no. 43.</w:t>
      </w:r>
    </w:p>
    <w:p w:rsidR="002014CA" w:rsidRPr="00E10347" w:rsidRDefault="002014CA" w:rsidP="00E10347">
      <w:pPr>
        <w:pStyle w:val="Sinespaciado"/>
        <w:ind w:left="709" w:firstLine="709"/>
        <w:jc w:val="both"/>
        <w:rPr>
          <w:rFonts w:ascii="Palatino Linotype" w:hAnsi="Palatino Linotype"/>
          <w:sz w:val="21"/>
          <w:szCs w:val="21"/>
          <w:lang w:val="en-US"/>
        </w:rPr>
      </w:pPr>
      <w:r w:rsidRPr="00E10347">
        <w:rPr>
          <w:rFonts w:ascii="Palatino Linotype" w:hAnsi="Palatino Linotype"/>
          <w:sz w:val="21"/>
          <w:szCs w:val="21"/>
          <w:lang w:val="en-US"/>
        </w:rPr>
        <w:t xml:space="preserve">Sanders, J., 1994: “Scientific Validity, Admissibility and Mass Torts after Daubert”, en Minnesota Law Review, vol. 78.  </w:t>
      </w:r>
    </w:p>
    <w:p w:rsidR="002014CA" w:rsidRPr="00E10347" w:rsidRDefault="002014CA" w:rsidP="00E10347">
      <w:pPr>
        <w:pStyle w:val="Sinespaciado"/>
        <w:ind w:left="709" w:firstLine="709"/>
        <w:jc w:val="both"/>
        <w:rPr>
          <w:rFonts w:ascii="Palatino Linotype" w:hAnsi="Palatino Linotype"/>
          <w:sz w:val="21"/>
          <w:szCs w:val="21"/>
          <w:lang w:val="en-US"/>
        </w:rPr>
      </w:pPr>
      <w:r w:rsidRPr="00E10347">
        <w:rPr>
          <w:rFonts w:ascii="Palatino Linotype" w:eastAsia="MS PGothic" w:hAnsi="Palatino Linotype"/>
          <w:sz w:val="21"/>
          <w:szCs w:val="21"/>
          <w:lang w:val="en-US" w:eastAsia="es-ES"/>
        </w:rPr>
        <w:t xml:space="preserve">Schauer, F., </w:t>
      </w:r>
      <w:r w:rsidRPr="00E10347">
        <w:rPr>
          <w:rFonts w:ascii="Palatino Linotype" w:hAnsi="Palatino Linotype"/>
          <w:sz w:val="21"/>
          <w:szCs w:val="21"/>
          <w:lang w:val="en-US"/>
        </w:rPr>
        <w:t xml:space="preserve">2010: “Can Bad Science be Good Evidence?”, en Cornell Law Review, 95. </w:t>
      </w:r>
    </w:p>
    <w:p w:rsidR="002014CA" w:rsidRPr="00E10347" w:rsidRDefault="002014CA" w:rsidP="00E10347">
      <w:pPr>
        <w:pStyle w:val="Sinespaciado"/>
        <w:ind w:left="709" w:firstLine="709"/>
        <w:jc w:val="both"/>
        <w:rPr>
          <w:rFonts w:ascii="Palatino Linotype" w:hAnsi="Palatino Linotype"/>
          <w:sz w:val="21"/>
          <w:szCs w:val="21"/>
          <w:lang w:val="en-US"/>
        </w:rPr>
      </w:pPr>
      <w:r w:rsidRPr="00E10347">
        <w:rPr>
          <w:rFonts w:ascii="Palatino Linotype" w:hAnsi="Palatino Linotype"/>
          <w:sz w:val="21"/>
          <w:szCs w:val="21"/>
          <w:lang w:val="en-US"/>
        </w:rPr>
        <w:lastRenderedPageBreak/>
        <w:t>Starrs, J.E., 1982: "'A Still-Life Watercolor': Frye v. United States," Journal of Forensic Sciences, JFSCA, vol. 27, no. 3.</w:t>
      </w:r>
    </w:p>
    <w:p w:rsidR="002014CA" w:rsidRPr="00E10347" w:rsidRDefault="002014CA" w:rsidP="00E10347">
      <w:pPr>
        <w:pStyle w:val="Sinespaciado"/>
        <w:ind w:left="709" w:firstLine="709"/>
        <w:jc w:val="both"/>
        <w:rPr>
          <w:rFonts w:ascii="Palatino Linotype" w:hAnsi="Palatino Linotype"/>
          <w:sz w:val="21"/>
          <w:szCs w:val="21"/>
        </w:rPr>
      </w:pPr>
      <w:r w:rsidRPr="00E10347">
        <w:rPr>
          <w:rFonts w:ascii="Palatino Linotype" w:hAnsi="Palatino Linotype"/>
          <w:sz w:val="21"/>
          <w:szCs w:val="21"/>
          <w:lang w:val="en-US"/>
        </w:rPr>
        <w:t xml:space="preserve">Tellus Institute, 2008: “Daubert: The Most Influential Supreme Court Ruling You’ve Never Heard Of”, Publication of the Project on Scientific Knowledge and Public Policy. </w:t>
      </w:r>
      <w:r w:rsidRPr="00E10347">
        <w:rPr>
          <w:rFonts w:ascii="Palatino Linotype" w:hAnsi="Palatino Linotype"/>
          <w:sz w:val="21"/>
          <w:szCs w:val="21"/>
        </w:rPr>
        <w:t xml:space="preserve">Disponible en: </w:t>
      </w:r>
      <w:hyperlink r:id="rId23" w:history="1">
        <w:r w:rsidRPr="00E10347">
          <w:rPr>
            <w:rStyle w:val="Hipervnculo"/>
            <w:rFonts w:ascii="Palatino Linotype" w:hAnsi="Palatino Linotype"/>
            <w:color w:val="auto"/>
            <w:sz w:val="21"/>
            <w:szCs w:val="21"/>
          </w:rPr>
          <w:t>http://defendingscience.org/science-courts</w:t>
        </w:r>
      </w:hyperlink>
    </w:p>
    <w:p w:rsidR="002014CA" w:rsidRPr="00E10347" w:rsidRDefault="002014CA" w:rsidP="00E10347">
      <w:pPr>
        <w:ind w:left="709" w:firstLine="709"/>
        <w:jc w:val="both"/>
        <w:rPr>
          <w:rFonts w:ascii="Palatino Linotype" w:hAnsi="Palatino Linotype"/>
          <w:sz w:val="21"/>
          <w:szCs w:val="21"/>
        </w:rPr>
      </w:pPr>
      <w:r w:rsidRPr="00E10347">
        <w:rPr>
          <w:rFonts w:ascii="Palatino Linotype" w:hAnsi="Palatino Linotype"/>
          <w:sz w:val="21"/>
          <w:szCs w:val="21"/>
        </w:rPr>
        <w:t>Vázquez R., C.,2015: De la prueba científica a la prueba pericial, Madrid: Marcial Pons.</w:t>
      </w:r>
    </w:p>
    <w:p w:rsidR="002014CA" w:rsidRPr="00E10347" w:rsidRDefault="002014CA" w:rsidP="00E10347">
      <w:pPr>
        <w:pStyle w:val="Sinespaciado"/>
        <w:ind w:left="709" w:firstLine="709"/>
        <w:jc w:val="both"/>
        <w:rPr>
          <w:rFonts w:ascii="Palatino Linotype" w:hAnsi="Palatino Linotype"/>
          <w:sz w:val="21"/>
          <w:szCs w:val="21"/>
          <w:lang w:val="en-US"/>
        </w:rPr>
      </w:pPr>
      <w:r w:rsidRPr="00E10347">
        <w:rPr>
          <w:rFonts w:ascii="Palatino Linotype" w:hAnsi="Palatino Linotype"/>
          <w:sz w:val="21"/>
          <w:szCs w:val="21"/>
          <w:lang w:val="en-US"/>
        </w:rPr>
        <w:t>Wicker, W., 1953: “The Polygraphic Truth Test and the Law of Evidence”, en Tennessee Law Review, no. 22.</w:t>
      </w:r>
    </w:p>
    <w:p w:rsidR="002014CA" w:rsidRPr="00E10347" w:rsidRDefault="002014CA" w:rsidP="00E10347">
      <w:pPr>
        <w:pStyle w:val="Sinespaciado"/>
        <w:ind w:left="709" w:firstLine="709"/>
        <w:jc w:val="both"/>
        <w:rPr>
          <w:rFonts w:ascii="Palatino Linotype" w:hAnsi="Palatino Linotype"/>
          <w:sz w:val="21"/>
          <w:szCs w:val="21"/>
          <w:lang w:val="en-US"/>
        </w:rPr>
      </w:pPr>
    </w:p>
    <w:p w:rsidR="002014CA" w:rsidRPr="00E10347" w:rsidRDefault="002014CA" w:rsidP="00E10347">
      <w:pPr>
        <w:pStyle w:val="Sinespaciado"/>
        <w:ind w:left="709" w:firstLine="709"/>
        <w:jc w:val="both"/>
        <w:rPr>
          <w:rFonts w:ascii="Palatino Linotype" w:hAnsi="Palatino Linotype"/>
          <w:sz w:val="21"/>
          <w:szCs w:val="21"/>
          <w:lang w:val="en-US"/>
        </w:rPr>
      </w:pPr>
    </w:p>
    <w:p w:rsidR="002014CA" w:rsidRPr="00E10347" w:rsidRDefault="002014CA" w:rsidP="00E10347">
      <w:pPr>
        <w:rPr>
          <w:rFonts w:ascii="Palatino Linotype" w:hAnsi="Palatino Linotype"/>
          <w:sz w:val="21"/>
          <w:szCs w:val="21"/>
          <w:lang w:val="en-US"/>
        </w:rPr>
        <w:sectPr w:rsidR="002014CA" w:rsidRPr="00E10347" w:rsidSect="00FC1DF6">
          <w:headerReference w:type="even" r:id="rId24"/>
          <w:headerReference w:type="default" r:id="rId25"/>
          <w:type w:val="oddPage"/>
          <w:pgSz w:w="12240" w:h="15840" w:code="1"/>
          <w:pgMar w:top="1667" w:right="851" w:bottom="4253" w:left="3686" w:header="1021" w:footer="3005" w:gutter="0"/>
          <w:cols w:space="708"/>
          <w:titlePg/>
          <w:docGrid w:linePitch="360"/>
        </w:sectPr>
      </w:pPr>
    </w:p>
    <w:p w:rsidR="002014CA" w:rsidRPr="00E10347" w:rsidRDefault="002014CA" w:rsidP="00E10347">
      <w:pPr>
        <w:ind w:firstLine="709"/>
        <w:jc w:val="center"/>
        <w:rPr>
          <w:rFonts w:ascii="Palatino Linotype" w:hAnsi="Palatino Linotype"/>
          <w:b/>
          <w:sz w:val="21"/>
          <w:szCs w:val="21"/>
        </w:rPr>
      </w:pPr>
      <w:bookmarkStart w:id="17" w:name="_Hlk479196340"/>
      <w:r w:rsidRPr="00E10347">
        <w:rPr>
          <w:rFonts w:ascii="Palatino Linotype" w:hAnsi="Palatino Linotype"/>
          <w:b/>
          <w:sz w:val="21"/>
          <w:szCs w:val="21"/>
        </w:rPr>
        <w:lastRenderedPageBreak/>
        <w:t xml:space="preserve">La transversalidad del sistema oral en las pruebas en el NCPC. </w:t>
      </w:r>
    </w:p>
    <w:p w:rsidR="002014CA" w:rsidRPr="00E10347" w:rsidRDefault="002014CA" w:rsidP="00E10347">
      <w:pPr>
        <w:ind w:firstLine="709"/>
        <w:jc w:val="center"/>
        <w:rPr>
          <w:rFonts w:ascii="Palatino Linotype" w:hAnsi="Palatino Linotype"/>
          <w:b/>
          <w:sz w:val="21"/>
          <w:szCs w:val="21"/>
        </w:rPr>
      </w:pPr>
      <w:r w:rsidRPr="00E10347">
        <w:rPr>
          <w:rFonts w:ascii="Palatino Linotype" w:hAnsi="Palatino Linotype"/>
          <w:b/>
          <w:sz w:val="21"/>
          <w:szCs w:val="21"/>
        </w:rPr>
        <w:t>Uno de los mayores desafíos de la reforma procesal</w:t>
      </w:r>
    </w:p>
    <w:p w:rsidR="002014CA" w:rsidRDefault="002014CA" w:rsidP="00E10347">
      <w:pPr>
        <w:ind w:firstLine="709"/>
        <w:jc w:val="right"/>
        <w:rPr>
          <w:rFonts w:ascii="Palatino Linotype" w:hAnsi="Palatino Linotype"/>
          <w:b/>
          <w:sz w:val="21"/>
          <w:szCs w:val="21"/>
        </w:rPr>
      </w:pPr>
      <w:r w:rsidRPr="00E10347">
        <w:rPr>
          <w:rFonts w:ascii="Palatino Linotype" w:hAnsi="Palatino Linotype"/>
          <w:b/>
          <w:sz w:val="21"/>
          <w:szCs w:val="21"/>
        </w:rPr>
        <w:t>Dr. Sergio Artavia B</w:t>
      </w:r>
      <w:bookmarkEnd w:id="17"/>
      <w:r w:rsidRPr="00E10347">
        <w:rPr>
          <w:rStyle w:val="Refdenotaalpie"/>
          <w:rFonts w:ascii="Palatino Linotype" w:hAnsi="Palatino Linotype"/>
          <w:sz w:val="21"/>
          <w:szCs w:val="21"/>
        </w:rPr>
        <w:footnoteReference w:id="134"/>
      </w:r>
      <w:r w:rsidRPr="00E10347">
        <w:rPr>
          <w:rFonts w:ascii="Palatino Linotype" w:hAnsi="Palatino Linotype"/>
          <w:b/>
          <w:sz w:val="21"/>
          <w:szCs w:val="21"/>
        </w:rPr>
        <w:t>.</w:t>
      </w:r>
    </w:p>
    <w:p w:rsidR="008A0E38" w:rsidRDefault="008A0E38" w:rsidP="008A0E38">
      <w:pPr>
        <w:rPr>
          <w:rFonts w:ascii="Palatino Linotype" w:hAnsi="Palatino Linotype"/>
          <w:b/>
          <w:sz w:val="21"/>
          <w:szCs w:val="21"/>
        </w:rPr>
      </w:pPr>
    </w:p>
    <w:p w:rsidR="008A0E38" w:rsidRDefault="008A0E38" w:rsidP="008A0E38">
      <w:pPr>
        <w:rPr>
          <w:rFonts w:ascii="Palatino Linotype" w:hAnsi="Palatino Linotype"/>
          <w:b/>
          <w:sz w:val="21"/>
          <w:szCs w:val="21"/>
        </w:rPr>
      </w:pPr>
      <w:r w:rsidRPr="00D1279A">
        <w:rPr>
          <w:rFonts w:ascii="Palatino Linotype" w:hAnsi="Palatino Linotype"/>
          <w:sz w:val="21"/>
          <w:szCs w:val="21"/>
        </w:rPr>
        <w:t>SUMARIO:  1.-</w:t>
      </w:r>
      <w:r w:rsidRPr="00D1279A">
        <w:rPr>
          <w:rFonts w:ascii="Palatino Linotype" w:hAnsi="Palatino Linotype"/>
          <w:bCs/>
          <w:sz w:val="21"/>
          <w:szCs w:val="21"/>
        </w:rPr>
        <w:t xml:space="preserve">  La oralidad del sistema y su impacto en las pruebas.  </w:t>
      </w:r>
      <w:r w:rsidRPr="00D1279A">
        <w:rPr>
          <w:rFonts w:ascii="Palatino Linotype" w:hAnsi="Palatino Linotype"/>
          <w:sz w:val="21"/>
          <w:szCs w:val="21"/>
        </w:rPr>
        <w:t>2.- El contenido del derecho a la prueba desde el ámbito constitucional y sus efectos.  3.- Impacto de la garantía a la prueba, en la configuración legal del derecho a la prueba.  4</w:t>
      </w:r>
      <w:r w:rsidRPr="00D1279A">
        <w:rPr>
          <w:rFonts w:ascii="Palatino Linotype" w:hAnsi="Palatino Linotype"/>
          <w:bCs/>
          <w:sz w:val="21"/>
          <w:szCs w:val="21"/>
        </w:rPr>
        <w:t xml:space="preserve">.-  Principios del procedimiento probatorio y sus manifestaciones en el NCPC.  a.- El principio de inmediación de la prueba.  </w:t>
      </w:r>
      <w:r w:rsidRPr="00D1279A">
        <w:rPr>
          <w:rFonts w:ascii="Palatino Linotype" w:hAnsi="Palatino Linotype"/>
          <w:sz w:val="21"/>
          <w:szCs w:val="21"/>
        </w:rPr>
        <w:t xml:space="preserve">b.- Principio de concentración.  </w:t>
      </w:r>
      <w:r w:rsidRPr="00D1279A">
        <w:rPr>
          <w:rFonts w:ascii="Palatino Linotype" w:hAnsi="Palatino Linotype"/>
          <w:bCs/>
          <w:sz w:val="21"/>
          <w:szCs w:val="21"/>
        </w:rPr>
        <w:t xml:space="preserve">c.- Principio de contradicción de la prueba.  d.- Principio de igualdad.  </w:t>
      </w:r>
      <w:r w:rsidRPr="00D1279A">
        <w:rPr>
          <w:rFonts w:ascii="Palatino Linotype" w:hAnsi="Palatino Linotype"/>
          <w:sz w:val="21"/>
          <w:szCs w:val="21"/>
        </w:rPr>
        <w:t xml:space="preserve">e.- Principio de publicidad y su manifestación en las pruebas.  f.- La excepción a la publicidad y audiencias “privadas”.  g.- Principio de libertad probatoria.  </w:t>
      </w:r>
      <w:r w:rsidRPr="00D1279A">
        <w:rPr>
          <w:rFonts w:ascii="Palatino Linotype" w:hAnsi="Palatino Linotype"/>
          <w:bCs/>
          <w:sz w:val="21"/>
          <w:szCs w:val="21"/>
        </w:rPr>
        <w:t xml:space="preserve">h.- Principio de legitimidad, legalidad o licitud.  i.- Prohibición de aplicar el conocimiento privado del juez.  </w:t>
      </w:r>
      <w:r w:rsidRPr="00D1279A">
        <w:rPr>
          <w:rFonts w:ascii="Palatino Linotype" w:hAnsi="Palatino Linotype"/>
          <w:sz w:val="21"/>
          <w:szCs w:val="21"/>
        </w:rPr>
        <w:t xml:space="preserve">j.-  La dirección de la prueba la ejerce el juez.  k.-  Principio de adquisición o de comunidad.  l.- Principio de preclusión de la prueba.  m.-  </w:t>
      </w:r>
      <w:r w:rsidRPr="00D1279A">
        <w:rPr>
          <w:rFonts w:ascii="Palatino Linotype" w:hAnsi="Palatino Linotype"/>
          <w:bCs/>
          <w:sz w:val="21"/>
          <w:szCs w:val="21"/>
        </w:rPr>
        <w:t xml:space="preserve">Principio de la lealtad o veracidad de la prueba.  n.- Principio de la pertinencia, idoneidad y utilidad.  </w:t>
      </w:r>
      <w:r w:rsidRPr="00D1279A">
        <w:rPr>
          <w:rFonts w:ascii="Palatino Linotype" w:hAnsi="Palatino Linotype"/>
          <w:sz w:val="21"/>
          <w:szCs w:val="21"/>
        </w:rPr>
        <w:t xml:space="preserve">l.-  Principio de estrategia probatoria de la parte.  4.- El sistema “oral” de pruebas y los principios que las rigen.  a.- Análisis comparativo entre el NCPC y el CPCD sobre la forma de evacuación de las pruebas.  b.- Un cambio de paradigma. La oralidad en las pruebas.  c.- La evacuación de la prueba se hace de manera oral.  </w:t>
      </w:r>
      <w:r w:rsidRPr="00D1279A">
        <w:rPr>
          <w:rFonts w:ascii="Palatino Linotype" w:hAnsi="Palatino Linotype"/>
          <w:spacing w:val="-3"/>
          <w:sz w:val="21"/>
          <w:szCs w:val="21"/>
        </w:rPr>
        <w:t xml:space="preserve">d.- La inmediación de la prueba.  e.- La iniciativa probatoria y de interrogatorios lo tienen las partes.  f.- El tribunal ya no califica previamente las preguntas.  </w:t>
      </w:r>
      <w:r w:rsidRPr="00D1279A">
        <w:rPr>
          <w:rFonts w:ascii="Palatino Linotype" w:hAnsi="Palatino Linotype"/>
          <w:sz w:val="21"/>
          <w:szCs w:val="21"/>
        </w:rPr>
        <w:t>g.- Quién pregunta primero en los interrogatorios orales.  h.- Las declaraciones ya no son de espaldas.  i.- En caso de oposición no se saca a los declarantes.  j.- Los interrogatorios son directos.  k.-  Principio de inmediación y su efecto en la fase probatoria.  l.- El principio de concentración de la prueba.  m</w:t>
      </w:r>
      <w:r w:rsidRPr="00D1279A">
        <w:rPr>
          <w:rFonts w:ascii="Palatino Linotype" w:hAnsi="Palatino Linotype"/>
          <w:bCs/>
          <w:sz w:val="21"/>
          <w:szCs w:val="21"/>
        </w:rPr>
        <w:t xml:space="preserve">.- Principio de unidad de la audiencia. Suspensión e interrupción de las audiencias de prueba.  </w:t>
      </w:r>
      <w:r w:rsidRPr="00D1279A">
        <w:rPr>
          <w:rFonts w:ascii="Palatino Linotype" w:hAnsi="Palatino Linotype"/>
          <w:sz w:val="21"/>
          <w:szCs w:val="21"/>
        </w:rPr>
        <w:t>n.-  Principio de la defensa técnica en las audiencias.</w:t>
      </w:r>
    </w:p>
    <w:p w:rsidR="008A0E38" w:rsidRPr="00E10347" w:rsidRDefault="008A0E38" w:rsidP="008A0E38">
      <w:pPr>
        <w:rPr>
          <w:rFonts w:ascii="Palatino Linotype" w:hAnsi="Palatino Linotype"/>
          <w:b/>
          <w:sz w:val="21"/>
          <w:szCs w:val="21"/>
        </w:rPr>
      </w:pPr>
    </w:p>
    <w:p w:rsidR="008A0E38" w:rsidRDefault="008A0E38" w:rsidP="00E10347">
      <w:pPr>
        <w:ind w:firstLine="709"/>
        <w:jc w:val="both"/>
        <w:rPr>
          <w:rFonts w:ascii="Palatino Linotype" w:hAnsi="Palatino Linotype"/>
          <w:sz w:val="21"/>
          <w:szCs w:val="21"/>
        </w:rPr>
      </w:pP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lastRenderedPageBreak/>
        <w:t xml:space="preserve">¿Qué debe resolver en temas probatorios una reforma procesal cuando introduce un sistema oral?  Es el primer interrogante que se plantea de manera inicial y a lo largo de toda la discusión, el redactor de una reforma procesal.  Sin duda los principios, objeto y estructura de los procesos, son impactados por el nuevo modelo y con ello todo el régimen probatorio. </w:t>
      </w:r>
    </w:p>
    <w:p w:rsidR="009A5379" w:rsidRDefault="009A5379" w:rsidP="00E10347">
      <w:pPr>
        <w:jc w:val="both"/>
        <w:rPr>
          <w:rFonts w:ascii="Palatino Linotype" w:hAnsi="Palatino Linotype"/>
          <w:b/>
          <w:sz w:val="21"/>
          <w:szCs w:val="21"/>
        </w:rPr>
      </w:pPr>
    </w:p>
    <w:p w:rsidR="002014CA" w:rsidRPr="00E10347" w:rsidRDefault="002014CA" w:rsidP="00E10347">
      <w:pPr>
        <w:jc w:val="both"/>
        <w:rPr>
          <w:rFonts w:ascii="Palatino Linotype" w:hAnsi="Palatino Linotype"/>
          <w:b/>
          <w:bCs/>
          <w:sz w:val="21"/>
          <w:szCs w:val="21"/>
        </w:rPr>
      </w:pPr>
      <w:r w:rsidRPr="00E10347">
        <w:rPr>
          <w:rFonts w:ascii="Palatino Linotype" w:hAnsi="Palatino Linotype"/>
          <w:b/>
          <w:sz w:val="21"/>
          <w:szCs w:val="21"/>
        </w:rPr>
        <w:t>1.-</w:t>
      </w:r>
      <w:r w:rsidRPr="00E10347">
        <w:rPr>
          <w:rFonts w:ascii="Palatino Linotype" w:hAnsi="Palatino Linotype"/>
          <w:b/>
          <w:bCs/>
          <w:sz w:val="21"/>
          <w:szCs w:val="21"/>
        </w:rPr>
        <w:t xml:space="preserve">  La oralidad del sistema y su impacto en las pruebas</w:t>
      </w:r>
    </w:p>
    <w:p w:rsidR="002014CA" w:rsidRPr="00E10347" w:rsidRDefault="002014CA" w:rsidP="00E10347">
      <w:pPr>
        <w:ind w:right="51" w:firstLine="709"/>
        <w:jc w:val="both"/>
        <w:rPr>
          <w:rFonts w:ascii="Palatino Linotype" w:hAnsi="Palatino Linotype"/>
          <w:sz w:val="21"/>
          <w:szCs w:val="21"/>
        </w:rPr>
      </w:pPr>
      <w:r w:rsidRPr="00E10347">
        <w:rPr>
          <w:rFonts w:ascii="Palatino Linotype" w:hAnsi="Palatino Linotype"/>
          <w:bCs/>
          <w:sz w:val="21"/>
          <w:szCs w:val="21"/>
        </w:rPr>
        <w:t xml:space="preserve">Como sabemos </w:t>
      </w:r>
      <w:r w:rsidRPr="00E10347">
        <w:rPr>
          <w:rFonts w:ascii="Palatino Linotype" w:hAnsi="Palatino Linotype"/>
          <w:sz w:val="21"/>
          <w:szCs w:val="21"/>
        </w:rPr>
        <w:t>la oralidad, como sistema, es el predominio de la palabra hablada en la realización de la actividad procesal</w:t>
      </w:r>
      <w:r w:rsidRPr="00E10347">
        <w:rPr>
          <w:rFonts w:ascii="Palatino Linotype" w:hAnsi="Palatino Linotype"/>
          <w:sz w:val="21"/>
          <w:szCs w:val="21"/>
          <w:vertAlign w:val="superscript"/>
        </w:rPr>
        <w:footnoteReference w:id="135"/>
      </w:r>
      <w:r w:rsidRPr="00E10347">
        <w:rPr>
          <w:rFonts w:ascii="Palatino Linotype" w:hAnsi="Palatino Linotype"/>
          <w:sz w:val="21"/>
          <w:szCs w:val="21"/>
        </w:rPr>
        <w:t>.  Históricamente nuestros procesos civiles, tanto ordinarios, como sumarios</w:t>
      </w:r>
      <w:r w:rsidRPr="00E10347">
        <w:rPr>
          <w:rStyle w:val="Refdenotaalpie"/>
          <w:rFonts w:ascii="Palatino Linotype" w:hAnsi="Palatino Linotype"/>
          <w:sz w:val="21"/>
          <w:szCs w:val="21"/>
        </w:rPr>
        <w:footnoteReference w:id="136"/>
      </w:r>
      <w:r w:rsidRPr="00E10347">
        <w:rPr>
          <w:rFonts w:ascii="Palatino Linotype" w:hAnsi="Palatino Linotype"/>
          <w:sz w:val="21"/>
          <w:szCs w:val="21"/>
        </w:rPr>
        <w:t>, mantuvieron una estructura escrita, de claro corte español del siglo XIX.  La influencia del proceso escrito español se debió, en gran medida, a la desconfianza hacia los jueces, al temor de que éstos, en contacto directo con las partes o los testigos, alterasen su imparcialidad</w:t>
      </w:r>
      <w:r w:rsidRPr="00E10347">
        <w:rPr>
          <w:rStyle w:val="Refdenotaalpie"/>
          <w:rFonts w:ascii="Palatino Linotype" w:hAnsi="Palatino Linotype"/>
          <w:sz w:val="21"/>
          <w:szCs w:val="21"/>
        </w:rPr>
        <w:footnoteReference w:id="137"/>
      </w:r>
      <w:r w:rsidRPr="00E10347">
        <w:rPr>
          <w:rFonts w:ascii="Palatino Linotype" w:hAnsi="Palatino Linotype"/>
          <w:sz w:val="21"/>
          <w:szCs w:val="21"/>
        </w:rPr>
        <w:t>. Antes bien, la oralidad responde mejor a nuestra realidad social</w:t>
      </w:r>
      <w:r w:rsidRPr="00E10347">
        <w:rPr>
          <w:rStyle w:val="Refdenotaalpie"/>
          <w:rFonts w:ascii="Palatino Linotype" w:hAnsi="Palatino Linotype"/>
          <w:sz w:val="21"/>
          <w:szCs w:val="21"/>
        </w:rPr>
        <w:footnoteReference w:id="138"/>
      </w:r>
      <w:r w:rsidRPr="00E10347">
        <w:rPr>
          <w:rFonts w:ascii="Palatino Linotype" w:hAnsi="Palatino Linotype"/>
          <w:sz w:val="21"/>
          <w:szCs w:val="21"/>
        </w:rPr>
        <w:t xml:space="preserve"> </w:t>
      </w:r>
      <w:r w:rsidRPr="00E10347">
        <w:rPr>
          <w:rFonts w:ascii="Palatino Linotype" w:hAnsi="Palatino Linotype"/>
          <w:sz w:val="21"/>
          <w:szCs w:val="21"/>
        </w:rPr>
        <w:lastRenderedPageBreak/>
        <w:t>y a un anhelo de justicia más humano, que impone y exige mejor justicia, más igualitaria para todos, y requiere mayor control sobre los actos de los jueces, pues confía y quiere confiar en ellos, porque constituyen la máxima garantía de la libertad y el derecho</w:t>
      </w:r>
      <w:r w:rsidRPr="00E10347">
        <w:rPr>
          <w:rStyle w:val="Refdenotaalpie"/>
          <w:rFonts w:ascii="Palatino Linotype" w:hAnsi="Palatino Linotype"/>
          <w:spacing w:val="-3"/>
          <w:sz w:val="21"/>
          <w:szCs w:val="21"/>
        </w:rPr>
        <w:footnoteReference w:id="139"/>
      </w:r>
      <w:r w:rsidRPr="00E10347">
        <w:rPr>
          <w:rFonts w:ascii="Palatino Linotype" w:hAnsi="Palatino Linotype"/>
          <w:sz w:val="21"/>
          <w:szCs w:val="21"/>
        </w:rPr>
        <w:t xml:space="preserve">.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Pocos temas en el derecho procesal han merecido tanta discrepancia científica, académica y normativa. Las posturas y antagonismos, entre oralidad y escritura, entre audiencias orales y actos escritos preclusivos –lo que hemos llamado una verdadera procesión jurídica-, ha ocupado obras completas y congresos internacionales desde siempre.  Hoy no se discute que no existe un sistema procesal puro como el diamante. El proceso puede ser predominantemente o esencialmente escrito, o bien predominantemente o esencialmente oral.  Bien ha dicho Couture, más que una oposición entre la elección de ambos sistemas, hay un problema de dosificación.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La determinación del predominio de uno u otro sistema, impactará en el proceso diseñado, los tipos procesales, la adaptación de los principios del proceso –los verdaderos-, la forma de celebrar audiencias, de evacuar las pruebas, de dictar resoluciones y de interposición de recursos.  Lo anterior significa que no podemos hablar de un sistema totalmente oral o de un sistema absolutamente escrito, pues uno y otro comulgan, en algunos elementos con su antónimo</w:t>
      </w:r>
      <w:r w:rsidRPr="00E10347">
        <w:rPr>
          <w:rStyle w:val="Refdenotaalpie"/>
          <w:rFonts w:ascii="Palatino Linotype" w:hAnsi="Palatino Linotype"/>
          <w:sz w:val="21"/>
          <w:szCs w:val="21"/>
        </w:rPr>
        <w:footnoteReference w:id="140"/>
      </w:r>
      <w:r w:rsidRPr="00E10347">
        <w:rPr>
          <w:rFonts w:ascii="Palatino Linotype" w:hAnsi="Palatino Linotype"/>
          <w:sz w:val="21"/>
          <w:szCs w:val="21"/>
        </w:rPr>
        <w:t xml:space="preserve">.  De ahí que afirmara </w:t>
      </w:r>
      <w:r w:rsidRPr="00E10347">
        <w:rPr>
          <w:rFonts w:ascii="Palatino Linotype" w:hAnsi="Palatino Linotype"/>
          <w:sz w:val="21"/>
          <w:szCs w:val="21"/>
        </w:rPr>
        <w:lastRenderedPageBreak/>
        <w:t>Sentís</w:t>
      </w:r>
      <w:r w:rsidRPr="00E10347">
        <w:rPr>
          <w:rStyle w:val="Refdenotaalpie"/>
          <w:rFonts w:ascii="Palatino Linotype" w:hAnsi="Palatino Linotype"/>
          <w:sz w:val="21"/>
          <w:szCs w:val="21"/>
        </w:rPr>
        <w:footnoteReference w:id="141"/>
      </w:r>
      <w:r w:rsidRPr="00E10347">
        <w:rPr>
          <w:rFonts w:ascii="Palatino Linotype" w:hAnsi="Palatino Linotype"/>
          <w:sz w:val="21"/>
          <w:szCs w:val="21"/>
        </w:rPr>
        <w:t xml:space="preserve"> que </w:t>
      </w:r>
      <w:r w:rsidRPr="00E10347">
        <w:rPr>
          <w:rFonts w:ascii="Palatino Linotype" w:hAnsi="Palatino Linotype"/>
          <w:iCs/>
          <w:sz w:val="21"/>
          <w:szCs w:val="21"/>
        </w:rPr>
        <w:t>“…con la oralidad, no con la oratoria, se trata de utilizar la comunicación oral entre los sujetos del proceso, pero sin prescindir de los elementos escritos que puedan dar una mayor fijeza, y hasta solidez entre los sujetos del proceso. La escritura es indispensable precisamente para establecer aquellos que se debe tratar oralmente”</w:t>
      </w:r>
      <w:r w:rsidRPr="00E10347">
        <w:rPr>
          <w:rFonts w:ascii="Palatino Linotype" w:hAnsi="Palatino Linotype"/>
          <w:sz w:val="21"/>
          <w:szCs w:val="21"/>
        </w:rPr>
        <w:t xml:space="preserve">.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La trasversalidad que se da de los principios que inspiran un Código con predominio de la oralidad, se refleja en la previsión normativa para que los distintos institutos se impregnen de tal o cual principio -inmediación, concentración, oralidad-, quedando siempre opciones legislativas del principio inverso, cuando aquel no se adapte mejor a la solución de una figura -por ejp actos escritos esenciales en un proceso por audiencias-.  Por eso, frente a los principios de la oralidad, inmediación, concentración, publicidad, identidad física del juzgador, prevalencia de la comunicación oral, se incorporan verdaderas excepciones contrarias a lo que podría pensarse son a negación misma al principio. </w:t>
      </w:r>
      <w:r w:rsidRPr="00E10347">
        <w:rPr>
          <w:rFonts w:ascii="Palatino Linotype" w:hAnsi="Palatino Linotype"/>
          <w:iCs/>
          <w:sz w:val="21"/>
          <w:szCs w:val="21"/>
        </w:rPr>
        <w:t>Ni los sistemas procedimentales vigentes, ni las pretensiones de reforma se orientan hacia el establecimiento en su estado puro de alguna de esas formas, sino que más bien reflejan y tienden a una combinación de formas orales y escritas. Como enseñaba Cappelleti “El problema de la oralidad y de la escritura en el procedimiento se plantea a menudo como un problema de predominio o de coordinación y no de exclusión total”. Así en procedimientos característicamente escritos, no suele faltar una discusión oral y es absolutamente general la advertencia de que la posibilidad práctica de un procedimiento oral depende de una adecuada utilización de elementos de la escritura</w:t>
      </w:r>
      <w:r w:rsidRPr="00E10347">
        <w:rPr>
          <w:rStyle w:val="Refdenotaalpie"/>
          <w:rFonts w:ascii="Palatino Linotype" w:hAnsi="Palatino Linotype"/>
          <w:sz w:val="21"/>
          <w:szCs w:val="21"/>
        </w:rPr>
        <w:footnoteReference w:id="142"/>
      </w:r>
      <w:r w:rsidRPr="00E10347">
        <w:rPr>
          <w:rFonts w:ascii="Palatino Linotype" w:hAnsi="Palatino Linotype"/>
          <w:iCs/>
          <w:sz w:val="21"/>
          <w:szCs w:val="21"/>
        </w:rPr>
        <w:t>, en algunas fases elementales, como la demanda, su contestación, la prueba pericial inicial, los documentos de partes, la prueba trasladada, la sentencia-documento y los recursos extraordinarios.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De acuerdo con el numeral 2.6 NCPC “El proceso deberá ajustarse al principio de oralidad. La expresión oral será el medio fundamental de comunicación”, lo que quiere decir que las audiencias deberán ajustarse al principio de oralidad.  Esta regla general, que consagra la oralidad como sistema </w:t>
      </w:r>
      <w:r w:rsidRPr="00E10347">
        <w:rPr>
          <w:rFonts w:ascii="Palatino Linotype" w:hAnsi="Palatino Linotype"/>
          <w:sz w:val="21"/>
          <w:szCs w:val="21"/>
        </w:rPr>
        <w:lastRenderedPageBreak/>
        <w:t xml:space="preserve">predominante.  Tiene cuatro importantes efectos: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a)</w:t>
      </w:r>
      <w:r w:rsidRPr="00E10347">
        <w:rPr>
          <w:rFonts w:ascii="Palatino Linotype" w:hAnsi="Palatino Linotype"/>
          <w:sz w:val="21"/>
          <w:szCs w:val="21"/>
        </w:rPr>
        <w:t xml:space="preserve"> “La expresión oral será el medio fundamental de comunicación” –como dice el art. 2.6 NCPC-.  No significa que es el único, sino que el modelo diseñado por el Redactor y avalado por el legislador fue el predominio de la oralidad en la fase de audiencias -previa, preliminar, de juicio o única-, como quiera que se le denomine, pero frente a ese ideal de proceso, también el Código mantiene, en gran medida y de manera justificada, la escritura, incluso en grandes actos y en buena parte de iter procesal, podríamos decir, que quizás el 50% o  más del proceso es escrito y un menor porcentaje es oral.</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b)</w:t>
      </w:r>
      <w:r w:rsidRPr="00E10347">
        <w:rPr>
          <w:rFonts w:ascii="Palatino Linotype" w:hAnsi="Palatino Linotype"/>
          <w:sz w:val="21"/>
          <w:szCs w:val="21"/>
        </w:rPr>
        <w:t xml:space="preserve"> Derivan de esa regla fundamental, la mayoría de actos del proceso y las audiencias –preliminar, juicio oral o única-, se rigen por la oralidad, lo cual confirma que el modelo imperante es en realidad el sistema oral por audiencias</w:t>
      </w:r>
      <w:r w:rsidRPr="00E10347">
        <w:rPr>
          <w:rStyle w:val="Refdenotaalpie"/>
          <w:rFonts w:ascii="Palatino Linotype" w:hAnsi="Palatino Linotype"/>
          <w:sz w:val="21"/>
          <w:szCs w:val="21"/>
        </w:rPr>
        <w:footnoteReference w:id="143"/>
      </w:r>
      <w:r w:rsidRPr="00E10347">
        <w:rPr>
          <w:rFonts w:ascii="Palatino Linotype" w:hAnsi="Palatino Linotype"/>
          <w:sz w:val="21"/>
          <w:szCs w:val="21"/>
        </w:rPr>
        <w:t>, con grandes matizaciones, en el mapa del proceso, recargados de actos procesales escritos, incluso de las partes, de terceros y del propio tribunal: los actos de alegación inicial de las partes -demanda, contestación, reconvención y su réplica, los recursos extraordinarios, la apelación escrita y de los actos del juez, el traslado de demanda, las sentencias de primera instancia, apelación, casación y el informe pericial inicial.</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c)</w:t>
      </w:r>
      <w:r w:rsidRPr="00E10347">
        <w:rPr>
          <w:rFonts w:ascii="Palatino Linotype" w:hAnsi="Palatino Linotype"/>
          <w:sz w:val="21"/>
          <w:szCs w:val="21"/>
        </w:rPr>
        <w:t xml:space="preserve"> Las pruebas de declaración -testimonial, pericial y declaración de parte-, se sigue un sistema oral, tanto en sus interrogatorios, como en sus respuestas, salvo el informe pericial inicial escrito.  Por lo que se refiere específicamente a la práctica de la prueba, la oralidad está presente también en la realización de la mayoría de actividades de las pruebas personales, aquellas en las que interviene como fuente probatoria una determinada persona, pues las declaraciones son orales, ante el juez y en contradicción con las partes.  Pero esa regla no descarta la prueba escrita, como la ofrecida en la demanda: documental, soporte electrónico, dictámenes privados de parte, prueba trasladada, informe pericial oficial en su fase inicial -art. 44.4- que incluso debe estar presentado por escrito, 5 días antes de la audiencia de pruebas.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d)</w:t>
      </w:r>
      <w:r w:rsidRPr="00E10347">
        <w:rPr>
          <w:rFonts w:ascii="Palatino Linotype" w:hAnsi="Palatino Linotype"/>
          <w:sz w:val="21"/>
          <w:szCs w:val="21"/>
        </w:rPr>
        <w:t xml:space="preserve"> Importante revolución, necesaria en el tiempo moderno para que la oralidad en las audiencias funcione, es el hecho de la grabación de audio y video de </w:t>
      </w:r>
      <w:r w:rsidRPr="00E10347">
        <w:rPr>
          <w:rFonts w:ascii="Palatino Linotype" w:hAnsi="Palatino Linotype"/>
          <w:sz w:val="21"/>
          <w:szCs w:val="21"/>
        </w:rPr>
        <w:lastRenderedPageBreak/>
        <w:t>la audiencia, lo que permite superar el temor de cómo se resguardaba o dejaba constancia de esas actuaciones orales, lo que conllevaba algunos problemas prácticos, que como se ha dicho, era “el punto flaco de la oralidad”</w:t>
      </w:r>
      <w:r w:rsidRPr="00E10347">
        <w:rPr>
          <w:rFonts w:ascii="Palatino Linotype" w:hAnsi="Palatino Linotype"/>
          <w:sz w:val="21"/>
          <w:szCs w:val="21"/>
          <w:vertAlign w:val="superscript"/>
        </w:rPr>
        <w:footnoteReference w:id="144"/>
      </w:r>
      <w:r w:rsidRPr="00E10347">
        <w:rPr>
          <w:rFonts w:ascii="Palatino Linotype" w:hAnsi="Palatino Linotype"/>
          <w:sz w:val="21"/>
          <w:szCs w:val="21"/>
        </w:rPr>
        <w:t>,  temor o fantasma que hoy se ha superado gracias a los sistemas de grabación tecnológicos.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Ahora bien, no podemos afirmar que aun con la introducción de la oralidad, todo el sistema probatorio se convirtió, por arte de magia en oral, puesto que aún subsisten elementos escritos probatorios, que no necesariamente sufren el influjo de la oralidad, tal como la prueba documental -pública o privada-, el informe pericial inicial escrito, la prueba anticipada que ya resguardada, la prueba traslada e incluso los informes técnicos privados que el Código permite incorporar como documental -art. 44.1 NCPC-.  Por eso, aunque afirmemos que las ventajas de la oralidad en materia probatoria son innegables</w:t>
      </w:r>
      <w:r w:rsidRPr="00E10347">
        <w:rPr>
          <w:rFonts w:ascii="Palatino Linotype" w:hAnsi="Palatino Linotype"/>
          <w:sz w:val="21"/>
          <w:szCs w:val="21"/>
          <w:vertAlign w:val="superscript"/>
        </w:rPr>
        <w:footnoteReference w:id="145"/>
      </w:r>
      <w:r w:rsidRPr="00E10347">
        <w:rPr>
          <w:rFonts w:ascii="Palatino Linotype" w:hAnsi="Palatino Linotype"/>
          <w:sz w:val="21"/>
          <w:szCs w:val="21"/>
        </w:rPr>
        <w:t>, no todo es oral y no se le puede dar la espalda a la necesaria fase “escrita” del proceso, pues actos tan importantes como la demanda y su contestación seguirán siendo escrita.</w:t>
      </w:r>
    </w:p>
    <w:p w:rsidR="002014CA" w:rsidRPr="00E10347" w:rsidRDefault="002014CA" w:rsidP="00E10347">
      <w:pPr>
        <w:ind w:firstLine="709"/>
        <w:jc w:val="both"/>
        <w:rPr>
          <w:rFonts w:ascii="Palatino Linotype" w:hAnsi="Palatino Linotype"/>
          <w:b/>
          <w:sz w:val="21"/>
          <w:szCs w:val="21"/>
        </w:rPr>
      </w:pPr>
      <w:r w:rsidRPr="00E10347">
        <w:rPr>
          <w:rFonts w:ascii="Palatino Linotype" w:hAnsi="Palatino Linotype"/>
          <w:sz w:val="21"/>
          <w:szCs w:val="21"/>
        </w:rPr>
        <w:t>Tema aparte es el hecho de que la oralidad y la inmediación van muy de la mano con el derecho a un proceso sin dilaciones, contenido en el art. 41 Constitucional, en tanto existan la cantidad suficiente de juez, en un promedio razonable de procesos por jueces, la oralidad, la inmediación y concentración serán útiles.  De nada sirve que el proceso se concentre en sus actos y que las audiencias concentren la mayor cantidad de actividades, si entre una y otra se señala con espacios temporales excesivos o si por la cantidad de jueces que existe la agenda del Despacho se satura y los señalamientos de audiencias, listo el proceso para cada una de ellas, se señalan con meses y a menudo con más de un año posterior</w:t>
      </w:r>
      <w:r w:rsidRPr="00E10347">
        <w:rPr>
          <w:rStyle w:val="Refdenotaalpie"/>
          <w:rFonts w:ascii="Palatino Linotype" w:hAnsi="Palatino Linotype"/>
          <w:sz w:val="21"/>
          <w:szCs w:val="21"/>
        </w:rPr>
        <w:footnoteReference w:id="146"/>
      </w:r>
      <w:r w:rsidRPr="00E10347">
        <w:rPr>
          <w:rFonts w:ascii="Palatino Linotype" w:hAnsi="Palatino Linotype"/>
          <w:sz w:val="21"/>
          <w:szCs w:val="21"/>
        </w:rPr>
        <w:t>.</w:t>
      </w:r>
    </w:p>
    <w:p w:rsidR="009A5379" w:rsidRDefault="009A5379" w:rsidP="00E10347">
      <w:pPr>
        <w:jc w:val="both"/>
        <w:rPr>
          <w:rFonts w:ascii="Palatino Linotype" w:hAnsi="Palatino Linotype"/>
          <w:b/>
          <w:sz w:val="21"/>
          <w:szCs w:val="21"/>
        </w:rPr>
      </w:pP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 xml:space="preserve">2.- El contenido del derecho a la prueba desde el ámbito constitucional y sus </w:t>
      </w:r>
      <w:r w:rsidRPr="00E10347">
        <w:rPr>
          <w:rFonts w:ascii="Palatino Linotype" w:hAnsi="Palatino Linotype"/>
          <w:b/>
          <w:sz w:val="21"/>
          <w:szCs w:val="21"/>
        </w:rPr>
        <w:lastRenderedPageBreak/>
        <w:t>efectos</w:t>
      </w:r>
    </w:p>
    <w:p w:rsidR="002014CA" w:rsidRPr="00E10347" w:rsidRDefault="002014CA" w:rsidP="00E10347">
      <w:pPr>
        <w:ind w:firstLine="709"/>
        <w:jc w:val="both"/>
        <w:rPr>
          <w:rFonts w:ascii="Palatino Linotype" w:hAnsi="Palatino Linotype"/>
          <w:bCs/>
          <w:sz w:val="21"/>
          <w:szCs w:val="21"/>
        </w:rPr>
      </w:pPr>
      <w:r w:rsidRPr="00E10347">
        <w:rPr>
          <w:rFonts w:ascii="Palatino Linotype" w:hAnsi="Palatino Linotype"/>
          <w:sz w:val="21"/>
          <w:szCs w:val="21"/>
        </w:rPr>
        <w:t>La posibilidad de probar las alegaciones, hechos y pretensiones, se fundamenta en el derecho de contradicción</w:t>
      </w:r>
      <w:r w:rsidRPr="00E10347">
        <w:rPr>
          <w:rStyle w:val="Refdenotaalpie"/>
          <w:rFonts w:ascii="Palatino Linotype" w:hAnsi="Palatino Linotype"/>
          <w:sz w:val="21"/>
          <w:szCs w:val="21"/>
        </w:rPr>
        <w:footnoteReference w:id="147"/>
      </w:r>
      <w:r w:rsidRPr="00E10347">
        <w:rPr>
          <w:rFonts w:ascii="Palatino Linotype" w:hAnsi="Palatino Linotype"/>
          <w:sz w:val="21"/>
          <w:szCs w:val="21"/>
        </w:rPr>
        <w:t xml:space="preserve">, derecho de defensa o el genérico debido proceso que, si, deja vacía de contenido a la misma garantía de la defensa, si no se le incorpora como parte integrante d estos.  </w:t>
      </w:r>
      <w:r w:rsidRPr="00E10347">
        <w:rPr>
          <w:rFonts w:ascii="Palatino Linotype" w:hAnsi="Palatino Linotype"/>
          <w:bCs/>
          <w:sz w:val="21"/>
          <w:szCs w:val="21"/>
        </w:rPr>
        <w:t>Puede afirmarse que el derecho a la prueba, dentro del proceso, permite a las partes emplear todo tipo de pruebas para comprobar las afirmaciones de hecho que sirven de fundamento a sus pretensiones. Ello supone un mandato para el Juez, pero también para el legislador que viene obligado a legislar para que este derecho sea eficaz, aunque se vea limitado por los requisitos de pertinencia y utilidad, o bien, por alguna modalidad procesal, como la monitoria</w:t>
      </w:r>
      <w:r w:rsidRPr="00E10347">
        <w:rPr>
          <w:rStyle w:val="Refdenotaalpie"/>
          <w:rFonts w:ascii="Palatino Linotype" w:hAnsi="Palatino Linotype"/>
          <w:sz w:val="21"/>
          <w:szCs w:val="21"/>
        </w:rPr>
        <w:footnoteReference w:id="148"/>
      </w:r>
      <w:r w:rsidRPr="00E10347">
        <w:rPr>
          <w:rFonts w:ascii="Palatino Linotype" w:hAnsi="Palatino Linotype"/>
          <w:bCs/>
          <w:sz w:val="21"/>
          <w:szCs w:val="21"/>
        </w:rPr>
        <w:t>, sumaria o de ejecución, en las que se justifica la limitación de los medios de prueba.  Siguiendo a Taruffo</w:t>
      </w:r>
      <w:r w:rsidRPr="00E10347">
        <w:rPr>
          <w:rStyle w:val="Refdenotaalpie"/>
          <w:rFonts w:ascii="Palatino Linotype" w:hAnsi="Palatino Linotype"/>
          <w:sz w:val="21"/>
          <w:szCs w:val="21"/>
        </w:rPr>
        <w:footnoteReference w:id="149"/>
      </w:r>
      <w:r w:rsidRPr="00E10347">
        <w:rPr>
          <w:rFonts w:ascii="Palatino Linotype" w:hAnsi="Palatino Linotype"/>
          <w:bCs/>
          <w:sz w:val="21"/>
          <w:szCs w:val="21"/>
        </w:rPr>
        <w:t xml:space="preserve"> hay que señalar el derecho a la prueba comprende el derecho de la parte a influir sobre el acierto judicial del hecho por medio de toda prueba relevante, directa y contradictoria, de la que disponga.  </w:t>
      </w:r>
    </w:p>
    <w:p w:rsidR="002014CA" w:rsidRPr="00E10347" w:rsidRDefault="002014CA" w:rsidP="00E10347">
      <w:pPr>
        <w:ind w:firstLine="709"/>
        <w:jc w:val="both"/>
        <w:rPr>
          <w:rFonts w:ascii="Palatino Linotype" w:hAnsi="Palatino Linotype"/>
          <w:bCs/>
          <w:sz w:val="21"/>
          <w:szCs w:val="21"/>
        </w:rPr>
      </w:pPr>
      <w:r w:rsidRPr="00E10347">
        <w:rPr>
          <w:rFonts w:ascii="Palatino Linotype" w:hAnsi="Palatino Linotype"/>
          <w:bCs/>
          <w:sz w:val="21"/>
          <w:szCs w:val="21"/>
        </w:rPr>
        <w:t>Desde la perspectiva constitucional o de derecho humano, el derecho a la prueba, debe comprender, al menos: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a)</w:t>
      </w:r>
      <w:r w:rsidRPr="00E10347">
        <w:rPr>
          <w:rFonts w:ascii="Palatino Linotype" w:hAnsi="Palatino Linotype"/>
          <w:sz w:val="21"/>
          <w:szCs w:val="21"/>
        </w:rPr>
        <w:t xml:space="preserve"> El derecho a la prueba implica, en primer lugar, una configuración legal adecuada, con medios probatorios amplios, no restringidos, comprendiendo los medios de prueba conocidos, sin desdeñar ninguna de ellos y con la posibilidad de admitir cualquier otro, similar o que en el futuro se reconozca, siempre que sea lícito.</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b)</w:t>
      </w:r>
      <w:r w:rsidRPr="00E10347">
        <w:rPr>
          <w:rFonts w:ascii="Palatino Linotype" w:hAnsi="Palatino Linotype"/>
          <w:sz w:val="21"/>
          <w:szCs w:val="21"/>
        </w:rPr>
        <w:t xml:space="preserve"> Derecho a la igualdad probatoria, de manera que ambas partes del proceso se le de igualdad de armas en cuanto a la posibilidad de ofrecer, contradecir y valorar la prueba.</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 xml:space="preserve">c) </w:t>
      </w:r>
      <w:r w:rsidRPr="00E10347">
        <w:rPr>
          <w:rFonts w:ascii="Palatino Linotype" w:hAnsi="Palatino Linotype"/>
          <w:sz w:val="21"/>
          <w:szCs w:val="21"/>
        </w:rPr>
        <w:t>Derecho a ofrecer prueba, sin límites innecesarios, en las etapas procesales oportunas. Volveremos sobre esta regla al examinar los principios sobre la prueba.</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d)</w:t>
      </w:r>
      <w:r w:rsidRPr="00E10347">
        <w:rPr>
          <w:rFonts w:ascii="Palatino Linotype" w:hAnsi="Palatino Linotype"/>
          <w:sz w:val="21"/>
          <w:szCs w:val="21"/>
        </w:rPr>
        <w:t xml:space="preserve"> Nadie puede ser condenado -aun en el ámbito civil-, si previamente no se le ha dado el derecho, examinar, contradecir, atacar la prueba y su contraprueba, es </w:t>
      </w:r>
      <w:r w:rsidRPr="00E10347">
        <w:rPr>
          <w:rFonts w:ascii="Palatino Linotype" w:hAnsi="Palatino Linotype"/>
          <w:sz w:val="21"/>
          <w:szCs w:val="21"/>
        </w:rPr>
        <w:lastRenderedPageBreak/>
        <w:t>el denominado principio de contradicción de la prueba o derecho a la prueba constitucional</w:t>
      </w:r>
      <w:r w:rsidRPr="00E10347">
        <w:rPr>
          <w:rStyle w:val="Refdenotaalpie"/>
          <w:rFonts w:ascii="Palatino Linotype" w:hAnsi="Palatino Linotype"/>
          <w:sz w:val="21"/>
          <w:szCs w:val="21"/>
        </w:rPr>
        <w:footnoteReference w:id="150"/>
      </w:r>
      <w:r w:rsidRPr="00E10347">
        <w:rPr>
          <w:rFonts w:ascii="Palatino Linotype" w:hAnsi="Palatino Linotype"/>
          <w:sz w:val="21"/>
          <w:szCs w:val="21"/>
        </w:rPr>
        <w:t xml:space="preserve">.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 xml:space="preserve">e) </w:t>
      </w:r>
      <w:r w:rsidRPr="00E10347">
        <w:rPr>
          <w:rFonts w:ascii="Palatino Linotype" w:hAnsi="Palatino Linotype"/>
          <w:sz w:val="21"/>
          <w:szCs w:val="21"/>
        </w:rPr>
        <w:t>Derecho a que se admita toda aquella prueba legal –aun cuando no esté en el elenco de medios de prueba del art. 41.2 NCPC- que propuesta por alguna de las partes, respete los límites inherentes a la actividad probatoria y los debidos a los requisitos legales de proposición y preclusión. Para que la prueba cumpla su fin de lograr la convicción del juez sobre la existencia o inexistencia de los hechos que interesan al proceso, dice la Sala Constitucional</w:t>
      </w:r>
      <w:r w:rsidRPr="00E10347">
        <w:rPr>
          <w:rStyle w:val="Refdenotaalpie"/>
          <w:rFonts w:ascii="Palatino Linotype" w:hAnsi="Palatino Linotype"/>
          <w:sz w:val="21"/>
          <w:szCs w:val="21"/>
        </w:rPr>
        <w:footnoteReference w:id="151"/>
      </w:r>
      <w:r w:rsidRPr="00E10347">
        <w:rPr>
          <w:rFonts w:ascii="Palatino Linotype" w:hAnsi="Palatino Linotype"/>
          <w:sz w:val="21"/>
          <w:szCs w:val="21"/>
        </w:rPr>
        <w:t xml:space="preserve">, es forzoso otorgar libertad para que las partes y el juez puedan obtener todas las que sean pertinentes. La ley no debe limitar los medios admisibles, cuantitativa o cualitativamente, sino dejar al juez la calificación de si los aducidos o solicitados tienen relevancia probatoria para el caso concreto, a fin de que la averiguación de la verdad se desarrolle sin obstáculos preestablecidos y artificiales.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ab/>
      </w:r>
      <w:r w:rsidRPr="00E10347">
        <w:rPr>
          <w:rFonts w:ascii="Palatino Linotype" w:hAnsi="Palatino Linotype"/>
          <w:b/>
          <w:sz w:val="21"/>
          <w:szCs w:val="21"/>
        </w:rPr>
        <w:t xml:space="preserve">f) </w:t>
      </w:r>
      <w:r w:rsidRPr="00E10347">
        <w:rPr>
          <w:rFonts w:ascii="Palatino Linotype" w:hAnsi="Palatino Linotype"/>
          <w:sz w:val="21"/>
          <w:szCs w:val="21"/>
        </w:rPr>
        <w:t xml:space="preserve">El derecho a que se admita toda aquella prueba razonable que, propuesta por alguna de las partes, en forma y momento oportuno, si la parte ha cumplido con la carga de ofrecer o aportar en los momentos que taxativamente se le confiere el Código y sea útil para el objeto del proceso. La acción del juez no puede conducir a su rechazo por extemporánea.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g) Q</w:t>
      </w:r>
      <w:r w:rsidRPr="00E10347">
        <w:rPr>
          <w:rFonts w:ascii="Palatino Linotype" w:hAnsi="Palatino Linotype"/>
          <w:sz w:val="21"/>
          <w:szCs w:val="21"/>
        </w:rPr>
        <w:t xml:space="preserve">ue tal prueba ofrecida en forma y tiempo haya un pronunciamiento expreso del juez acogiendo o denegándola. En efecto si la parte ha realizado un cálculo probatorio adecuado, bajo su teoría del caso, para cumplir con la carga de la prueba, se espera mínimo que el juez dicte en audiencia una resolución razonada sobre la prueba que rechaza.  La que admita, salvo impugnación de la contraria, bastará con indicar que se admite, pero la que rechaza, como puede afectar la estrategia de la parte, la teoría del caso y venir al traste con la carga de prueba, debe fundamentarse claramente del porqué la inadmite. Una vez propuestas las pruebas por las partes, debe recaer una resolución de admisión, o en su caso, de inadmisión </w:t>
      </w:r>
      <w:r w:rsidRPr="00E10347">
        <w:rPr>
          <w:rFonts w:ascii="Palatino Linotype" w:hAnsi="Palatino Linotype"/>
          <w:sz w:val="21"/>
          <w:szCs w:val="21"/>
        </w:rPr>
        <w:lastRenderedPageBreak/>
        <w:t>sobre cada una de ellas</w:t>
      </w:r>
      <w:r w:rsidRPr="00E10347">
        <w:rPr>
          <w:rStyle w:val="Refdenotaalpie"/>
          <w:rFonts w:ascii="Palatino Linotype" w:hAnsi="Palatino Linotype"/>
          <w:sz w:val="21"/>
          <w:szCs w:val="21"/>
        </w:rPr>
        <w:footnoteReference w:id="152"/>
      </w:r>
      <w:r w:rsidRPr="00E10347">
        <w:rPr>
          <w:rFonts w:ascii="Palatino Linotype" w:hAnsi="Palatino Linotype"/>
          <w:sz w:val="21"/>
          <w:szCs w:val="21"/>
        </w:rPr>
        <w:t>.</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h) Q</w:t>
      </w:r>
      <w:r w:rsidRPr="00E10347">
        <w:rPr>
          <w:rFonts w:ascii="Palatino Linotype" w:hAnsi="Palatino Linotype"/>
          <w:sz w:val="21"/>
          <w:szCs w:val="21"/>
        </w:rPr>
        <w:t xml:space="preserve">ue el rechazo de pruebas por el juez, respete los límites inherentes a la actividad probatoria y los debidos a los requisitos legales de proposición.  En efecto, el rechazo debe ser por motivos objetivos y fundados.  En este supuesto de inadmisión, no puede ser arbitraria o irrazonable, sino que tiene que ser motivada, esto es, con expresión de las razones que impiden superar el juicio de pertenencia.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i) S</w:t>
      </w:r>
      <w:r w:rsidRPr="00E10347">
        <w:rPr>
          <w:rFonts w:ascii="Palatino Linotype" w:hAnsi="Palatino Linotype"/>
          <w:sz w:val="21"/>
          <w:szCs w:val="21"/>
        </w:rPr>
        <w:t xml:space="preserve">olo puede ordenarse el rechazo de la prueba cuando razones expresas y legales justifiquen tal exclusión probatoria por considerarse superabundante, innecesaria, inconducente, impertinente, ilegal o extemporánea –art. 41.3-.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 xml:space="preserve">j) </w:t>
      </w:r>
      <w:r w:rsidRPr="00E10347">
        <w:rPr>
          <w:rFonts w:ascii="Palatino Linotype" w:hAnsi="Palatino Linotype"/>
          <w:sz w:val="21"/>
          <w:szCs w:val="21"/>
        </w:rPr>
        <w:t>Supone que el medio probatorio admitido sea practicado de manera libre, sin límites innecesarios y formalistas pues, en caso contrario, estaremos en presencia de una denegación tácita del mencionado derecho a la prueba. Ciertamente no puede hablarse de un efectivo y real derecho a la prueba si no incluimos en su contenido la necesidad de que se practique el medio probatorio inicialmente admitido.  En efecto, las pruebas, una vez propuestas y admitidas, deben ser practicadas, pues la ausencia de práctica de una prueba admitida, equivale a una inadmisión no motivada. Ahora bien, admisión y no práctica alguna vez pueden no coincidir (ej. ser excesivo el número de testigos o dilación del proceso ante incomparecencia de testigo que presumiblemente no aportará elementos fácticos relevantes en términos del fallo), aun en este supuesto, el negar la evacuación de la prueba oportunamente admitida y que la parte su atuvo a su admisión, resultaría violatoria a la estrategia probatoria.</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k)</w:t>
      </w:r>
      <w:r w:rsidRPr="00E10347">
        <w:rPr>
          <w:rFonts w:ascii="Palatino Linotype" w:hAnsi="Palatino Linotype"/>
          <w:sz w:val="21"/>
          <w:szCs w:val="21"/>
        </w:rPr>
        <w:t xml:space="preserve">  Derecho   a   una   razonable   valoración   de la prueba. Las pruebas propuestas, admitidas y practicadas, deben ser valoradas en la sentencia, como exigencia del deber de motivación de las resoluciones judiciales, de manera coherente y lógica y no mediante simple ejercicios doctrinales que no entre a la célula y verdadero contenido de tal o cual medio de prueba.</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Garberí y Buitrón</w:t>
      </w:r>
      <w:r w:rsidRPr="00E10347">
        <w:rPr>
          <w:rStyle w:val="Refdenotaalpie"/>
          <w:rFonts w:ascii="Palatino Linotype" w:hAnsi="Palatino Linotype"/>
          <w:sz w:val="21"/>
          <w:szCs w:val="21"/>
        </w:rPr>
        <w:footnoteReference w:id="153"/>
      </w:r>
      <w:r w:rsidRPr="00E10347">
        <w:rPr>
          <w:rFonts w:ascii="Palatino Linotype" w:hAnsi="Palatino Linotype"/>
          <w:sz w:val="21"/>
          <w:szCs w:val="21"/>
        </w:rPr>
        <w:t xml:space="preserve"> que le dan al ámbito constitucional del derecho de </w:t>
      </w:r>
      <w:r w:rsidRPr="00E10347">
        <w:rPr>
          <w:rFonts w:ascii="Palatino Linotype" w:hAnsi="Palatino Linotype"/>
          <w:sz w:val="21"/>
          <w:szCs w:val="21"/>
        </w:rPr>
        <w:lastRenderedPageBreak/>
        <w:t>prueba, el siguiente contenido: “a) Derecho a proponer la prueba, b) Derecho a que se admita la prueba legalmente admisible, c) Derecho a la motivación de las resoluciones sobre admisión e inadmisión probatoria, d) Derecho a que la prueba admitida sea efectivamente practicada, e) Derecho a que la prueba practicada sea judicialmente valorada”.</w:t>
      </w:r>
    </w:p>
    <w:p w:rsidR="009A5379" w:rsidRDefault="009A5379" w:rsidP="00E10347">
      <w:pPr>
        <w:jc w:val="both"/>
        <w:rPr>
          <w:rFonts w:ascii="Palatino Linotype" w:hAnsi="Palatino Linotype"/>
          <w:b/>
          <w:sz w:val="21"/>
          <w:szCs w:val="21"/>
        </w:rPr>
      </w:pP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 xml:space="preserve">3.- Impacto de la garantía a la prueba, en la configuración legal del derecho a la prueba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El derecho a la prueba, como garantía constitucional, constituye el pilar sobre el que descansan varios sub-principios procesales</w:t>
      </w:r>
      <w:r w:rsidRPr="00E10347">
        <w:rPr>
          <w:rStyle w:val="Refdenotaalpie"/>
          <w:rFonts w:ascii="Palatino Linotype" w:hAnsi="Palatino Linotype"/>
          <w:sz w:val="21"/>
          <w:szCs w:val="21"/>
        </w:rPr>
        <w:footnoteReference w:id="154"/>
      </w:r>
      <w:r w:rsidRPr="00E10347">
        <w:rPr>
          <w:rFonts w:ascii="Palatino Linotype" w:hAnsi="Palatino Linotype"/>
          <w:sz w:val="21"/>
          <w:szCs w:val="21"/>
        </w:rPr>
        <w:t xml:space="preserve">, ahora de carácter legal, de cómo se desenvuelve este derecho en el proceso, hablamos ahora de “trazabilidad” en el sentido de que esa garantía constitucional atraviesa e impacta la configuración legal de las diversas manifestaciones probatorias, por esa razón el concepto moderno de esa garantía constitucional a la prueba, en su ámbito legal, confiere al menos los siguientes derechos: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a)</w:t>
      </w:r>
      <w:r w:rsidRPr="00E10347">
        <w:rPr>
          <w:rFonts w:ascii="Palatino Linotype" w:hAnsi="Palatino Linotype"/>
          <w:sz w:val="21"/>
          <w:szCs w:val="21"/>
        </w:rPr>
        <w:t xml:space="preserve"> Derecho a aportar y a utilizar cualquier medio de prueba de forma amplia y efectiva –principio de libertad probatoria-; no debiendo limitarse </w:t>
      </w:r>
      <w:r w:rsidRPr="00E10347">
        <w:rPr>
          <w:rFonts w:ascii="Palatino Linotype" w:hAnsi="Palatino Linotype"/>
          <w:i/>
          <w:sz w:val="21"/>
          <w:szCs w:val="21"/>
        </w:rPr>
        <w:t>ad initio</w:t>
      </w:r>
      <w:r w:rsidRPr="00E10347">
        <w:rPr>
          <w:rFonts w:ascii="Palatino Linotype" w:hAnsi="Palatino Linotype"/>
          <w:sz w:val="21"/>
          <w:szCs w:val="21"/>
        </w:rPr>
        <w:t xml:space="preserve"> los medios de prueba, esencialmente si la parte ha realizado un cálculo probatorio y estudio adecuado para no incurrir en negligencia probatoria.</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b)</w:t>
      </w:r>
      <w:r w:rsidRPr="00E10347">
        <w:rPr>
          <w:rFonts w:ascii="Palatino Linotype" w:hAnsi="Palatino Linotype"/>
          <w:sz w:val="21"/>
          <w:szCs w:val="21"/>
        </w:rPr>
        <w:t xml:space="preserve"> Derecho a contradecir la prueba de la contraria, mediante contraprueba o argumentos.  Elemental en las etapas de ataque a los actos de alegación de parte, contradecir con otra prueba, con ampliación de prueba -peritaje o reconocimiento- o con la impugnación de documentos o bien, con el ofrecimiento de consultores de parte para contradecir o debilitar la prueba de la contraria.</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c)</w:t>
      </w:r>
      <w:r w:rsidRPr="00E10347">
        <w:rPr>
          <w:rFonts w:ascii="Palatino Linotype" w:hAnsi="Palatino Linotype"/>
          <w:sz w:val="21"/>
          <w:szCs w:val="21"/>
        </w:rPr>
        <w:t xml:space="preserve"> El derecho a la notificación previa de los señalamientos de prueba.  Aunque el NCPC -a diferencia del CPCD- ha omitido cualquier indicación de la antelación legal con que debe señalarse para una audiencia de pruebas, es evidente que no puede señalarse para una audiencia oral o de evacuación de una prueba, si no se hace con una antelación razonable, para que la parte pueda incluso preparar su estrategia probatoria y hasta líneas de interrogatorio y el mismo interrogatorio si se trate de declarantes, testigos o peritos.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d)</w:t>
      </w:r>
      <w:r w:rsidRPr="00E10347">
        <w:rPr>
          <w:rFonts w:ascii="Palatino Linotype" w:hAnsi="Palatino Linotype"/>
          <w:sz w:val="21"/>
          <w:szCs w:val="21"/>
        </w:rPr>
        <w:t xml:space="preserve"> Derecho que se le permita la participación efectiva en las audiencias de </w:t>
      </w:r>
      <w:r w:rsidRPr="00E10347">
        <w:rPr>
          <w:rFonts w:ascii="Palatino Linotype" w:hAnsi="Palatino Linotype"/>
          <w:sz w:val="21"/>
          <w:szCs w:val="21"/>
        </w:rPr>
        <w:lastRenderedPageBreak/>
        <w:t>prueba</w:t>
      </w:r>
      <w:r w:rsidRPr="00E10347">
        <w:rPr>
          <w:rStyle w:val="Refdenotaalpie"/>
          <w:rFonts w:ascii="Palatino Linotype" w:hAnsi="Palatino Linotype"/>
          <w:sz w:val="21"/>
          <w:szCs w:val="21"/>
        </w:rPr>
        <w:footnoteReference w:id="155"/>
      </w:r>
      <w:r w:rsidRPr="00E10347">
        <w:rPr>
          <w:rFonts w:ascii="Palatino Linotype" w:hAnsi="Palatino Linotype"/>
          <w:sz w:val="21"/>
          <w:szCs w:val="21"/>
        </w:rPr>
        <w:t>. Tanto para interrogar o cuestionar las calidades, idoneidad y pertinencia de los declarantes, así como para oponerse y criticar las pruebas de la contraria. Es el denominada “prueba de refutación”, que ha sido definida como “toda evidencia extrínseca, o independiente de la oportunidad ofrecida por una parte antes del juicio, para contraprobar, controvertir, contradecir o explica evidencia ofrecida por la contraparte y practicada en el juicio oral en su turno de presentación de la prueba</w:t>
      </w:r>
      <w:r w:rsidRPr="00E10347">
        <w:rPr>
          <w:rStyle w:val="Refdenotaalpie"/>
          <w:rFonts w:ascii="Palatino Linotype" w:hAnsi="Palatino Linotype"/>
          <w:sz w:val="21"/>
          <w:szCs w:val="21"/>
        </w:rPr>
        <w:footnoteReference w:id="156"/>
      </w:r>
      <w:r w:rsidRPr="00E10347">
        <w:rPr>
          <w:rFonts w:ascii="Palatino Linotype" w:hAnsi="Palatino Linotype"/>
          <w:sz w:val="21"/>
          <w:szCs w:val="21"/>
        </w:rPr>
        <w:t xml:space="preserve">”.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e)</w:t>
      </w:r>
      <w:r w:rsidRPr="00E10347">
        <w:rPr>
          <w:rFonts w:ascii="Palatino Linotype" w:hAnsi="Palatino Linotype"/>
          <w:sz w:val="21"/>
          <w:szCs w:val="21"/>
        </w:rPr>
        <w:t xml:space="preserve"> Derecho a contrainterrogatorios a los testigos y peritos del adversario, es el denominado interrogatorio cruzado, cuya finalidad es propiciar un debate dialéctico.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 xml:space="preserve">f) </w:t>
      </w:r>
      <w:r w:rsidRPr="00E10347">
        <w:rPr>
          <w:rFonts w:ascii="Palatino Linotype" w:hAnsi="Palatino Linotype"/>
          <w:sz w:val="21"/>
          <w:szCs w:val="21"/>
        </w:rPr>
        <w:t>Derecho y facultad de hacerse acompañar por consultores de parte para lograr un efectivo contradictorio de peritos oficiales o testigos expertos.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g)</w:t>
      </w:r>
      <w:r w:rsidRPr="00E10347">
        <w:rPr>
          <w:rFonts w:ascii="Palatino Linotype" w:hAnsi="Palatino Linotype"/>
          <w:sz w:val="21"/>
          <w:szCs w:val="21"/>
        </w:rPr>
        <w:t xml:space="preserve"> Derecho a que no se incorpore y condene con prueba ilícita</w:t>
      </w:r>
      <w:r w:rsidRPr="00E10347">
        <w:rPr>
          <w:rStyle w:val="Refdenotaalpie"/>
          <w:rFonts w:ascii="Palatino Linotype" w:hAnsi="Palatino Linotype"/>
          <w:sz w:val="21"/>
          <w:szCs w:val="21"/>
        </w:rPr>
        <w:footnoteReference w:id="157"/>
      </w:r>
      <w:r w:rsidRPr="00E10347">
        <w:rPr>
          <w:rFonts w:ascii="Palatino Linotype" w:hAnsi="Palatino Linotype"/>
          <w:sz w:val="21"/>
          <w:szCs w:val="21"/>
        </w:rPr>
        <w:t xml:space="preserve">.  Es esencial que la prueba sea pura, clara, transparente.  No se permite la incorporación de prueba contaminada o espuria, que haya violentado derechos y garantías constitucionales.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h)</w:t>
      </w:r>
      <w:r w:rsidRPr="00E10347">
        <w:rPr>
          <w:rFonts w:ascii="Palatino Linotype" w:hAnsi="Palatino Linotype"/>
          <w:sz w:val="21"/>
          <w:szCs w:val="21"/>
        </w:rPr>
        <w:t xml:space="preserve">  Derecho   a   que la valoración de la prueba en sentencia, sea lógica y bajo las reglas de la ciencia, sentido común y coherencia, que no conduzca a absurdos, contradicciones inexplicables o sea irracional con el sentido que se le quiere dar.</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i)</w:t>
      </w:r>
      <w:r w:rsidRPr="00E10347">
        <w:rPr>
          <w:rFonts w:ascii="Palatino Linotype" w:hAnsi="Palatino Linotype"/>
          <w:sz w:val="21"/>
          <w:szCs w:val="21"/>
        </w:rPr>
        <w:t xml:space="preserve"> Derecho a que no se le rechace infundada e irracionalmente prueba y que sea motivada la resolución que así lo ordena.  Ya lo hemos analizado.  El litigante responsable debió preparar su teoría del caso y la estrategia probatoria, probablemente por semanas y no parece razonable que el juez en una lectura ligera y a veces si haber leído o entendido completo el caso, comience a rechazar prueba que luego tenía la virtud de convencer al tribunal de juicio.</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lastRenderedPageBreak/>
        <w:t>j)</w:t>
      </w:r>
      <w:r w:rsidRPr="00E10347">
        <w:rPr>
          <w:rFonts w:ascii="Palatino Linotype" w:hAnsi="Palatino Linotype"/>
          <w:sz w:val="21"/>
          <w:szCs w:val="21"/>
        </w:rPr>
        <w:t xml:space="preserve"> Derecho a que no se le limite el acceso de las fuentes de prueba. El acceso a las fuentes constituye un elemento esencial de cara a la elaboración de la teoría del caso.  </w:t>
      </w:r>
    </w:p>
    <w:p w:rsidR="002014CA" w:rsidRPr="00E10347" w:rsidRDefault="002014CA" w:rsidP="00E10347">
      <w:pPr>
        <w:ind w:firstLine="709"/>
        <w:rPr>
          <w:rFonts w:ascii="Palatino Linotype" w:hAnsi="Palatino Linotype"/>
          <w:sz w:val="21"/>
          <w:szCs w:val="21"/>
        </w:rPr>
      </w:pPr>
      <w:r w:rsidRPr="00E10347">
        <w:rPr>
          <w:rFonts w:ascii="Palatino Linotype" w:hAnsi="Palatino Linotype"/>
          <w:b/>
          <w:sz w:val="21"/>
          <w:szCs w:val="21"/>
        </w:rPr>
        <w:t>k)</w:t>
      </w:r>
      <w:r w:rsidRPr="00E10347">
        <w:rPr>
          <w:rFonts w:ascii="Palatino Linotype" w:hAnsi="Palatino Linotype"/>
          <w:sz w:val="21"/>
          <w:szCs w:val="21"/>
        </w:rPr>
        <w:t xml:space="preserve"> Derecho a hacerse acompañar por un abogado, en las audiencias de pruebas, sin que pueda coartársele el derecho de ser representado en ellas, por la espada del defensor. Que lógicamente con su conocimiento experto y debidamente preparado -deber ontológico mínimo-, preparando la teoría del caso y las líneas de interrogatorios, sabrá llevar, con conocimiento jurídico, un adecuado interrogatorio y una buena técnica en el manejo de la prueba.</w:t>
      </w:r>
    </w:p>
    <w:p w:rsidR="009A5379" w:rsidRDefault="009A5379" w:rsidP="00E10347">
      <w:pPr>
        <w:pStyle w:val="Ttulo3"/>
        <w:spacing w:before="0"/>
        <w:jc w:val="both"/>
        <w:rPr>
          <w:rFonts w:ascii="Palatino Linotype" w:hAnsi="Palatino Linotype"/>
          <w:color w:val="auto"/>
          <w:sz w:val="21"/>
          <w:szCs w:val="21"/>
        </w:rPr>
      </w:pPr>
    </w:p>
    <w:p w:rsidR="002014CA" w:rsidRPr="00E10347" w:rsidRDefault="002014CA" w:rsidP="00E10347">
      <w:pPr>
        <w:pStyle w:val="Ttulo3"/>
        <w:spacing w:before="0"/>
        <w:jc w:val="both"/>
        <w:rPr>
          <w:rFonts w:ascii="Palatino Linotype" w:hAnsi="Palatino Linotype" w:cs="Arial"/>
          <w:bCs w:val="0"/>
          <w:color w:val="auto"/>
          <w:sz w:val="21"/>
          <w:szCs w:val="21"/>
          <w:lang w:val="es-CR"/>
        </w:rPr>
      </w:pPr>
      <w:r w:rsidRPr="00E10347">
        <w:rPr>
          <w:rFonts w:ascii="Palatino Linotype" w:hAnsi="Palatino Linotype"/>
          <w:color w:val="auto"/>
          <w:sz w:val="21"/>
          <w:szCs w:val="21"/>
        </w:rPr>
        <w:t>4</w:t>
      </w:r>
      <w:r w:rsidRPr="00E10347">
        <w:rPr>
          <w:rFonts w:ascii="Palatino Linotype" w:hAnsi="Palatino Linotype" w:cs="Arial"/>
          <w:bCs w:val="0"/>
          <w:color w:val="auto"/>
          <w:sz w:val="21"/>
          <w:szCs w:val="21"/>
          <w:lang w:val="es-CR"/>
        </w:rPr>
        <w:t>.-  Principios del procedimiento probatorio y sus manifestaciones en el NCPC</w:t>
      </w:r>
    </w:p>
    <w:p w:rsidR="002014CA" w:rsidRPr="00E10347" w:rsidRDefault="002014CA" w:rsidP="00E10347">
      <w:pPr>
        <w:pStyle w:val="Ttulo3"/>
        <w:spacing w:before="0"/>
        <w:ind w:firstLine="709"/>
        <w:jc w:val="both"/>
        <w:rPr>
          <w:rFonts w:ascii="Palatino Linotype" w:hAnsi="Palatino Linotype" w:cs="Arial"/>
          <w:b w:val="0"/>
          <w:bCs w:val="0"/>
          <w:color w:val="auto"/>
          <w:sz w:val="21"/>
          <w:szCs w:val="21"/>
          <w:lang w:val="es-CR"/>
        </w:rPr>
      </w:pPr>
      <w:r w:rsidRPr="00E10347">
        <w:rPr>
          <w:rFonts w:ascii="Palatino Linotype" w:hAnsi="Palatino Linotype" w:cs="Arial"/>
          <w:b w:val="0"/>
          <w:bCs w:val="0"/>
          <w:color w:val="auto"/>
          <w:sz w:val="21"/>
          <w:szCs w:val="21"/>
          <w:lang w:val="es-CR"/>
        </w:rPr>
        <w:t xml:space="preserve">Sin perjuicio del análisis que infra se hace de los principios que rigen la </w:t>
      </w:r>
      <w:r w:rsidRPr="00E10347">
        <w:rPr>
          <w:rFonts w:ascii="Palatino Linotype" w:hAnsi="Palatino Linotype" w:cs="Arial"/>
          <w:b w:val="0"/>
          <w:bCs w:val="0"/>
          <w:color w:val="auto"/>
          <w:sz w:val="21"/>
          <w:szCs w:val="21"/>
          <w:u w:val="single"/>
          <w:lang w:val="es-CR"/>
        </w:rPr>
        <w:t>evacuación</w:t>
      </w:r>
      <w:r w:rsidRPr="00E10347">
        <w:rPr>
          <w:rFonts w:ascii="Palatino Linotype" w:hAnsi="Palatino Linotype" w:cs="Arial"/>
          <w:b w:val="0"/>
          <w:bCs w:val="0"/>
          <w:color w:val="auto"/>
          <w:sz w:val="21"/>
          <w:szCs w:val="21"/>
          <w:lang w:val="es-CR"/>
        </w:rPr>
        <w:t xml:space="preserve"> de la prueba, en un proceso por audiencias, anticipamos que existen una serie de principios aplicables a todas las pruebas.</w:t>
      </w:r>
    </w:p>
    <w:p w:rsidR="009A5379" w:rsidRDefault="009A5379" w:rsidP="00E10347">
      <w:pPr>
        <w:pStyle w:val="Ttulo3"/>
        <w:spacing w:before="0"/>
        <w:jc w:val="both"/>
        <w:rPr>
          <w:rFonts w:ascii="Palatino Linotype" w:hAnsi="Palatino Linotype" w:cs="Arial"/>
          <w:bCs w:val="0"/>
          <w:color w:val="auto"/>
          <w:sz w:val="21"/>
          <w:szCs w:val="21"/>
          <w:lang w:val="es-CR"/>
        </w:rPr>
      </w:pPr>
    </w:p>
    <w:p w:rsidR="002014CA" w:rsidRPr="00E10347" w:rsidRDefault="002014CA" w:rsidP="00E10347">
      <w:pPr>
        <w:pStyle w:val="Ttulo3"/>
        <w:spacing w:before="0"/>
        <w:jc w:val="both"/>
        <w:rPr>
          <w:rFonts w:ascii="Palatino Linotype" w:hAnsi="Palatino Linotype" w:cs="Arial"/>
          <w:bCs w:val="0"/>
          <w:color w:val="auto"/>
          <w:sz w:val="21"/>
          <w:szCs w:val="21"/>
          <w:lang w:val="es-CR"/>
        </w:rPr>
      </w:pPr>
      <w:r w:rsidRPr="00E10347">
        <w:rPr>
          <w:rFonts w:ascii="Palatino Linotype" w:hAnsi="Palatino Linotype" w:cs="Arial"/>
          <w:bCs w:val="0"/>
          <w:color w:val="auto"/>
          <w:sz w:val="21"/>
          <w:szCs w:val="21"/>
          <w:lang w:val="es-CR"/>
        </w:rPr>
        <w:t xml:space="preserve">a.- El principio de inmediación de la prueba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La inmediación implica un contacto directo y personal con los elementos probatorios, pero además directo y recíproco de los sujetos entre sí y frente al Juez -inmediación subjetiva en el decir de Goldschmidt y Devis Echandía-, y contacto con los hechos y todo el material del proceso -inmediación objetiva-.  Eisner lo define como el principio en "virtud del cual se procura asegurar que el Juez o Tribunal se halle en permanente e íntima vinculación personal con los sujetos y elementos que intervienen en el proceso, recibiendo directamente las alegaciones de las partes y las aportaciones probatorias, afín de que pueda conocer en toda su significación el material de la causa, desde el principio de ella, quien a su término ha de pronunciar la sentencia que la defina"</w:t>
      </w:r>
      <w:r w:rsidRPr="00E10347">
        <w:rPr>
          <w:rStyle w:val="Refdenotaalpie"/>
          <w:rFonts w:ascii="Palatino Linotype" w:hAnsi="Palatino Linotype"/>
          <w:sz w:val="21"/>
          <w:szCs w:val="21"/>
        </w:rPr>
        <w:footnoteReference w:id="158"/>
      </w:r>
      <w:r w:rsidRPr="00E10347">
        <w:rPr>
          <w:rFonts w:ascii="Palatino Linotype" w:hAnsi="Palatino Linotype"/>
          <w:sz w:val="21"/>
          <w:szCs w:val="21"/>
        </w:rPr>
        <w:t xml:space="preserve">.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En un sistema oral o por audiencias orales, en principio y como regla, es el juez que evacuó la prueba y por ello participó en la audiencia de prueba, el único que puede dictar sentencia válida. Establecidos como esenciales la regla de oralidad y la exigencia de la concentración de los actos -orales y escritos- en un proceso por audiencias, el NCPC exige además, consecuencia lógica, la inmediación, porque “oralidad y concentración -dice De la Oliva</w:t>
      </w:r>
      <w:r w:rsidRPr="00E10347">
        <w:rPr>
          <w:rFonts w:ascii="Palatino Linotype" w:hAnsi="Palatino Linotype"/>
          <w:sz w:val="21"/>
          <w:szCs w:val="21"/>
          <w:vertAlign w:val="superscript"/>
        </w:rPr>
        <w:footnoteReference w:id="159"/>
      </w:r>
      <w:r w:rsidRPr="00E10347">
        <w:rPr>
          <w:rFonts w:ascii="Palatino Linotype" w:hAnsi="Palatino Linotype"/>
          <w:sz w:val="21"/>
          <w:szCs w:val="21"/>
        </w:rPr>
        <w:t xml:space="preserve">- significan también, como algo </w:t>
      </w:r>
      <w:r w:rsidRPr="00E10347">
        <w:rPr>
          <w:rFonts w:ascii="Palatino Linotype" w:hAnsi="Palatino Linotype"/>
          <w:sz w:val="21"/>
          <w:szCs w:val="21"/>
        </w:rPr>
        <w:lastRenderedPageBreak/>
        <w:t xml:space="preserve">inescindible de ellas, inmediación…siendo oral el proceso y concentrándose sus actuaciones, la inmediación resulta insoslayable”.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Para efectos de la prueba, de la inmediación puede hablarse en dos sentidos, amplio y estricto.  La inmediación en sentido estricto consiste en que el juez que dicta sentencia haya estado presente -al menos- en la práctica de las pruebas, tanto el de la audiencia preliminar como la del juicio oral, o vista de apelación o casación</w:t>
      </w:r>
      <w:r w:rsidRPr="00E10347">
        <w:rPr>
          <w:rStyle w:val="Refdenotaalpie"/>
          <w:rFonts w:ascii="Palatino Linotype" w:hAnsi="Palatino Linotype"/>
          <w:sz w:val="21"/>
          <w:szCs w:val="21"/>
        </w:rPr>
        <w:footnoteReference w:id="160"/>
      </w:r>
      <w:r w:rsidRPr="00E10347">
        <w:rPr>
          <w:rFonts w:ascii="Palatino Linotype" w:hAnsi="Palatino Linotype"/>
          <w:sz w:val="21"/>
          <w:szCs w:val="21"/>
        </w:rPr>
        <w:t xml:space="preserve"> y, como se ha señalado, en tal sentido la inmediación “constituye una medida básica para garantizar la justicia y acierto de la actividad jurisdiccional decisoria”, ya que “el juez puede así extraer un convencimiento por impresiones directas y no por referencias escritas de experiencias ajenas”</w:t>
      </w:r>
      <w:r w:rsidRPr="00E10347">
        <w:rPr>
          <w:rFonts w:ascii="Palatino Linotype" w:hAnsi="Palatino Linotype"/>
          <w:sz w:val="21"/>
          <w:szCs w:val="21"/>
          <w:vertAlign w:val="superscript"/>
        </w:rPr>
        <w:footnoteReference w:id="161"/>
      </w:r>
      <w:r w:rsidRPr="00E10347">
        <w:rPr>
          <w:rFonts w:ascii="Palatino Linotype" w:hAnsi="Palatino Linotype"/>
          <w:sz w:val="21"/>
          <w:szCs w:val="21"/>
        </w:rPr>
        <w:t>. En sentido amplio, en cambio, la inmediación consiste en la presencia del juez en los actos de prueba, comparecencias y vistas de los recursos</w:t>
      </w:r>
      <w:r w:rsidRPr="00E10347">
        <w:rPr>
          <w:rStyle w:val="Refdenotaalpie"/>
          <w:rFonts w:ascii="Palatino Linotype" w:hAnsi="Palatino Linotype"/>
          <w:sz w:val="21"/>
          <w:szCs w:val="21"/>
        </w:rPr>
        <w:footnoteReference w:id="162"/>
      </w:r>
      <w:r w:rsidRPr="00E10347">
        <w:rPr>
          <w:rFonts w:ascii="Palatino Linotype" w:hAnsi="Palatino Linotype"/>
          <w:sz w:val="21"/>
          <w:szCs w:val="21"/>
        </w:rPr>
        <w:t xml:space="preserve">.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En efecto, en el sistema oral, regido por la inmediación pura, solo el juez del debate es quién puede sentenciar.  Este principio contribuye a la humanización, al contacto personal y al rostro más sincero de la prueba y el proceso. La inmediación permite al juez una mejor apreciación de la prueba, especialmente en materia de testimonios, reconocimiento judicial, declaración de parte y el examen en audiencia oral de los peritos. La inmediación exige que el juez que evacue la prueba sea el que necesariamente dicte la resolución que se fundamenta en esas pruebas de declaración evacuadas, porque la reunión de las pruebas se relaciona íntimamente con la decisión, ya que aquella es el medio para llegar a ésta y su recepción</w:t>
      </w:r>
      <w:r w:rsidRPr="00E10347">
        <w:rPr>
          <w:rStyle w:val="Refdenotaalpie"/>
          <w:rFonts w:ascii="Palatino Linotype" w:hAnsi="Palatino Linotype"/>
          <w:sz w:val="21"/>
          <w:szCs w:val="21"/>
        </w:rPr>
        <w:footnoteReference w:id="163"/>
      </w:r>
      <w:r w:rsidRPr="00E10347">
        <w:rPr>
          <w:rFonts w:ascii="Palatino Linotype" w:hAnsi="Palatino Linotype"/>
          <w:sz w:val="21"/>
          <w:szCs w:val="21"/>
        </w:rPr>
        <w:t xml:space="preserve">.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Este principio permite al juez tener una impresión más cercana y reciente a la hora de emitir un fallo. Exige además que el juez competente para sentenciar el caso debe estar presente durante las comparecencias con las partes y, especialmente en los debates en que la prueba es evacuada, a fin de que pueda apreciar directamente todos los aspectos y detalles de la conducta de las partes, los peritos y </w:t>
      </w:r>
      <w:r w:rsidRPr="00E10347">
        <w:rPr>
          <w:rFonts w:ascii="Palatino Linotype" w:hAnsi="Palatino Linotype"/>
          <w:sz w:val="21"/>
          <w:szCs w:val="21"/>
        </w:rPr>
        <w:lastRenderedPageBreak/>
        <w:t>los testigos: los gestos y las palabras, las dudas y vacilaciones de unos y otros, etc. Exige la participación eficaz del juez en la producción de la prueba, moderando la intervención de las partes, sugiriendo soluciones y haciendo él mismo preguntas u observaciones pertinentes -en su momento oportuno, no interfiriendo ni afectando la estrategia probatoria de la parte-. La inmediación se entiende, no solo como la necesaria presencia del juez en los actos de prueba, sino como que sea el mismo juez que presenció la actividad probatoria quien además dicte la sentencia -arts. 2.7, 50.5, 61, 102.5 NCPC-.</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Es necesario que todos los sujetos procesales participen en la prueba de una manera directa, inmediata y simultánea </w:t>
      </w:r>
      <w:r w:rsidRPr="00E10347">
        <w:rPr>
          <w:rStyle w:val="Refdenotaalpie"/>
          <w:rFonts w:ascii="Palatino Linotype" w:hAnsi="Palatino Linotype"/>
          <w:sz w:val="21"/>
          <w:szCs w:val="21"/>
        </w:rPr>
        <w:footnoteReference w:id="164"/>
      </w:r>
      <w:r w:rsidRPr="00E10347">
        <w:rPr>
          <w:rFonts w:ascii="Palatino Linotype" w:hAnsi="Palatino Linotype"/>
          <w:sz w:val="21"/>
          <w:szCs w:val="21"/>
        </w:rPr>
        <w:t>. Además, que las pruebas lleguen al ánimo del juez sin alteración alguna, sin barreras, sin obstáculos, sin vallas. A la hora de recibir la prueba el juez debe estar en comunicación directa con los demás sujetos del proceso. Se aplica la regla de la oralidad en la fase de juicio o audiencia única -de sumarios y monitorios-, para hacer efectiva esa indicación.  Este principio se vinculada con el de la identidad física del juzgador</w:t>
      </w:r>
      <w:r w:rsidRPr="00E10347">
        <w:rPr>
          <w:rStyle w:val="Refdenotaalpie"/>
          <w:rFonts w:ascii="Palatino Linotype" w:hAnsi="Palatino Linotype"/>
          <w:sz w:val="21"/>
          <w:szCs w:val="21"/>
        </w:rPr>
        <w:footnoteReference w:id="165"/>
      </w:r>
      <w:r w:rsidRPr="00E10347">
        <w:rPr>
          <w:rFonts w:ascii="Palatino Linotype" w:hAnsi="Palatino Linotype"/>
          <w:sz w:val="21"/>
          <w:szCs w:val="21"/>
        </w:rPr>
        <w:t xml:space="preserve">, según el cual, la sentencia debe ser dictada por los mismos jueces que intervinieron en el debate desde su inicio hasta el final. Los jueces que recibieron la prueba deben fundamentar la sentencia -arts. 2.7, 59 y 60 NCPC-.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En nuestro país, en un proceso regido por audiencias -arts. 50, 102.4, 102.5, 103.3 y 110.4 NCPC- , la inmediación y de la identidad física del juzgador, para el dictado de la sentencia, además de una exigencia de índole legal, bajo pena de nulidad de la sentencia, es además garantía de la potestad jurisdiccional y el principio del juez predeterminado por ley, en aplicación de ese principio, no se permite, como en antaño, que otro juez o tribunal sentenciador, el secretario o un auxiliar del juez, pueda recibir la prueba o dictar sentencia si no participó en la audiencia oral donde se evacúo -art. 2.7 NCPC-, pues de ser así se perdería la inmediación objetiva, el principio de autoridad y aquellos dos principios.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Finalmente, el NCPC no exagera de la inmediación en el proceso ni aspira a </w:t>
      </w:r>
      <w:r w:rsidRPr="00E10347">
        <w:rPr>
          <w:rFonts w:ascii="Palatino Linotype" w:hAnsi="Palatino Linotype"/>
          <w:sz w:val="21"/>
          <w:szCs w:val="21"/>
        </w:rPr>
        <w:lastRenderedPageBreak/>
        <w:t>una utopía, porque, además de la relevancia del principio para el sistema y la imposición concentración de la práctica de la prueba y proximidad de dicha práctica al momento de dictar sentencia -arts. 50.6 y 61.1 NCPC-, trasversalmente se afecta la mayoría de todos los actos, contemplando el Código verdaderas excepciones a esa inmediación</w:t>
      </w:r>
      <w:r w:rsidRPr="00E10347">
        <w:rPr>
          <w:rStyle w:val="Refdenotaalpie"/>
          <w:rFonts w:ascii="Palatino Linotype" w:hAnsi="Palatino Linotype"/>
          <w:sz w:val="21"/>
          <w:szCs w:val="21"/>
        </w:rPr>
        <w:footnoteReference w:id="166"/>
      </w:r>
      <w:r w:rsidRPr="00E10347">
        <w:rPr>
          <w:rFonts w:ascii="Palatino Linotype" w:hAnsi="Palatino Linotype"/>
          <w:sz w:val="21"/>
          <w:szCs w:val="21"/>
        </w:rPr>
        <w:t>, como los supuestos de prueba anticipada, prueba traslada, la excepcionalidad de prueba en el extranjero o por medio de otro juez, la prueba que se aporta al proceso -documental y pericia de parte-, la fase pericial escrita, la no exigencia de la inmediación en la apelación ni en casación, incluso en el supuesto excepción en que se ordene prueba en estos o se celebre una vista para tal o cual recurso.</w:t>
      </w:r>
    </w:p>
    <w:p w:rsidR="009A5379" w:rsidRDefault="009A5379" w:rsidP="00E10347">
      <w:pPr>
        <w:jc w:val="both"/>
        <w:rPr>
          <w:rFonts w:ascii="Palatino Linotype" w:hAnsi="Palatino Linotype"/>
          <w:b/>
          <w:sz w:val="21"/>
          <w:szCs w:val="21"/>
        </w:rPr>
      </w:pP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b.- Principio de concentración</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Consecuencia directa de la oralidad instaurada en el NCPC es la concentración de los actos de audiencias orales y de los actos escritos del proceso</w:t>
      </w:r>
      <w:r w:rsidRPr="00E10347">
        <w:rPr>
          <w:rFonts w:ascii="Palatino Linotype" w:hAnsi="Palatino Linotype"/>
          <w:sz w:val="21"/>
          <w:szCs w:val="21"/>
          <w:vertAlign w:val="superscript"/>
        </w:rPr>
        <w:footnoteReference w:id="167"/>
      </w:r>
      <w:r w:rsidRPr="00E10347">
        <w:rPr>
          <w:rFonts w:ascii="Palatino Linotype" w:hAnsi="Palatino Linotype"/>
          <w:sz w:val="21"/>
          <w:szCs w:val="21"/>
        </w:rPr>
        <w:t>, que sin duda contribuirá a agilizar la tramitación de los nuevos procesos civiles, al impedir dicha concentración la espiral de papel y de las dilaciones derivada de la dispersión de actuaciones y de las audiencias de pruebas, que exigían los procesos predominantemente escritos que teníamos hasta ahora</w:t>
      </w:r>
      <w:r w:rsidRPr="00E10347">
        <w:rPr>
          <w:rFonts w:ascii="Palatino Linotype" w:hAnsi="Palatino Linotype"/>
          <w:sz w:val="21"/>
          <w:szCs w:val="21"/>
          <w:vertAlign w:val="superscript"/>
        </w:rPr>
        <w:footnoteReference w:id="168"/>
      </w:r>
      <w:r w:rsidRPr="00E10347">
        <w:rPr>
          <w:rFonts w:ascii="Palatino Linotype" w:hAnsi="Palatino Linotype"/>
          <w:sz w:val="21"/>
          <w:szCs w:val="21"/>
        </w:rPr>
        <w:t xml:space="preserve">.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La concentración implica la abreviación del proceso mediante la reunión de toda la actividad en la menor cantidad de actos; y a evitar, por consiguiente, la dispersión o segmentación de dicha actividad</w:t>
      </w:r>
      <w:r w:rsidRPr="00E10347">
        <w:rPr>
          <w:rStyle w:val="Refdenotaalpie"/>
          <w:rFonts w:ascii="Palatino Linotype" w:hAnsi="Palatino Linotype"/>
          <w:sz w:val="21"/>
          <w:szCs w:val="21"/>
        </w:rPr>
        <w:footnoteReference w:id="169"/>
      </w:r>
      <w:r w:rsidRPr="00E10347">
        <w:rPr>
          <w:rFonts w:ascii="Palatino Linotype" w:hAnsi="Palatino Linotype"/>
          <w:sz w:val="21"/>
          <w:szCs w:val="21"/>
        </w:rPr>
        <w:t xml:space="preserve"> y del proceso en general. Es decir, que la consumación de los distintos actos y diligencias judiciales sean próximas entre sí. En los procesos por audiencias orales es donde mejor se manifiesta este principio</w:t>
      </w:r>
      <w:r w:rsidRPr="00E10347">
        <w:rPr>
          <w:rStyle w:val="Refdenotaalpie"/>
          <w:rFonts w:ascii="Palatino Linotype" w:hAnsi="Palatino Linotype"/>
          <w:sz w:val="21"/>
          <w:szCs w:val="21"/>
        </w:rPr>
        <w:footnoteReference w:id="170"/>
      </w:r>
      <w:r w:rsidRPr="00E10347">
        <w:rPr>
          <w:rFonts w:ascii="Palatino Linotype" w:hAnsi="Palatino Linotype"/>
          <w:sz w:val="21"/>
          <w:szCs w:val="21"/>
        </w:rPr>
        <w:t xml:space="preserve"> porque la continuidad del debate en una o pocas audiencias </w:t>
      </w:r>
      <w:r w:rsidRPr="00E10347">
        <w:rPr>
          <w:rFonts w:ascii="Palatino Linotype" w:hAnsi="Palatino Linotype"/>
          <w:sz w:val="21"/>
          <w:szCs w:val="21"/>
        </w:rPr>
        <w:lastRenderedPageBreak/>
        <w:t>concentradas -principio de continuidad o unidad de la audiencia del arts. 50.1, 41.4.3 y 2.8 NCPC - permite una sentencia más cercana a la finalización del debate, bajo pena de nulidad por extemporánea -arts. 2.8, 41.4.3 y 50 NCPC-.  Efectivamente, los actos del proceso y, en particular, los de ofrecimiento y evacuación de prueba, deben concentrarse en una sola unidad de tiempo (preferiblemente en una sola audiencia). Y ello obedece a dos objetivos: que se ahorre el tiempo (la justicia pronta y cumplida) y que el juez pueda apreciar los diferentes elementos del material probatorio de una manera global, cercana y en su conexión recíproca</w:t>
      </w:r>
      <w:r w:rsidRPr="00E10347">
        <w:rPr>
          <w:rStyle w:val="Refdenotaalpie"/>
          <w:rFonts w:ascii="Palatino Linotype" w:hAnsi="Palatino Linotype"/>
          <w:sz w:val="21"/>
          <w:szCs w:val="21"/>
        </w:rPr>
        <w:footnoteReference w:id="171"/>
      </w:r>
      <w:r w:rsidRPr="00E10347">
        <w:rPr>
          <w:rFonts w:ascii="Palatino Linotype" w:hAnsi="Palatino Linotype"/>
          <w:sz w:val="21"/>
          <w:szCs w:val="21"/>
        </w:rPr>
        <w:t>.  Debe procurarse practicar la prueba de una vez, en una misma etapa del proceso, la practicada en diferentes actos, tiempo y lugar pone en peligro la averiguación de la verdad y dispersa la menta y la concentración del proceso.</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Son manifestaciones concretas del principio de concentración en la prueba: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a)</w:t>
      </w:r>
      <w:r w:rsidRPr="00E10347">
        <w:rPr>
          <w:rFonts w:ascii="Palatino Linotype" w:hAnsi="Palatino Linotype"/>
          <w:sz w:val="21"/>
          <w:szCs w:val="21"/>
        </w:rPr>
        <w:t xml:space="preserve"> El deber de ofrecer toda la prueba con la demanda, la reconvención y sus contestaciones y de aportar en esos momentos la prueba escrita, bajo preclusión, regla que no aplica a la prueba sobreviniente ni la complementaria para replicar la contestación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b)</w:t>
      </w:r>
      <w:r w:rsidRPr="00E10347">
        <w:rPr>
          <w:rFonts w:ascii="Palatino Linotype" w:hAnsi="Palatino Linotype"/>
          <w:sz w:val="21"/>
          <w:szCs w:val="21"/>
        </w:rPr>
        <w:t xml:space="preserve"> Admisión y rechazo de prueba en una única audiencia oral, no antes ni después, menos diferirla, bien en la preliminar para ordinarios o en la audiencia única para monitorios y sumarios.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c)</w:t>
      </w:r>
      <w:r w:rsidRPr="00E10347">
        <w:rPr>
          <w:rFonts w:ascii="Palatino Linotype" w:hAnsi="Palatino Linotype"/>
          <w:sz w:val="21"/>
          <w:szCs w:val="21"/>
        </w:rPr>
        <w:t xml:space="preserve"> Réplica de las excepciones y contraprueba para la contestación de demanda y la reconvención, de manera oral, en un solo momento, en la preliminar para ordinarios y en la audiencia única para sumarios y monitorios.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d)</w:t>
      </w:r>
      <w:r w:rsidRPr="00E10347">
        <w:rPr>
          <w:rFonts w:ascii="Palatino Linotype" w:hAnsi="Palatino Linotype"/>
          <w:sz w:val="21"/>
          <w:szCs w:val="21"/>
        </w:rPr>
        <w:t xml:space="preserve"> La no suspensión de las audiencias por interposición de incidentes, nuevas gestiones, hechos o prueba nueva, la cual en todo caso se discutirá y evacuará en la audiencia respectiva</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e)</w:t>
      </w:r>
      <w:r w:rsidRPr="00E10347">
        <w:rPr>
          <w:rFonts w:ascii="Palatino Linotype" w:hAnsi="Palatino Linotype"/>
          <w:sz w:val="21"/>
          <w:szCs w:val="21"/>
        </w:rPr>
        <w:t xml:space="preserve"> La concentración de la evacuación de las pruebas en una o pocas audiencias continuas, en un solo día o señalamiento sucesivos o como más claramente en casos de señalamiento de prueba abundante se hará en fechas </w:t>
      </w:r>
      <w:r w:rsidRPr="00E10347">
        <w:rPr>
          <w:rFonts w:ascii="Palatino Linotype" w:hAnsi="Palatino Linotype"/>
          <w:sz w:val="21"/>
          <w:szCs w:val="21"/>
        </w:rPr>
        <w:lastRenderedPageBreak/>
        <w:t xml:space="preserve">continuas con la finalidad de que se produzca una adecuada concentración de ellas,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f)</w:t>
      </w:r>
      <w:r w:rsidRPr="00E10347">
        <w:rPr>
          <w:rFonts w:ascii="Palatino Linotype" w:hAnsi="Palatino Linotype"/>
          <w:sz w:val="21"/>
          <w:szCs w:val="21"/>
        </w:rPr>
        <w:t xml:space="preserve"> Inevacuabilidad de prueba no practicada en el señalamiento hecho,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g)</w:t>
      </w:r>
      <w:r w:rsidRPr="00E10347">
        <w:rPr>
          <w:rFonts w:ascii="Palatino Linotype" w:hAnsi="Palatino Linotype"/>
          <w:sz w:val="21"/>
          <w:szCs w:val="21"/>
        </w:rPr>
        <w:t xml:space="preserve"> La posibilidad de evacuar la prueba pericial conjuntamente con reconocimiento judicial,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h)</w:t>
      </w:r>
      <w:r w:rsidRPr="00E10347">
        <w:rPr>
          <w:rFonts w:ascii="Palatino Linotype" w:hAnsi="Palatino Linotype"/>
          <w:sz w:val="21"/>
          <w:szCs w:val="21"/>
        </w:rPr>
        <w:t xml:space="preserve"> Posibilidad del reconocimiento judicial junto con los testigos,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i)</w:t>
      </w:r>
      <w:r w:rsidRPr="00E10347">
        <w:rPr>
          <w:rFonts w:ascii="Palatino Linotype" w:hAnsi="Palatino Linotype"/>
          <w:sz w:val="21"/>
          <w:szCs w:val="21"/>
        </w:rPr>
        <w:t xml:space="preserve"> En los casos exigidos por ley que toda la prueba se evacue en el acto del juicio, en el lugar de los hechos -para interdictos-.</w:t>
      </w:r>
    </w:p>
    <w:p w:rsidR="009A5379" w:rsidRDefault="009A5379" w:rsidP="00E10347">
      <w:pPr>
        <w:pStyle w:val="Ttulo3"/>
        <w:spacing w:before="0"/>
        <w:jc w:val="both"/>
        <w:rPr>
          <w:rFonts w:ascii="Palatino Linotype" w:hAnsi="Palatino Linotype" w:cs="Arial"/>
          <w:bCs w:val="0"/>
          <w:color w:val="auto"/>
          <w:sz w:val="21"/>
          <w:szCs w:val="21"/>
          <w:lang w:val="es-CR"/>
        </w:rPr>
      </w:pPr>
    </w:p>
    <w:p w:rsidR="002014CA" w:rsidRPr="00E10347" w:rsidRDefault="002014CA" w:rsidP="00E10347">
      <w:pPr>
        <w:pStyle w:val="Ttulo3"/>
        <w:spacing w:before="0"/>
        <w:jc w:val="both"/>
        <w:rPr>
          <w:rFonts w:ascii="Palatino Linotype" w:hAnsi="Palatino Linotype" w:cs="Arial"/>
          <w:bCs w:val="0"/>
          <w:color w:val="auto"/>
          <w:sz w:val="21"/>
          <w:szCs w:val="21"/>
          <w:lang w:val="es-CR"/>
        </w:rPr>
      </w:pPr>
      <w:r w:rsidRPr="00E10347">
        <w:rPr>
          <w:rFonts w:ascii="Palatino Linotype" w:hAnsi="Palatino Linotype" w:cs="Arial"/>
          <w:bCs w:val="0"/>
          <w:color w:val="auto"/>
          <w:sz w:val="21"/>
          <w:szCs w:val="21"/>
          <w:lang w:val="es-CR"/>
        </w:rPr>
        <w:t>c.- Principio de contradicción de la prueba</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Nadie puede ser condenado -aun en el ámbito civil-, si previamente no se le ha dado el derecho de ofrecer, examinar, atacar la prueba y su contraprueba, es el denominado principio de contradicción de la prueba –art. 41.3 in fine y 2.2 NCPC- o derecho a la prueba constitucional</w:t>
      </w:r>
      <w:r w:rsidRPr="00E10347">
        <w:rPr>
          <w:rStyle w:val="Refdenotaalpie"/>
          <w:rFonts w:ascii="Palatino Linotype" w:hAnsi="Palatino Linotype"/>
          <w:sz w:val="21"/>
          <w:szCs w:val="21"/>
        </w:rPr>
        <w:footnoteReference w:id="172"/>
      </w:r>
      <w:r w:rsidRPr="00E10347">
        <w:rPr>
          <w:rFonts w:ascii="Palatino Linotype" w:hAnsi="Palatino Linotype"/>
          <w:sz w:val="21"/>
          <w:szCs w:val="21"/>
        </w:rPr>
        <w:t>.  Toda prueba puede ser atacada, contraprobada y ponerla en contradicho.</w:t>
      </w:r>
      <w:bookmarkStart w:id="18" w:name="_Toc51557068"/>
      <w:r w:rsidRPr="00E10347">
        <w:rPr>
          <w:rFonts w:ascii="Palatino Linotype" w:hAnsi="Palatino Linotype"/>
          <w:sz w:val="21"/>
          <w:szCs w:val="21"/>
        </w:rPr>
        <w:t xml:space="preserve">  El derecho de defensa de las partes o principio de contradicción, significa, en relación con la actividad probatoria, que las partes y sus defensores han de tener la oportunidad de estar presentes e intervenir en la práctica de cualquier prueba, para interrogar, contrainterrogar a testigos, peritos y las partes, objetar las decisiones e incluso hacer observaciones a los peritos y al acto de reconocimiento judicial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La contradicción y materia probatoria requiere, claro es, la situación de las partes para todos los actos de prueba que hayan de realizarse en el proceso</w:t>
      </w:r>
      <w:r w:rsidRPr="00E10347">
        <w:rPr>
          <w:rFonts w:ascii="Palatino Linotype" w:hAnsi="Palatino Linotype"/>
          <w:sz w:val="21"/>
          <w:szCs w:val="21"/>
          <w:vertAlign w:val="superscript"/>
        </w:rPr>
        <w:footnoteReference w:id="173"/>
      </w:r>
      <w:r w:rsidRPr="00E10347">
        <w:rPr>
          <w:rFonts w:ascii="Palatino Linotype" w:hAnsi="Palatino Linotype"/>
          <w:sz w:val="21"/>
          <w:szCs w:val="21"/>
        </w:rPr>
        <w:t>, y el cumplimiento de este requisito se facilita considerablemente en el NCPC al establecer, como ya se ha dicho, la regla general de que todas las pruebas se practican concentradamente en el acto del juicio o la audiencia única de sumarios, con amplia contradicción entre las partes.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lastRenderedPageBreak/>
        <w:t>Admitida la prueba, surge el derecho de la parte a que la prueba sea practicada, pues, caso contrario, nos hallaremos ante una denegación tácita de la facultad de probar y, consecuentemente, ante una situación de indefensión.  Es necesario que las partes se involucren dentro de la práctica de la prueba, esto quiere decir que tengan intervención, pues así controlan también la práctica de la prueba de la parte contraria y ejercen vigilancia en que el juzgador efectivamente la está evacuando debidamente. Esto es lógico, si tenemos en cuenta que la actividad probatoria, es actividad procesal, es desarrollo de una parte esencial del mismo proceso y, por ende, en ella debe observarse la garantía esencial de intervención de las partes que es la defensa.  Respetada esta garantía simultáneamente para los dos litigantes, es que se habla de la vigencia del principio del contradictorio. Asimismo, debe acotarse que es una facultad del juez solicitar prueba de oficio o para mejor proveer, en la cual también es un derecho de las partes participar en su evacuación, a la hora de su práctica, e incluso como se verá, ofrecer contraprueba a esa prueba oficiosa -arts. 2.2 y 41.3 NCPC “…respetando los principios de contradicción y de concentración”.</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lang w:val="es-MX"/>
        </w:rPr>
        <w:t>La garantía constitucional de la defensa, conlleva el derecho a que la prueba propuesta, admitida y rendida, sea valorada por el tribunal. Se trata de una exigencia implícita al desarrollo de toda actividad defensiva ya no solo probatoria. Por supuesto, que si la prueba no es valorada no tendría ningún sentido el proceso en sí y tampoco el derecho a probar, pues quedaría al arbitrio del juzgador la decisión, tornándose este en arbitraria y parcial, ocasionando con ello una total violación al derecho de la defensa.</w:t>
      </w:r>
    </w:p>
    <w:p w:rsidR="002014CA" w:rsidRPr="00E10347" w:rsidRDefault="002014CA" w:rsidP="00E10347">
      <w:pPr>
        <w:pStyle w:val="Ttulo3"/>
        <w:spacing w:before="0"/>
        <w:jc w:val="both"/>
        <w:rPr>
          <w:rFonts w:ascii="Palatino Linotype" w:hAnsi="Palatino Linotype" w:cs="Arial"/>
          <w:bCs w:val="0"/>
          <w:color w:val="auto"/>
          <w:sz w:val="21"/>
          <w:szCs w:val="21"/>
          <w:lang w:val="es-CR"/>
        </w:rPr>
      </w:pPr>
      <w:r w:rsidRPr="00E10347">
        <w:rPr>
          <w:rFonts w:ascii="Palatino Linotype" w:hAnsi="Palatino Linotype" w:cs="Arial"/>
          <w:bCs w:val="0"/>
          <w:color w:val="auto"/>
          <w:sz w:val="21"/>
          <w:szCs w:val="21"/>
          <w:lang w:val="es-CR"/>
        </w:rPr>
        <w:t>d.- Principio de igualdad</w:t>
      </w:r>
      <w:bookmarkEnd w:id="18"/>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Este principio está vinculado con el de contradicción. El principio de igualdad significa que, a ambas partes se les den las mismas armas y escudos en la prueba, para atacar y defenderse, y que dispongan de idénticas oportunidades para presentar o pedir la práctica de pruebas, persigan o no contradecir las aducidas por la parte</w:t>
      </w:r>
      <w:r w:rsidR="009A5379">
        <w:rPr>
          <w:rFonts w:ascii="Palatino Linotype" w:hAnsi="Palatino Linotype"/>
          <w:sz w:val="21"/>
          <w:szCs w:val="21"/>
        </w:rPr>
        <w:t xml:space="preserve"> </w:t>
      </w:r>
      <w:r w:rsidRPr="00E10347">
        <w:rPr>
          <w:rFonts w:ascii="Palatino Linotype" w:hAnsi="Palatino Linotype"/>
          <w:sz w:val="21"/>
          <w:szCs w:val="21"/>
        </w:rPr>
        <w:t xml:space="preserve"> contraria</w:t>
      </w:r>
      <w:r w:rsidRPr="00E10347">
        <w:rPr>
          <w:rStyle w:val="Refdenotaalpie"/>
          <w:rFonts w:ascii="Palatino Linotype" w:hAnsi="Palatino Linotype"/>
          <w:sz w:val="21"/>
          <w:szCs w:val="21"/>
        </w:rPr>
        <w:footnoteReference w:id="174"/>
      </w:r>
      <w:r w:rsidRPr="00E10347">
        <w:rPr>
          <w:rFonts w:ascii="Palatino Linotype" w:hAnsi="Palatino Linotype"/>
          <w:sz w:val="21"/>
          <w:szCs w:val="21"/>
        </w:rPr>
        <w:t xml:space="preserve"> </w:t>
      </w:r>
      <w:r w:rsidR="009A5379">
        <w:rPr>
          <w:rFonts w:ascii="Palatino Linotype" w:hAnsi="Palatino Linotype"/>
          <w:sz w:val="21"/>
          <w:szCs w:val="21"/>
        </w:rPr>
        <w:t xml:space="preserve"> </w:t>
      </w:r>
      <w:r w:rsidRPr="00E10347">
        <w:rPr>
          <w:rFonts w:ascii="Palatino Linotype" w:hAnsi="Palatino Linotype"/>
          <w:sz w:val="21"/>
          <w:szCs w:val="21"/>
        </w:rPr>
        <w:t xml:space="preserve">-art. </w:t>
      </w:r>
      <w:r w:rsidR="009A5379">
        <w:rPr>
          <w:rFonts w:ascii="Palatino Linotype" w:hAnsi="Palatino Linotype"/>
          <w:sz w:val="21"/>
          <w:szCs w:val="21"/>
        </w:rPr>
        <w:t xml:space="preserve"> </w:t>
      </w:r>
      <w:r w:rsidRPr="00E10347">
        <w:rPr>
          <w:rFonts w:ascii="Palatino Linotype" w:hAnsi="Palatino Linotype"/>
          <w:sz w:val="21"/>
          <w:szCs w:val="21"/>
        </w:rPr>
        <w:t xml:space="preserve">2.1 </w:t>
      </w:r>
      <w:r w:rsidR="009A5379">
        <w:rPr>
          <w:rFonts w:ascii="Palatino Linotype" w:hAnsi="Palatino Linotype"/>
          <w:sz w:val="21"/>
          <w:szCs w:val="21"/>
        </w:rPr>
        <w:t xml:space="preserve"> </w:t>
      </w:r>
      <w:r w:rsidRPr="00E10347">
        <w:rPr>
          <w:rFonts w:ascii="Palatino Linotype" w:hAnsi="Palatino Linotype"/>
          <w:sz w:val="21"/>
          <w:szCs w:val="21"/>
        </w:rPr>
        <w:t xml:space="preserve">y 5.1 NCPC-, incluso para la prueba de oficio -art. 41.3-.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La igualdad que se exige a través de todo el proceso</w:t>
      </w:r>
      <w:r w:rsidRPr="00E10347">
        <w:rPr>
          <w:rStyle w:val="Refdenotaalpie"/>
          <w:rFonts w:ascii="Palatino Linotype" w:hAnsi="Palatino Linotype"/>
          <w:sz w:val="21"/>
          <w:szCs w:val="21"/>
        </w:rPr>
        <w:footnoteReference w:id="175"/>
      </w:r>
      <w:r w:rsidRPr="00E10347">
        <w:rPr>
          <w:rFonts w:ascii="Palatino Linotype" w:hAnsi="Palatino Linotype"/>
          <w:sz w:val="21"/>
          <w:szCs w:val="21"/>
        </w:rPr>
        <w:t xml:space="preserve">, se manifiesta en la </w:t>
      </w:r>
      <w:r w:rsidRPr="00E10347">
        <w:rPr>
          <w:rFonts w:ascii="Palatino Linotype" w:hAnsi="Palatino Linotype"/>
          <w:sz w:val="21"/>
          <w:szCs w:val="21"/>
        </w:rPr>
        <w:lastRenderedPageBreak/>
        <w:t>balanza y equilibrio en la admisión de prueba: para afirmar un hecho debe darse la misma oportunidad para contradecirlo, al admitirse una prueba, debe guardarse el equilibrio y admitirse la de la parte contraria para contradecir aquella, la forma, la técnica de los interrogatorios y la posibilidad de combatir con contraprueba, debe darse en un plano lineal, como dos edificios de la misma altura, sin más y sin menos, el nivel de uno, es el parámetro del otro</w:t>
      </w:r>
      <w:r w:rsidRPr="00E10347">
        <w:rPr>
          <w:rStyle w:val="Refdenotaalpie"/>
          <w:rFonts w:ascii="Palatino Linotype" w:hAnsi="Palatino Linotype"/>
          <w:sz w:val="21"/>
          <w:szCs w:val="21"/>
        </w:rPr>
        <w:footnoteReference w:id="176"/>
      </w:r>
      <w:r w:rsidRPr="00E10347">
        <w:rPr>
          <w:rFonts w:ascii="Palatino Linotype" w:hAnsi="Palatino Linotype"/>
          <w:sz w:val="21"/>
          <w:szCs w:val="21"/>
        </w:rPr>
        <w:t>. Sobre este principio la Sala Constitucional ha dicho: "el principio de igualdad procesal lo que realmente implica es que ambas partes tengan las mismas posibilidades de ataque y defensa, es decir las mismas posibilidades y cargas de alegación, prueba e impugnación</w:t>
      </w:r>
      <w:r w:rsidRPr="00E10347">
        <w:rPr>
          <w:rStyle w:val="Refdenotaalpie"/>
          <w:rFonts w:ascii="Palatino Linotype" w:hAnsi="Palatino Linotype"/>
          <w:sz w:val="21"/>
          <w:szCs w:val="21"/>
        </w:rPr>
        <w:footnoteReference w:id="177"/>
      </w:r>
      <w:r w:rsidRPr="00E10347">
        <w:rPr>
          <w:rFonts w:ascii="Palatino Linotype" w:hAnsi="Palatino Linotype"/>
          <w:sz w:val="21"/>
          <w:szCs w:val="21"/>
        </w:rPr>
        <w:t>.</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Los obstáculos y limitaciones impuestos al ofrecimiento, al acceso de los medios y fuentes de prueba, y los límites impuestos a la evacuación y los mecanismos de evacuación de la prueba, están constitucionalmente prohibidos, si no queremos que el proceso se convierta en un campo de batalla desigualdad de armas, la parte contra quien se opone una prueba debe gozar de oportunidad procesal para conocerla y discutirla, incluyendo en esto el ejercicio de su derecho de contraprobar, es decir que debe llevarse a la causa con conocimiento y audiencia de todas las partes -art. 2.2-. Este, principio rechaza la prueba secreta y el conocimiento del juez privado sobre hechos que no constan en el proceso</w:t>
      </w:r>
      <w:r w:rsidRPr="00E10347">
        <w:rPr>
          <w:rStyle w:val="Refdenotaalpie"/>
          <w:rFonts w:ascii="Palatino Linotype" w:hAnsi="Palatino Linotype"/>
          <w:sz w:val="21"/>
          <w:szCs w:val="21"/>
        </w:rPr>
        <w:footnoteReference w:id="178"/>
      </w:r>
      <w:r w:rsidRPr="00E10347">
        <w:rPr>
          <w:rFonts w:ascii="Palatino Linotype" w:hAnsi="Palatino Linotype"/>
          <w:sz w:val="21"/>
          <w:szCs w:val="21"/>
        </w:rPr>
        <w:t xml:space="preserve">. Sobre éste principio la Sala Constitucional ha dicho: </w:t>
      </w:r>
    </w:p>
    <w:p w:rsidR="002014CA" w:rsidRPr="00E10347" w:rsidRDefault="002014CA" w:rsidP="00E10347">
      <w:pPr>
        <w:ind w:left="567" w:firstLine="709"/>
        <w:jc w:val="both"/>
        <w:rPr>
          <w:rFonts w:ascii="Palatino Linotype" w:hAnsi="Palatino Linotype"/>
          <w:sz w:val="21"/>
          <w:szCs w:val="21"/>
        </w:rPr>
      </w:pPr>
      <w:r w:rsidRPr="00E10347">
        <w:rPr>
          <w:rFonts w:ascii="Palatino Linotype" w:hAnsi="Palatino Linotype"/>
          <w:sz w:val="21"/>
          <w:szCs w:val="21"/>
        </w:rPr>
        <w:t>"es esencial dentro del proceso, a los efectos de darle contenido...a la contradicción y evitar, a toda costa, la indefensión de una de las partes.  Pero el principio de igualdad procesal lo que realmente implica es que ambas partes tengan las mismas posibilidades de ataque y defensa, es decir las mismas posibilidades y cargas de alegación, prueba e impugnación</w:t>
      </w:r>
      <w:r w:rsidRPr="00E10347">
        <w:rPr>
          <w:rStyle w:val="Refdenotaalpie"/>
          <w:rFonts w:ascii="Palatino Linotype" w:hAnsi="Palatino Linotype"/>
          <w:sz w:val="21"/>
          <w:szCs w:val="21"/>
        </w:rPr>
        <w:footnoteReference w:id="179"/>
      </w:r>
      <w:r w:rsidRPr="00E10347">
        <w:rPr>
          <w:rFonts w:ascii="Palatino Linotype" w:hAnsi="Palatino Linotype"/>
          <w:sz w:val="21"/>
          <w:szCs w:val="21"/>
        </w:rPr>
        <w:t xml:space="preserve">. </w:t>
      </w:r>
    </w:p>
    <w:p w:rsidR="009A5379" w:rsidRDefault="009A5379" w:rsidP="00E10347">
      <w:pPr>
        <w:jc w:val="both"/>
        <w:rPr>
          <w:rFonts w:ascii="Palatino Linotype" w:hAnsi="Palatino Linotype"/>
          <w:b/>
          <w:sz w:val="21"/>
          <w:szCs w:val="21"/>
        </w:rPr>
      </w:pP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e.- Principio de publicidad y su manifestación en las pruebas</w:t>
      </w:r>
    </w:p>
    <w:p w:rsidR="002014CA" w:rsidRPr="00E10347" w:rsidRDefault="002014CA" w:rsidP="00E10347">
      <w:pPr>
        <w:tabs>
          <w:tab w:val="left" w:pos="-720"/>
        </w:tabs>
        <w:suppressAutoHyphens/>
        <w:ind w:firstLine="709"/>
        <w:jc w:val="both"/>
        <w:rPr>
          <w:rFonts w:ascii="Palatino Linotype" w:hAnsi="Palatino Linotype"/>
          <w:sz w:val="21"/>
          <w:szCs w:val="21"/>
        </w:rPr>
      </w:pPr>
      <w:r w:rsidRPr="00E10347">
        <w:rPr>
          <w:rFonts w:ascii="Palatino Linotype" w:hAnsi="Palatino Linotype"/>
          <w:sz w:val="21"/>
          <w:szCs w:val="21"/>
        </w:rPr>
        <w:t xml:space="preserve">La publicidad del proceso explica cómo se evacua la prueba y el juicio frente </w:t>
      </w:r>
      <w:r w:rsidRPr="00E10347">
        <w:rPr>
          <w:rFonts w:ascii="Palatino Linotype" w:hAnsi="Palatino Linotype"/>
          <w:sz w:val="21"/>
          <w:szCs w:val="21"/>
        </w:rPr>
        <w:lastRenderedPageBreak/>
        <w:t>al pueblo</w:t>
      </w:r>
      <w:r w:rsidRPr="00E10347">
        <w:rPr>
          <w:rStyle w:val="Refdenotaalpie"/>
          <w:rFonts w:ascii="Palatino Linotype" w:hAnsi="Palatino Linotype"/>
          <w:sz w:val="21"/>
          <w:szCs w:val="21"/>
        </w:rPr>
        <w:footnoteReference w:id="180"/>
      </w:r>
      <w:r w:rsidRPr="00E10347">
        <w:rPr>
          <w:rFonts w:ascii="Palatino Linotype" w:hAnsi="Palatino Linotype"/>
          <w:sz w:val="21"/>
          <w:szCs w:val="21"/>
        </w:rPr>
        <w:t>, y, en segundo lugar, como se resguarda y acceden las partes a las pruebas y al expediente.</w:t>
      </w:r>
    </w:p>
    <w:p w:rsidR="002014CA" w:rsidRPr="00E10347" w:rsidRDefault="002014CA" w:rsidP="00E10347">
      <w:pPr>
        <w:tabs>
          <w:tab w:val="left" w:pos="-720"/>
        </w:tabs>
        <w:suppressAutoHyphens/>
        <w:ind w:firstLine="709"/>
        <w:jc w:val="both"/>
        <w:rPr>
          <w:rFonts w:ascii="Palatino Linotype" w:hAnsi="Palatino Linotype"/>
          <w:sz w:val="21"/>
          <w:szCs w:val="21"/>
        </w:rPr>
      </w:pPr>
      <w:r w:rsidRPr="00E10347">
        <w:rPr>
          <w:rFonts w:ascii="Palatino Linotype" w:hAnsi="Palatino Linotype"/>
          <w:sz w:val="21"/>
          <w:szCs w:val="21"/>
        </w:rPr>
        <w:t xml:space="preserve">Con fines probatorios y al amparo del art. 2.10 y 41 del NCPC el principio de publicidad implica:  </w:t>
      </w:r>
    </w:p>
    <w:p w:rsidR="002014CA" w:rsidRPr="00E10347" w:rsidRDefault="002014CA" w:rsidP="00E10347">
      <w:pPr>
        <w:tabs>
          <w:tab w:val="left" w:pos="-720"/>
        </w:tabs>
        <w:suppressAutoHyphens/>
        <w:ind w:firstLine="709"/>
        <w:jc w:val="both"/>
        <w:rPr>
          <w:rFonts w:ascii="Palatino Linotype" w:hAnsi="Palatino Linotype"/>
          <w:sz w:val="21"/>
          <w:szCs w:val="21"/>
        </w:rPr>
      </w:pPr>
      <w:r w:rsidRPr="00E10347">
        <w:rPr>
          <w:rFonts w:ascii="Palatino Linotype" w:hAnsi="Palatino Linotype"/>
          <w:b/>
          <w:sz w:val="21"/>
          <w:szCs w:val="21"/>
        </w:rPr>
        <w:t>a)</w:t>
      </w:r>
      <w:r w:rsidRPr="00E10347">
        <w:rPr>
          <w:rFonts w:ascii="Palatino Linotype" w:hAnsi="Palatino Linotype"/>
          <w:sz w:val="21"/>
          <w:szCs w:val="21"/>
        </w:rPr>
        <w:t xml:space="preserve"> En la publicidad interna de la prueba significa que debe permitirse a las partes tener libre acceso al proceso para conocer la prueba ofrecida, aportada y cuestionada por las partes.</w:t>
      </w:r>
    </w:p>
    <w:p w:rsidR="002014CA" w:rsidRPr="00E10347" w:rsidRDefault="002014CA" w:rsidP="00E10347">
      <w:pPr>
        <w:tabs>
          <w:tab w:val="left" w:pos="-720"/>
        </w:tabs>
        <w:suppressAutoHyphens/>
        <w:ind w:firstLine="709"/>
        <w:jc w:val="both"/>
        <w:rPr>
          <w:rFonts w:ascii="Palatino Linotype" w:hAnsi="Palatino Linotype"/>
          <w:sz w:val="21"/>
          <w:szCs w:val="21"/>
        </w:rPr>
      </w:pPr>
      <w:r w:rsidRPr="00E10347">
        <w:rPr>
          <w:rFonts w:ascii="Palatino Linotype" w:hAnsi="Palatino Linotype"/>
          <w:b/>
          <w:sz w:val="21"/>
          <w:szCs w:val="21"/>
        </w:rPr>
        <w:t>b)</w:t>
      </w:r>
      <w:r w:rsidRPr="00E10347">
        <w:rPr>
          <w:rFonts w:ascii="Palatino Linotype" w:hAnsi="Palatino Linotype"/>
          <w:sz w:val="21"/>
          <w:szCs w:val="21"/>
        </w:rPr>
        <w:t xml:space="preserve"> Posibilidad de conocer, objetar, discutir y analizar la prueba abiertamente, sin restricciones, para patentizar ante el juez el valor que tiene. </w:t>
      </w:r>
    </w:p>
    <w:p w:rsidR="002014CA" w:rsidRPr="00E10347" w:rsidRDefault="002014CA" w:rsidP="00E10347">
      <w:pPr>
        <w:tabs>
          <w:tab w:val="left" w:pos="-720"/>
        </w:tabs>
        <w:suppressAutoHyphens/>
        <w:ind w:firstLine="709"/>
        <w:jc w:val="both"/>
        <w:rPr>
          <w:rFonts w:ascii="Palatino Linotype" w:hAnsi="Palatino Linotype"/>
          <w:sz w:val="21"/>
          <w:szCs w:val="21"/>
        </w:rPr>
      </w:pPr>
      <w:r w:rsidRPr="00E10347">
        <w:rPr>
          <w:rFonts w:ascii="Palatino Linotype" w:hAnsi="Palatino Linotype"/>
          <w:b/>
          <w:sz w:val="21"/>
          <w:szCs w:val="21"/>
        </w:rPr>
        <w:t>c)</w:t>
      </w:r>
      <w:r w:rsidRPr="00E10347">
        <w:rPr>
          <w:rFonts w:ascii="Palatino Linotype" w:hAnsi="Palatino Linotype"/>
          <w:sz w:val="21"/>
          <w:szCs w:val="21"/>
        </w:rPr>
        <w:t xml:space="preserve"> La publicidad de la prueba conlleva a que no se permita la prueba oculta, como esconder o guardarse sorpresivamente una prueba, el prohibir el acceso de las partes a las pruebas o a las audiencias donde se evacúan las propias y las de la contraria.  Las partes tienen un absoluto acceso a las pruebas, a sus fuentes, a intervenir en su práctica, objetarlas, discutirlas, extraer sin limitaciones sus conclusiones y críticas, para las alegaciones y conclusiones oportunas.  </w:t>
      </w:r>
    </w:p>
    <w:p w:rsidR="002014CA" w:rsidRPr="00E10347" w:rsidRDefault="002014CA" w:rsidP="00E10347">
      <w:pPr>
        <w:tabs>
          <w:tab w:val="left" w:pos="-720"/>
        </w:tabs>
        <w:suppressAutoHyphens/>
        <w:ind w:firstLine="709"/>
        <w:jc w:val="both"/>
        <w:rPr>
          <w:rFonts w:ascii="Palatino Linotype" w:hAnsi="Palatino Linotype"/>
          <w:sz w:val="21"/>
          <w:szCs w:val="21"/>
        </w:rPr>
      </w:pPr>
      <w:r w:rsidRPr="00E10347">
        <w:rPr>
          <w:rFonts w:ascii="Palatino Linotype" w:hAnsi="Palatino Linotype"/>
          <w:b/>
          <w:sz w:val="21"/>
          <w:szCs w:val="21"/>
        </w:rPr>
        <w:t>d)</w:t>
      </w:r>
      <w:r w:rsidRPr="00E10347">
        <w:rPr>
          <w:rFonts w:ascii="Palatino Linotype" w:hAnsi="Palatino Linotype"/>
          <w:sz w:val="21"/>
          <w:szCs w:val="21"/>
        </w:rPr>
        <w:t xml:space="preserve"> El principio de publicidad externa de la prueba significa también, que el examen y las conclusiones del juez sobre la prueba deben ser conocidos por las partes, incluso en el nuevo sistema, por los particulares y el “pueblo” -art. 2.10 NCPC-, estar al alcance de cualquier persona que se interese en ello, cumpliendo así la función social que les corresponde y adquirir el carácter social</w:t>
      </w:r>
      <w:r w:rsidRPr="00E10347">
        <w:rPr>
          <w:rStyle w:val="Refdenotaalpie"/>
          <w:rFonts w:ascii="Palatino Linotype" w:hAnsi="Palatino Linotype"/>
          <w:sz w:val="21"/>
          <w:szCs w:val="21"/>
        </w:rPr>
        <w:footnoteReference w:id="181"/>
      </w:r>
      <w:r w:rsidRPr="00E10347">
        <w:rPr>
          <w:rFonts w:ascii="Palatino Linotype" w:hAnsi="Palatino Linotype"/>
          <w:sz w:val="21"/>
          <w:szCs w:val="21"/>
        </w:rPr>
        <w:t xml:space="preserve">.  </w:t>
      </w:r>
    </w:p>
    <w:p w:rsidR="002014CA" w:rsidRPr="00E10347" w:rsidRDefault="002014CA" w:rsidP="00E10347">
      <w:pPr>
        <w:tabs>
          <w:tab w:val="left" w:pos="-720"/>
        </w:tabs>
        <w:suppressAutoHyphens/>
        <w:ind w:firstLine="709"/>
        <w:jc w:val="both"/>
        <w:rPr>
          <w:rFonts w:ascii="Palatino Linotype" w:hAnsi="Palatino Linotype"/>
          <w:sz w:val="21"/>
          <w:szCs w:val="21"/>
        </w:rPr>
      </w:pPr>
      <w:r w:rsidRPr="00E10347">
        <w:rPr>
          <w:rFonts w:ascii="Palatino Linotype" w:hAnsi="Palatino Linotype"/>
          <w:b/>
          <w:sz w:val="21"/>
          <w:szCs w:val="21"/>
        </w:rPr>
        <w:t>e)</w:t>
      </w:r>
      <w:r w:rsidRPr="00E10347">
        <w:rPr>
          <w:rFonts w:ascii="Palatino Linotype" w:hAnsi="Palatino Linotype"/>
          <w:sz w:val="21"/>
          <w:szCs w:val="21"/>
        </w:rPr>
        <w:t xml:space="preserve"> La publicidad probatoria conduce al derecho de contradecirla ante el juez de la causa, es decir, la parte contra la cual se aduce debe tener la oportunidad procesal de conocerla y contradecirla, el cual surge de la publicidad que tiene lugar cuando las pruebas se solicitan, practican e incorporan al proceso dentro de los términos y oportunidades señalados por la ley.  </w:t>
      </w:r>
    </w:p>
    <w:p w:rsidR="002014CA" w:rsidRPr="00E10347" w:rsidRDefault="002014CA" w:rsidP="00E10347">
      <w:pPr>
        <w:tabs>
          <w:tab w:val="left" w:pos="-720"/>
        </w:tabs>
        <w:suppressAutoHyphens/>
        <w:ind w:firstLine="709"/>
        <w:jc w:val="both"/>
        <w:rPr>
          <w:rFonts w:ascii="Palatino Linotype" w:hAnsi="Palatino Linotype"/>
          <w:sz w:val="21"/>
          <w:szCs w:val="21"/>
        </w:rPr>
      </w:pPr>
      <w:r w:rsidRPr="00E10347">
        <w:rPr>
          <w:rFonts w:ascii="Palatino Linotype" w:hAnsi="Palatino Linotype"/>
          <w:b/>
          <w:sz w:val="21"/>
          <w:szCs w:val="21"/>
        </w:rPr>
        <w:t>f)</w:t>
      </w:r>
      <w:r w:rsidRPr="00E10347">
        <w:rPr>
          <w:rFonts w:ascii="Palatino Linotype" w:hAnsi="Palatino Linotype"/>
          <w:sz w:val="21"/>
          <w:szCs w:val="21"/>
        </w:rPr>
        <w:t xml:space="preserve"> El derecho de la parte de hacerse representar, ante el juez, por cualquier abogado en las audiencias orales de prueba, aun cuando no tenga poder, incluso interrogar al testigo y declarante, cuando no teniendo poder, la parte a que representa le autoriza para ello.</w:t>
      </w:r>
    </w:p>
    <w:p w:rsidR="009A5379" w:rsidRDefault="009A5379" w:rsidP="00E10347">
      <w:pPr>
        <w:jc w:val="both"/>
        <w:rPr>
          <w:rFonts w:ascii="Palatino Linotype" w:hAnsi="Palatino Linotype"/>
          <w:b/>
          <w:sz w:val="21"/>
          <w:szCs w:val="21"/>
        </w:rPr>
      </w:pP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f.- La excepción a la publicidad y audiencias “privadas”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Los tres únicos supuestos de una prueba que eventualmente podría ser absolutamente privada son: </w:t>
      </w:r>
      <w:r w:rsidRPr="00E10347">
        <w:rPr>
          <w:rFonts w:ascii="Palatino Linotype" w:hAnsi="Palatino Linotype"/>
          <w:b/>
          <w:sz w:val="21"/>
          <w:szCs w:val="21"/>
        </w:rPr>
        <w:t>a)</w:t>
      </w:r>
      <w:r w:rsidRPr="00E10347">
        <w:rPr>
          <w:rFonts w:ascii="Palatino Linotype" w:hAnsi="Palatino Linotype"/>
          <w:sz w:val="21"/>
          <w:szCs w:val="21"/>
        </w:rPr>
        <w:t xml:space="preserve"> cuando se practique reconocimiento a una persona y el acto pueda afectar su pudor u honestidad -art. 46.2.5 NCPC</w:t>
      </w:r>
      <w:r w:rsidRPr="00E10347">
        <w:rPr>
          <w:rStyle w:val="Refdenotaalpie"/>
          <w:rFonts w:ascii="Palatino Linotype" w:hAnsi="Palatino Linotype"/>
          <w:sz w:val="21"/>
          <w:szCs w:val="21"/>
        </w:rPr>
        <w:footnoteReference w:id="182"/>
      </w:r>
      <w:r w:rsidRPr="00E10347">
        <w:rPr>
          <w:rFonts w:ascii="Palatino Linotype" w:hAnsi="Palatino Linotype"/>
          <w:sz w:val="21"/>
          <w:szCs w:val="21"/>
        </w:rPr>
        <w:t xml:space="preserve">-, en cuyo caso puede practicarse sin la presencia de las partes o defensores -también previsto en materia de familia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b)</w:t>
      </w:r>
      <w:r w:rsidRPr="00E10347">
        <w:rPr>
          <w:rFonts w:ascii="Palatino Linotype" w:hAnsi="Palatino Linotype"/>
          <w:sz w:val="21"/>
          <w:szCs w:val="21"/>
        </w:rPr>
        <w:t xml:space="preserve"> Cuando se trate de prueba declaración -de parte o testimonial- domiciliaria, a que se refiere el art. 41.4.7, que deberá usarse de carácter muy excepcional, y aun estos supuestos “se pondrán a conocimiento de las partes las respuestas obtenidas, para que soliciten las aclaraciones o adiciones que estimen necesarias”, por lo que aun este caso el acceso a la declaración es abierto, público, para la parte, que puede pedir aclaraciones o adiciones;</w:t>
      </w:r>
    </w:p>
    <w:p w:rsidR="002014CA" w:rsidRPr="00E10347" w:rsidRDefault="002014CA" w:rsidP="00E10347">
      <w:pPr>
        <w:ind w:firstLine="709"/>
        <w:jc w:val="both"/>
        <w:rPr>
          <w:rFonts w:ascii="Palatino Linotype" w:hAnsi="Palatino Linotype"/>
          <w:b/>
          <w:sz w:val="21"/>
          <w:szCs w:val="21"/>
        </w:rPr>
      </w:pPr>
      <w:r w:rsidRPr="00E10347">
        <w:rPr>
          <w:rFonts w:ascii="Palatino Linotype" w:hAnsi="Palatino Linotype"/>
          <w:b/>
          <w:sz w:val="21"/>
          <w:szCs w:val="21"/>
        </w:rPr>
        <w:t>c)</w:t>
      </w:r>
      <w:r w:rsidRPr="00E10347">
        <w:rPr>
          <w:rFonts w:ascii="Palatino Linotype" w:hAnsi="Palatino Linotype"/>
          <w:sz w:val="21"/>
          <w:szCs w:val="21"/>
        </w:rPr>
        <w:t xml:space="preserve"> El ejercicio deliberativo y redacción del informe pericial, pues corresponde al perito oficial meditarlo, motivarlo, redactarlo y presentarlo, sin participación de las partes.  Es el informe, una vez presentado, el que luego tiene publicidad interna y audiencia entre las partes, por lo que siempre será privada la elaboración del peritaje escrito que presentará el perito oficial al proceso, de manera que la preparación y redacción del informe pericial oficial deberá hacerse privadamente, no está permitido que en la elaboración del peritaje oficial participen las partes o sus consultores.  Hay una excepción en el CPP, que infra consideramos puede permitirse en materia civil, que es la participación en los ejercicios periciales, es decir la práctica de las operaciones que realice el perito -art. 217 CPP-.</w:t>
      </w:r>
    </w:p>
    <w:p w:rsidR="002014CA" w:rsidRPr="00E10347" w:rsidRDefault="002014CA" w:rsidP="00E10347">
      <w:pPr>
        <w:ind w:firstLine="709"/>
        <w:jc w:val="both"/>
        <w:rPr>
          <w:rFonts w:ascii="Palatino Linotype" w:hAnsi="Palatino Linotype"/>
          <w:bCs/>
          <w:sz w:val="21"/>
          <w:szCs w:val="21"/>
        </w:rPr>
      </w:pPr>
      <w:r w:rsidRPr="00E10347">
        <w:rPr>
          <w:rFonts w:ascii="Palatino Linotype" w:hAnsi="Palatino Linotype"/>
          <w:sz w:val="21"/>
          <w:szCs w:val="21"/>
        </w:rPr>
        <w:t>En cuanto a la publicidad externa, para fines probatorios o de audiencias, c</w:t>
      </w:r>
      <w:r w:rsidRPr="00E10347">
        <w:rPr>
          <w:rFonts w:ascii="Palatino Linotype" w:hAnsi="Palatino Linotype"/>
          <w:bCs/>
          <w:sz w:val="21"/>
          <w:szCs w:val="21"/>
        </w:rPr>
        <w:t>onforme al art. 1.10 NCPC, la regla de la publicidad no es absoluta, incluso en materia penal que se pregona el principio con más fuerza</w:t>
      </w:r>
      <w:r w:rsidRPr="00E10347">
        <w:rPr>
          <w:rStyle w:val="Refdenotaalpie"/>
          <w:rFonts w:ascii="Palatino Linotype" w:hAnsi="Palatino Linotype"/>
          <w:sz w:val="21"/>
          <w:szCs w:val="21"/>
        </w:rPr>
        <w:footnoteReference w:id="183"/>
      </w:r>
      <w:r w:rsidRPr="00E10347">
        <w:rPr>
          <w:rFonts w:ascii="Palatino Linotype" w:hAnsi="Palatino Linotype"/>
          <w:bCs/>
          <w:sz w:val="21"/>
          <w:szCs w:val="21"/>
        </w:rPr>
        <w:t xml:space="preserve">. Estas son algunas </w:t>
      </w:r>
      <w:r w:rsidRPr="00E10347">
        <w:rPr>
          <w:rFonts w:ascii="Palatino Linotype" w:hAnsi="Palatino Linotype"/>
          <w:bCs/>
          <w:sz w:val="21"/>
          <w:szCs w:val="21"/>
        </w:rPr>
        <w:lastRenderedPageBreak/>
        <w:t>excepciones consagradas en el texto legal, que tienen su origen en el PIDCP</w:t>
      </w:r>
      <w:r w:rsidRPr="00E10347">
        <w:rPr>
          <w:rStyle w:val="Refdenotaalpie"/>
          <w:rFonts w:ascii="Palatino Linotype" w:hAnsi="Palatino Linotype"/>
          <w:sz w:val="21"/>
          <w:szCs w:val="21"/>
        </w:rPr>
        <w:footnoteReference w:id="184"/>
      </w:r>
      <w:r w:rsidRPr="00E10347">
        <w:rPr>
          <w:rFonts w:ascii="Palatino Linotype" w:hAnsi="Palatino Linotype"/>
          <w:bCs/>
          <w:sz w:val="21"/>
          <w:szCs w:val="21"/>
        </w:rPr>
        <w:t>, incluso algunos autores sugieren que la publicidad interna no se justifica en materia civil</w:t>
      </w:r>
      <w:r w:rsidRPr="00E10347">
        <w:rPr>
          <w:rStyle w:val="Refdenotaalpie"/>
          <w:rFonts w:ascii="Palatino Linotype" w:hAnsi="Palatino Linotype"/>
          <w:sz w:val="21"/>
          <w:szCs w:val="21"/>
        </w:rPr>
        <w:footnoteReference w:id="185"/>
      </w:r>
      <w:r w:rsidRPr="00E10347">
        <w:rPr>
          <w:rFonts w:ascii="Palatino Linotype" w:hAnsi="Palatino Linotype"/>
          <w:bCs/>
          <w:sz w:val="21"/>
          <w:szCs w:val="21"/>
        </w:rPr>
        <w:t xml:space="preserve">, veamos:  </w:t>
      </w:r>
    </w:p>
    <w:p w:rsidR="002014CA" w:rsidRPr="00E10347" w:rsidRDefault="002014CA" w:rsidP="00E10347">
      <w:pPr>
        <w:ind w:firstLine="709"/>
        <w:jc w:val="both"/>
        <w:rPr>
          <w:rFonts w:ascii="Palatino Linotype" w:hAnsi="Palatino Linotype"/>
          <w:bCs/>
          <w:sz w:val="21"/>
          <w:szCs w:val="21"/>
        </w:rPr>
      </w:pPr>
      <w:r w:rsidRPr="00E10347">
        <w:rPr>
          <w:rFonts w:ascii="Palatino Linotype" w:hAnsi="Palatino Linotype"/>
          <w:b/>
          <w:sz w:val="21"/>
          <w:szCs w:val="21"/>
        </w:rPr>
        <w:t xml:space="preserve">a) </w:t>
      </w:r>
      <w:r w:rsidRPr="00E10347">
        <w:rPr>
          <w:rFonts w:ascii="Palatino Linotype" w:hAnsi="Palatino Linotype"/>
          <w:sz w:val="21"/>
          <w:szCs w:val="21"/>
        </w:rPr>
        <w:t xml:space="preserve">Históricamente los procesos civiles, especialmente en tema de acceso al expediente físico y la evacuación de la prueba se regía por el secreto o privacidad.  En nuestro país solo era una excepción la prueba testimonial, si lo consentían las partes y el juez, se permitía la participación de estudiantes de derecho.  Hoy, con el NCPC, la regla como dijimos, se ha invertido y la práctica de la prueba y las audiencias se rige por el principio de publicidad como vimos.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bCs/>
          <w:sz w:val="21"/>
          <w:szCs w:val="21"/>
        </w:rPr>
        <w:t>b)</w:t>
      </w:r>
      <w:r w:rsidRPr="00E10347">
        <w:rPr>
          <w:rFonts w:ascii="Palatino Linotype" w:hAnsi="Palatino Linotype"/>
          <w:bCs/>
          <w:sz w:val="21"/>
          <w:szCs w:val="21"/>
        </w:rPr>
        <w:t xml:space="preserve"> La primera gran excepción a la publicidad, con fines probatorios es el acceso al expediente físico o digital del proceso.   Conforme al art. 25.4 NCPC</w:t>
      </w:r>
      <w:r w:rsidRPr="00E10347">
        <w:rPr>
          <w:rFonts w:ascii="Palatino Linotype" w:hAnsi="Palatino Linotype"/>
          <w:b/>
          <w:sz w:val="21"/>
          <w:szCs w:val="21"/>
        </w:rPr>
        <w:t xml:space="preserve">  “</w:t>
      </w:r>
      <w:r w:rsidRPr="00E10347">
        <w:rPr>
          <w:rFonts w:ascii="Palatino Linotype" w:hAnsi="Palatino Linotype"/>
          <w:sz w:val="21"/>
          <w:szCs w:val="21"/>
        </w:rPr>
        <w:t>Todo expediente será de acceso a</w:t>
      </w:r>
      <w:r w:rsidRPr="00E10347">
        <w:rPr>
          <w:rFonts w:ascii="Palatino Linotype" w:hAnsi="Palatino Linotype"/>
          <w:bCs/>
          <w:sz w:val="21"/>
          <w:szCs w:val="21"/>
        </w:rPr>
        <w:t xml:space="preserve"> </w:t>
      </w:r>
      <w:r w:rsidRPr="00E10347">
        <w:rPr>
          <w:rFonts w:ascii="Palatino Linotype" w:hAnsi="Palatino Linotype"/>
          <w:sz w:val="21"/>
          <w:szCs w:val="21"/>
        </w:rPr>
        <w:t>las partes, los abogados, los asistentes del abogado director debidamente</w:t>
      </w:r>
      <w:r w:rsidRPr="00E10347">
        <w:rPr>
          <w:rFonts w:ascii="Palatino Linotype" w:hAnsi="Palatino Linotype"/>
          <w:bCs/>
          <w:sz w:val="21"/>
          <w:szCs w:val="21"/>
        </w:rPr>
        <w:t xml:space="preserve"> </w:t>
      </w:r>
      <w:r w:rsidRPr="00E10347">
        <w:rPr>
          <w:rFonts w:ascii="Palatino Linotype" w:hAnsi="Palatino Linotype"/>
          <w:sz w:val="21"/>
          <w:szCs w:val="21"/>
        </w:rPr>
        <w:t>autorizados por este y a quienes la ley les otorgue esa facultad”, de manera que la prueba documental o por medio técnicos, que no sea de declaración no hay acceso ilimitado.  Quizás una excepción de la excepción es la que tienen los peritos o sus auxiliares, cuando requieran alguna documentación o información con conste en el expediente.</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bCs/>
          <w:sz w:val="21"/>
          <w:szCs w:val="21"/>
        </w:rPr>
        <w:t>c)</w:t>
      </w:r>
      <w:r w:rsidRPr="00E10347">
        <w:rPr>
          <w:rFonts w:ascii="Palatino Linotype" w:hAnsi="Palatino Linotype"/>
          <w:bCs/>
          <w:sz w:val="21"/>
          <w:szCs w:val="21"/>
        </w:rPr>
        <w:t xml:space="preserve"> El art. 2.10 NCPC</w:t>
      </w:r>
      <w:r w:rsidRPr="00E10347">
        <w:rPr>
          <w:rStyle w:val="Refdenotaalpie"/>
          <w:rFonts w:ascii="Palatino Linotype" w:hAnsi="Palatino Linotype"/>
          <w:sz w:val="21"/>
          <w:szCs w:val="21"/>
        </w:rPr>
        <w:footnoteReference w:id="186"/>
      </w:r>
      <w:r w:rsidRPr="00E10347">
        <w:rPr>
          <w:rFonts w:ascii="Palatino Linotype" w:hAnsi="Palatino Linotype"/>
          <w:bCs/>
          <w:sz w:val="21"/>
          <w:szCs w:val="21"/>
        </w:rPr>
        <w:t xml:space="preserve"> contempla otros tres supuestos de excepción a la regla de publicidad: </w:t>
      </w:r>
      <w:r w:rsidRPr="00E10347">
        <w:rPr>
          <w:rFonts w:ascii="Palatino Linotype" w:hAnsi="Palatino Linotype"/>
          <w:sz w:val="21"/>
          <w:szCs w:val="21"/>
        </w:rPr>
        <w:t xml:space="preserve">cuando por circunstancias especiales se puedan perjudicar los intereses de la justicia, los intereses privados de las partes –cuando pueda </w:t>
      </w:r>
      <w:r w:rsidRPr="00E10347">
        <w:rPr>
          <w:rFonts w:ascii="Palatino Linotype" w:hAnsi="Palatino Linotype"/>
          <w:sz w:val="21"/>
          <w:szCs w:val="21"/>
        </w:rPr>
        <w:lastRenderedPageBreak/>
        <w:t>comprometer seriamente el secreto comercial o la información no divulgada</w:t>
      </w:r>
      <w:r w:rsidRPr="00E10347">
        <w:rPr>
          <w:rStyle w:val="Refdenotaalpie"/>
          <w:rFonts w:ascii="Palatino Linotype" w:hAnsi="Palatino Linotype"/>
          <w:sz w:val="21"/>
          <w:szCs w:val="21"/>
        </w:rPr>
        <w:footnoteReference w:id="187"/>
      </w:r>
      <w:r w:rsidRPr="00E10347">
        <w:rPr>
          <w:rFonts w:ascii="Palatino Linotype" w:hAnsi="Palatino Linotype"/>
          <w:sz w:val="21"/>
          <w:szCs w:val="21"/>
        </w:rPr>
        <w:t>, por analogía art. 45.4 NCPC- o los derechos fundamentales de los sujetos procesales.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d)</w:t>
      </w:r>
      <w:r w:rsidRPr="00E10347">
        <w:rPr>
          <w:rFonts w:ascii="Palatino Linotype" w:hAnsi="Palatino Linotype"/>
          <w:sz w:val="21"/>
          <w:szCs w:val="21"/>
        </w:rPr>
        <w:t xml:space="preserve"> Otra excepción está contenida y repetida en los artículos </w:t>
      </w:r>
      <w:r w:rsidRPr="00E10347">
        <w:rPr>
          <w:rFonts w:ascii="Palatino Linotype" w:hAnsi="Palatino Linotype"/>
          <w:bCs/>
          <w:sz w:val="21"/>
          <w:szCs w:val="21"/>
        </w:rPr>
        <w:t xml:space="preserve">50.6 y 60.2 referente a la deliberación en las sentencias, según los cuales, la </w:t>
      </w:r>
      <w:r w:rsidRPr="00E10347">
        <w:rPr>
          <w:rFonts w:ascii="Palatino Linotype" w:hAnsi="Palatino Linotype"/>
          <w:sz w:val="21"/>
          <w:szCs w:val="21"/>
        </w:rPr>
        <w:t>deliberación para resolver será siempre secreta y el tribunal, cuando lo estime necesario, analizará si se retira de la sala de audiencia”, por lo que labor de análisis y valoración de la prueba, realizada intelectivamente por el tribunal en pleno o en la deliberación interna del juez unipersonal, se debe hacer de manera secreta, privadamente.</w:t>
      </w:r>
    </w:p>
    <w:p w:rsidR="009A5379" w:rsidRDefault="009A5379" w:rsidP="00E10347">
      <w:pPr>
        <w:jc w:val="both"/>
        <w:rPr>
          <w:rFonts w:ascii="Palatino Linotype" w:hAnsi="Palatino Linotype"/>
          <w:b/>
          <w:sz w:val="21"/>
          <w:szCs w:val="21"/>
        </w:rPr>
      </w:pP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g.- Principio de libertad probatoria</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Para que la prueba cumpla su fin de lograr la convicción del juez sobre la existencia o inexistencia de los hechos que interesan al proceso, en forma que se ajuste  a la realidad, es indispensable otorgar libertad para que las partes y el juez puedan  obtener todas las que sean pertinentes, con la única limitación de aquellas que por razones de moralidad versen sobre hechos que la ley no permite investigar</w:t>
      </w:r>
      <w:r w:rsidRPr="00E10347">
        <w:rPr>
          <w:rStyle w:val="Refdenotaalpie"/>
          <w:rFonts w:ascii="Palatino Linotype" w:hAnsi="Palatino Linotype"/>
          <w:sz w:val="21"/>
          <w:szCs w:val="21"/>
        </w:rPr>
        <w:footnoteReference w:id="188"/>
      </w:r>
      <w:r w:rsidRPr="00E10347">
        <w:rPr>
          <w:rFonts w:ascii="Palatino Linotype" w:hAnsi="Palatino Linotype"/>
          <w:sz w:val="21"/>
          <w:szCs w:val="21"/>
        </w:rPr>
        <w:t>, la ilícita, las que se refiera a hechos admitidos expresamente</w:t>
      </w:r>
      <w:r w:rsidRPr="00E10347">
        <w:rPr>
          <w:rStyle w:val="Refdenotaalpie"/>
          <w:rFonts w:ascii="Palatino Linotype" w:hAnsi="Palatino Linotype"/>
          <w:sz w:val="21"/>
          <w:szCs w:val="21"/>
        </w:rPr>
        <w:footnoteReference w:id="189"/>
      </w:r>
      <w:r w:rsidRPr="00E10347">
        <w:rPr>
          <w:rFonts w:ascii="Palatino Linotype" w:hAnsi="Palatino Linotype"/>
          <w:sz w:val="21"/>
          <w:szCs w:val="21"/>
        </w:rPr>
        <w:t xml:space="preserve"> o que deban tenerse como tales conforme a la ley, amparados a una presunción absoluta, evidentes o notorios, así como la impertinente, excesiva, inconducente o ilegal -art. 41.3 NCPC-.</w:t>
      </w:r>
    </w:p>
    <w:p w:rsidR="002014CA" w:rsidRPr="00E10347" w:rsidRDefault="002014CA" w:rsidP="00E10347">
      <w:pPr>
        <w:pStyle w:val="Ttulo3"/>
        <w:spacing w:before="0"/>
        <w:jc w:val="both"/>
        <w:rPr>
          <w:rFonts w:ascii="Palatino Linotype" w:hAnsi="Palatino Linotype" w:cs="Arial"/>
          <w:bCs w:val="0"/>
          <w:color w:val="auto"/>
          <w:sz w:val="21"/>
          <w:szCs w:val="21"/>
        </w:rPr>
      </w:pPr>
      <w:r w:rsidRPr="00E10347">
        <w:rPr>
          <w:rFonts w:ascii="Palatino Linotype" w:hAnsi="Palatino Linotype" w:cs="Arial"/>
          <w:bCs w:val="0"/>
          <w:color w:val="auto"/>
          <w:sz w:val="21"/>
          <w:szCs w:val="21"/>
        </w:rPr>
        <w:lastRenderedPageBreak/>
        <w:t xml:space="preserve">h.- Principio de legitimidad, legalidad o licitud </w:t>
      </w:r>
    </w:p>
    <w:p w:rsidR="002014CA" w:rsidRPr="00E10347" w:rsidRDefault="002014CA" w:rsidP="00E10347">
      <w:pPr>
        <w:pStyle w:val="Ttulo3"/>
        <w:spacing w:before="0"/>
        <w:ind w:firstLine="709"/>
        <w:jc w:val="both"/>
        <w:rPr>
          <w:rFonts w:ascii="Palatino Linotype" w:hAnsi="Palatino Linotype" w:cs="Arial"/>
          <w:b w:val="0"/>
          <w:color w:val="auto"/>
          <w:sz w:val="21"/>
          <w:szCs w:val="21"/>
          <w:lang w:val="es-CR"/>
        </w:rPr>
      </w:pPr>
      <w:r w:rsidRPr="00E10347">
        <w:rPr>
          <w:rFonts w:ascii="Palatino Linotype" w:hAnsi="Palatino Linotype" w:cs="Arial"/>
          <w:b w:val="0"/>
          <w:color w:val="auto"/>
          <w:sz w:val="21"/>
          <w:szCs w:val="21"/>
          <w:lang w:val="es-CR"/>
        </w:rPr>
        <w:t xml:space="preserve">El numeral 41.3 NCPC manda a rechazar la prueba que sea “ilegal” y el 69.2.5 permite la anulación de una sentencia en casación, por “Haberse fundado en medios probatorios ilegítimos o introducidos ilegalmente al proceso”.  </w:t>
      </w:r>
    </w:p>
    <w:p w:rsidR="002014CA" w:rsidRPr="00E10347" w:rsidRDefault="002014CA" w:rsidP="00E10347">
      <w:pPr>
        <w:pStyle w:val="Ttulo3"/>
        <w:spacing w:before="0"/>
        <w:ind w:firstLine="709"/>
        <w:jc w:val="both"/>
        <w:rPr>
          <w:rFonts w:ascii="Palatino Linotype" w:hAnsi="Palatino Linotype" w:cs="Arial"/>
          <w:b w:val="0"/>
          <w:color w:val="auto"/>
          <w:sz w:val="21"/>
          <w:szCs w:val="21"/>
          <w:lang w:val="es-CR"/>
        </w:rPr>
      </w:pPr>
      <w:r w:rsidRPr="00E10347">
        <w:rPr>
          <w:rFonts w:ascii="Palatino Linotype" w:hAnsi="Palatino Linotype" w:cs="Arial"/>
          <w:b w:val="0"/>
          <w:color w:val="auto"/>
          <w:sz w:val="21"/>
          <w:szCs w:val="21"/>
          <w:lang w:val="es-CR"/>
        </w:rPr>
        <w:t>Estas normas tienen su sustento en el principio de licitud de la prueba, según el cual para que la prueba sea admisible y valorada debe ser licita, lo que rechaza la prueba ilícita o contaminada, obtenida de manera fraudulenta y, en consecuencia, la prohibición de incorporar prueba que no se haya logrado por medios ilegales, indebidos o de manera subrepticia y espuria.</w:t>
      </w:r>
    </w:p>
    <w:p w:rsidR="002014CA" w:rsidRPr="00E10347" w:rsidRDefault="002014CA" w:rsidP="00E10347">
      <w:pPr>
        <w:pStyle w:val="Ttulo3"/>
        <w:spacing w:before="0"/>
        <w:ind w:firstLine="709"/>
        <w:jc w:val="both"/>
        <w:rPr>
          <w:rFonts w:ascii="Palatino Linotype" w:hAnsi="Palatino Linotype" w:cs="Arial"/>
          <w:b w:val="0"/>
          <w:bCs w:val="0"/>
          <w:color w:val="auto"/>
          <w:sz w:val="21"/>
          <w:szCs w:val="21"/>
          <w:lang w:val="es-CR"/>
        </w:rPr>
      </w:pPr>
      <w:r w:rsidRPr="00E10347">
        <w:rPr>
          <w:rFonts w:ascii="Palatino Linotype" w:hAnsi="Palatino Linotype" w:cs="Arial"/>
          <w:b w:val="0"/>
          <w:color w:val="auto"/>
          <w:sz w:val="21"/>
          <w:szCs w:val="21"/>
          <w:lang w:val="es-CR"/>
        </w:rPr>
        <w:t>La prueba ilícita o prohibida se ha definido como aquellas que se ha obtenido o valorado con vulneración de derechos constitucionales y legales, e implican un perjuicio real y efectivo para alguna de las partes del proceso</w:t>
      </w:r>
      <w:r w:rsidRPr="00E10347">
        <w:rPr>
          <w:rStyle w:val="Refdenotaalpie"/>
          <w:rFonts w:ascii="Palatino Linotype" w:hAnsi="Palatino Linotype" w:cs="Arial"/>
          <w:color w:val="auto"/>
          <w:sz w:val="21"/>
          <w:szCs w:val="21"/>
          <w:lang w:val="es-CR"/>
        </w:rPr>
        <w:footnoteReference w:id="190"/>
      </w:r>
      <w:r w:rsidRPr="00E10347">
        <w:rPr>
          <w:rFonts w:ascii="Palatino Linotype" w:hAnsi="Palatino Linotype" w:cs="Arial"/>
          <w:b w:val="0"/>
          <w:color w:val="auto"/>
          <w:sz w:val="21"/>
          <w:szCs w:val="21"/>
          <w:lang w:val="es-CR"/>
        </w:rPr>
        <w:t>; o bien, cuando el modo de adquisición, su ofrecimiento o su producción y efectos</w:t>
      </w:r>
      <w:r w:rsidRPr="00E10347">
        <w:rPr>
          <w:rStyle w:val="Refdenotaalpie"/>
          <w:rFonts w:ascii="Palatino Linotype" w:hAnsi="Palatino Linotype" w:cs="Arial"/>
          <w:color w:val="auto"/>
          <w:sz w:val="21"/>
          <w:szCs w:val="21"/>
          <w:lang w:val="es-CR"/>
        </w:rPr>
        <w:footnoteReference w:id="191"/>
      </w:r>
      <w:r w:rsidRPr="00E10347">
        <w:rPr>
          <w:rFonts w:ascii="Palatino Linotype" w:hAnsi="Palatino Linotype" w:cs="Arial"/>
          <w:b w:val="0"/>
          <w:color w:val="auto"/>
          <w:sz w:val="21"/>
          <w:szCs w:val="21"/>
          <w:lang w:val="es-CR"/>
        </w:rPr>
        <w:t xml:space="preserve"> en la sentencia traspasa el límite que el ordenamiento jurídico o el conocimiento científico han fijado.  </w:t>
      </w:r>
      <w:r w:rsidRPr="00E10347">
        <w:rPr>
          <w:rFonts w:ascii="Palatino Linotype" w:hAnsi="Palatino Linotype" w:cs="Arial"/>
          <w:b w:val="0"/>
          <w:bCs w:val="0"/>
          <w:color w:val="auto"/>
          <w:sz w:val="21"/>
          <w:szCs w:val="21"/>
          <w:lang w:val="es-CR"/>
        </w:rPr>
        <w:t xml:space="preserve">El proceso judicial debe estar dotado de realismo, no de impurezas o elementos que contaminen sus fuentes.  </w:t>
      </w:r>
    </w:p>
    <w:p w:rsidR="002014CA" w:rsidRPr="00E10347" w:rsidRDefault="002014CA" w:rsidP="00E10347">
      <w:pPr>
        <w:pStyle w:val="Ttulo3"/>
        <w:spacing w:before="0"/>
        <w:ind w:firstLine="709"/>
        <w:jc w:val="both"/>
        <w:rPr>
          <w:rFonts w:ascii="Palatino Linotype" w:hAnsi="Palatino Linotype" w:cs="Arial"/>
          <w:b w:val="0"/>
          <w:bCs w:val="0"/>
          <w:color w:val="auto"/>
          <w:sz w:val="21"/>
          <w:szCs w:val="21"/>
          <w:lang w:val="es-CR"/>
        </w:rPr>
      </w:pPr>
      <w:r w:rsidRPr="00E10347">
        <w:rPr>
          <w:rFonts w:ascii="Palatino Linotype" w:hAnsi="Palatino Linotype" w:cs="Arial"/>
          <w:b w:val="0"/>
          <w:bCs w:val="0"/>
          <w:color w:val="auto"/>
          <w:sz w:val="21"/>
          <w:szCs w:val="21"/>
          <w:lang w:val="es-CR"/>
        </w:rPr>
        <w:t>Si una prueba se obtiene de manera ilícita, oculta, mediante engaño, no puede formar parte del acervo probatorio, es una negación de prueba. Sería tanto como tomar agua contaminada, que se sabe va a dañar el organismo procesal.  Por eso no son válidas, serían ilícita, carecen de cualquier valor y efecto, las pruebas obtenidas mediante fraude, tortura de cualquier naturaleza</w:t>
      </w:r>
      <w:r w:rsidRPr="00E10347">
        <w:rPr>
          <w:rStyle w:val="Refdenotaalpie"/>
          <w:rFonts w:ascii="Palatino Linotype" w:hAnsi="Palatino Linotype" w:cs="Arial"/>
          <w:color w:val="auto"/>
          <w:sz w:val="21"/>
          <w:szCs w:val="21"/>
          <w:lang w:val="es-CR"/>
        </w:rPr>
        <w:footnoteReference w:id="192"/>
      </w:r>
      <w:r w:rsidRPr="00E10347">
        <w:rPr>
          <w:rFonts w:ascii="Palatino Linotype" w:hAnsi="Palatino Linotype" w:cs="Arial"/>
          <w:b w:val="0"/>
          <w:bCs w:val="0"/>
          <w:color w:val="auto"/>
          <w:sz w:val="21"/>
          <w:szCs w:val="21"/>
          <w:lang w:val="es-CR"/>
        </w:rPr>
        <w:t>, presión sicológica o física, engaño, grabaciones ocultas o sin cumplir los cauces legales</w:t>
      </w:r>
      <w:r w:rsidRPr="00E10347">
        <w:rPr>
          <w:rFonts w:ascii="Palatino Linotype" w:hAnsi="Palatino Linotype" w:cs="Arial"/>
          <w:b w:val="0"/>
          <w:color w:val="auto"/>
          <w:sz w:val="21"/>
          <w:szCs w:val="21"/>
          <w:lang w:val="es-CR"/>
        </w:rPr>
        <w:t>, posición que sostiene también nuestra jurisprudencia</w:t>
      </w:r>
      <w:r w:rsidRPr="00E10347">
        <w:rPr>
          <w:rStyle w:val="Refdenotaalpie"/>
          <w:rFonts w:ascii="Palatino Linotype" w:hAnsi="Palatino Linotype" w:cs="Arial"/>
          <w:color w:val="auto"/>
          <w:sz w:val="21"/>
          <w:szCs w:val="21"/>
          <w:lang w:val="es-CR"/>
        </w:rPr>
        <w:footnoteReference w:id="193"/>
      </w:r>
      <w:r w:rsidRPr="00E10347">
        <w:rPr>
          <w:rFonts w:ascii="Palatino Linotype" w:hAnsi="Palatino Linotype" w:cs="Arial"/>
          <w:b w:val="0"/>
          <w:color w:val="auto"/>
          <w:sz w:val="21"/>
          <w:szCs w:val="21"/>
          <w:lang w:val="es-CR"/>
        </w:rPr>
        <w:t xml:space="preserve"> constitucional, que ha señalado</w:t>
      </w:r>
      <w:r w:rsidRPr="00E10347">
        <w:rPr>
          <w:rFonts w:ascii="Palatino Linotype" w:hAnsi="Palatino Linotype" w:cs="Arial"/>
          <w:b w:val="0"/>
          <w:bCs w:val="0"/>
          <w:color w:val="auto"/>
          <w:sz w:val="21"/>
          <w:szCs w:val="21"/>
          <w:lang w:val="es-CR"/>
        </w:rPr>
        <w:t xml:space="preserve">: </w:t>
      </w:r>
    </w:p>
    <w:p w:rsidR="002014CA" w:rsidRPr="00E10347" w:rsidRDefault="002014CA" w:rsidP="00E10347">
      <w:pPr>
        <w:pStyle w:val="Textoindependiente3"/>
        <w:spacing w:line="240" w:lineRule="auto"/>
        <w:ind w:left="567" w:firstLine="709"/>
        <w:rPr>
          <w:rFonts w:ascii="Palatino Linotype" w:hAnsi="Palatino Linotype" w:cs="Arial"/>
          <w:b/>
          <w:bCs/>
          <w:sz w:val="21"/>
          <w:szCs w:val="21"/>
          <w:lang w:val="es-CR"/>
        </w:rPr>
      </w:pPr>
      <w:r w:rsidRPr="00E10347">
        <w:rPr>
          <w:rFonts w:ascii="Palatino Linotype" w:hAnsi="Palatino Linotype" w:cs="Arial"/>
          <w:sz w:val="21"/>
          <w:szCs w:val="21"/>
          <w:lang w:val="es-CR"/>
        </w:rPr>
        <w:t xml:space="preserve">“esta Sala ha venido adoptando una posición, si no unánime, al menos constante, sobre la base de la supresión hipotética de la prueba espuria, en el </w:t>
      </w:r>
      <w:r w:rsidRPr="00E10347">
        <w:rPr>
          <w:rFonts w:ascii="Palatino Linotype" w:hAnsi="Palatino Linotype" w:cs="Arial"/>
          <w:sz w:val="21"/>
          <w:szCs w:val="21"/>
          <w:lang w:val="es-CR"/>
        </w:rPr>
        <w:lastRenderedPageBreak/>
        <w:t>sentido de que, amén de negarle todo valor probatorio en sí -sobre lo cual no parecer haber ninguna discusión-, se suprima del proceso, es decir, se suponga que no hubiera existido y, por ende, se invaliden también otras pruebas, no ilegítimas per se, en cuanto que hayan sido obtenidas por su medio</w:t>
      </w:r>
      <w:r w:rsidRPr="00E10347">
        <w:rPr>
          <w:rStyle w:val="Refdenotaalpie"/>
          <w:rFonts w:ascii="Palatino Linotype" w:eastAsiaTheme="majorEastAsia" w:hAnsi="Palatino Linotype" w:cs="Arial"/>
          <w:b/>
          <w:bCs/>
          <w:sz w:val="21"/>
          <w:szCs w:val="21"/>
          <w:lang w:val="es-CR"/>
        </w:rPr>
        <w:footnoteReference w:id="194"/>
      </w:r>
      <w:r w:rsidRPr="00E10347">
        <w:rPr>
          <w:rFonts w:ascii="Palatino Linotype" w:hAnsi="Palatino Linotype" w:cs="Arial"/>
          <w:sz w:val="21"/>
          <w:szCs w:val="21"/>
          <w:lang w:val="es-CR"/>
        </w:rPr>
        <w:t xml:space="preserve">” </w:t>
      </w:r>
    </w:p>
    <w:p w:rsidR="002014CA" w:rsidRPr="00E10347" w:rsidRDefault="002014CA" w:rsidP="00E10347">
      <w:pPr>
        <w:pStyle w:val="Textoindependiente3"/>
        <w:spacing w:line="240" w:lineRule="auto"/>
        <w:ind w:firstLine="567"/>
        <w:rPr>
          <w:rFonts w:ascii="Palatino Linotype" w:hAnsi="Palatino Linotype" w:cs="Arial"/>
          <w:b/>
          <w:bCs/>
          <w:sz w:val="21"/>
          <w:szCs w:val="21"/>
          <w:lang w:val="es-CR"/>
        </w:rPr>
      </w:pPr>
      <w:r w:rsidRPr="00E10347">
        <w:rPr>
          <w:rFonts w:ascii="Palatino Linotype" w:hAnsi="Palatino Linotype" w:cs="Arial"/>
          <w:sz w:val="21"/>
          <w:szCs w:val="21"/>
          <w:lang w:val="es-CR"/>
        </w:rPr>
        <w:t>En otra sentencia referida al CPCD señaló:</w:t>
      </w:r>
    </w:p>
    <w:p w:rsidR="002014CA" w:rsidRPr="00E10347" w:rsidRDefault="002014CA" w:rsidP="00E10347">
      <w:pPr>
        <w:pStyle w:val="Textoindependiente3"/>
        <w:spacing w:line="240" w:lineRule="auto"/>
        <w:ind w:left="567" w:firstLine="709"/>
        <w:rPr>
          <w:rFonts w:ascii="Palatino Linotype" w:hAnsi="Palatino Linotype" w:cs="Arial"/>
          <w:b/>
          <w:sz w:val="21"/>
          <w:szCs w:val="21"/>
        </w:rPr>
      </w:pPr>
      <w:r w:rsidRPr="00E10347">
        <w:rPr>
          <w:rFonts w:ascii="Palatino Linotype" w:hAnsi="Palatino Linotype" w:cs="Arial"/>
          <w:sz w:val="21"/>
          <w:szCs w:val="21"/>
          <w:lang w:val="es-CR"/>
        </w:rPr>
        <w:t>“Para efectos de hacer valer en un proceso determinado de familia las conversaciones telefónicas es necesario cumplir con los requisitos del citado artículo…</w:t>
      </w:r>
      <w:r w:rsidRPr="00E10347">
        <w:rPr>
          <w:rFonts w:ascii="Palatino Linotype" w:hAnsi="Palatino Linotype" w:cs="Arial"/>
          <w:sz w:val="21"/>
          <w:szCs w:val="21"/>
        </w:rPr>
        <w:t xml:space="preserve">El </w:t>
      </w:r>
      <w:bookmarkStart w:id="19" w:name="marca40"/>
      <w:r w:rsidRPr="00E10347">
        <w:rPr>
          <w:rFonts w:ascii="Palatino Linotype" w:hAnsi="Palatino Linotype" w:cs="Arial"/>
          <w:sz w:val="21"/>
          <w:szCs w:val="21"/>
        </w:rPr>
        <w:t>artículo</w:t>
      </w:r>
      <w:bookmarkEnd w:id="19"/>
      <w:r w:rsidRPr="00E10347">
        <w:rPr>
          <w:rFonts w:ascii="Palatino Linotype" w:hAnsi="Palatino Linotype" w:cs="Arial"/>
          <w:sz w:val="21"/>
          <w:szCs w:val="21"/>
        </w:rPr>
        <w:t xml:space="preserve"> </w:t>
      </w:r>
      <w:bookmarkStart w:id="20" w:name="marca41"/>
      <w:r w:rsidRPr="00E10347">
        <w:rPr>
          <w:rFonts w:ascii="Palatino Linotype" w:hAnsi="Palatino Linotype" w:cs="Arial"/>
          <w:sz w:val="21"/>
          <w:szCs w:val="21"/>
        </w:rPr>
        <w:t>24</w:t>
      </w:r>
      <w:bookmarkEnd w:id="20"/>
      <w:r w:rsidRPr="00E10347">
        <w:rPr>
          <w:rFonts w:ascii="Palatino Linotype" w:hAnsi="Palatino Linotype" w:cs="Arial"/>
          <w:sz w:val="21"/>
          <w:szCs w:val="21"/>
        </w:rPr>
        <w:t xml:space="preserve"> constitucional, tanto en su texto original como en su redacción actual, protege la privacidad de las comunicaciones escritas y orales de los habitantes de la República, las que son inviolables. Pero en modo alguno prohíbe la utilización de grabaciones de comunicaciones privadas en un proceso, sea civil o penal, si éstas han sido legalmente obtenidas, ya sea por haber sido obtenida por una intervención por parte de las autoridades judiciales en los casos previstos en la ley o, bien, porque las personas cuya comunicación ha sido grabada han consentido en ello, en cuyo caso no habría violación alguna pues por la propia voluntad de los interesados se ha permitido su registro en un medio de reproducción magnetofónico.”</w:t>
      </w:r>
      <w:r w:rsidRPr="00E10347">
        <w:rPr>
          <w:rStyle w:val="Refdenotaalpie"/>
          <w:rFonts w:ascii="Palatino Linotype" w:eastAsiaTheme="majorEastAsia" w:hAnsi="Palatino Linotype" w:cs="Arial"/>
          <w:b/>
          <w:sz w:val="21"/>
          <w:szCs w:val="21"/>
        </w:rPr>
        <w:footnoteReference w:id="195"/>
      </w:r>
    </w:p>
    <w:p w:rsidR="002014CA" w:rsidRPr="00E10347" w:rsidRDefault="002014CA" w:rsidP="00E10347">
      <w:pPr>
        <w:pStyle w:val="Textoindependiente3"/>
        <w:spacing w:line="240" w:lineRule="auto"/>
        <w:ind w:firstLine="567"/>
        <w:rPr>
          <w:rFonts w:ascii="Palatino Linotype" w:hAnsi="Palatino Linotype" w:cs="Arial"/>
          <w:b/>
          <w:bCs/>
          <w:sz w:val="21"/>
          <w:szCs w:val="21"/>
          <w:lang w:val="es-CR"/>
        </w:rPr>
      </w:pPr>
      <w:r w:rsidRPr="00E10347">
        <w:rPr>
          <w:rFonts w:ascii="Palatino Linotype" w:hAnsi="Palatino Linotype" w:cs="Arial"/>
          <w:sz w:val="21"/>
          <w:szCs w:val="21"/>
          <w:lang w:val="es-CR"/>
        </w:rPr>
        <w:lastRenderedPageBreak/>
        <w:t>También la Sala Primera</w:t>
      </w:r>
      <w:r w:rsidRPr="00E10347">
        <w:rPr>
          <w:rStyle w:val="Refdenotaalpie"/>
          <w:rFonts w:ascii="Palatino Linotype" w:eastAsiaTheme="majorEastAsia" w:hAnsi="Palatino Linotype" w:cs="Arial"/>
          <w:b/>
          <w:bCs/>
          <w:sz w:val="21"/>
          <w:szCs w:val="21"/>
          <w:lang w:val="es-CR"/>
        </w:rPr>
        <w:footnoteReference w:id="196"/>
      </w:r>
      <w:r w:rsidRPr="00E10347">
        <w:rPr>
          <w:rFonts w:ascii="Palatino Linotype" w:hAnsi="Palatino Linotype" w:cs="Arial"/>
          <w:sz w:val="21"/>
          <w:szCs w:val="21"/>
          <w:lang w:val="es-CR"/>
        </w:rPr>
        <w:t xml:space="preserve"> ha señalado:</w:t>
      </w:r>
    </w:p>
    <w:p w:rsidR="002014CA" w:rsidRPr="00E10347" w:rsidRDefault="002014CA" w:rsidP="00E10347">
      <w:pPr>
        <w:pStyle w:val="Textoindependiente3"/>
        <w:spacing w:line="240" w:lineRule="auto"/>
        <w:ind w:left="567" w:firstLine="709"/>
        <w:rPr>
          <w:rFonts w:ascii="Palatino Linotype" w:hAnsi="Palatino Linotype" w:cs="Arial"/>
          <w:b/>
          <w:bCs/>
          <w:sz w:val="21"/>
          <w:szCs w:val="21"/>
          <w:lang w:val="es-CR"/>
        </w:rPr>
      </w:pPr>
      <w:r w:rsidRPr="00E10347">
        <w:rPr>
          <w:rFonts w:ascii="Palatino Linotype" w:hAnsi="Palatino Linotype" w:cs="Arial"/>
          <w:sz w:val="21"/>
          <w:szCs w:val="21"/>
          <w:lang w:val="es-CR"/>
        </w:rPr>
        <w:t>“Existen diversos principios propios de la prueba, entre ellos se encuentran, 1) la libertad probatoria: las partes podrán ofrecer todos los medios de prueba lícitos, obtenida legítimamente”.</w:t>
      </w:r>
    </w:p>
    <w:p w:rsidR="009A5379" w:rsidRDefault="009A5379" w:rsidP="00E10347">
      <w:pPr>
        <w:pStyle w:val="Ttulo3"/>
        <w:spacing w:before="0"/>
        <w:jc w:val="both"/>
        <w:rPr>
          <w:rFonts w:ascii="Palatino Linotype" w:hAnsi="Palatino Linotype" w:cs="Arial"/>
          <w:bCs w:val="0"/>
          <w:color w:val="auto"/>
          <w:sz w:val="21"/>
          <w:szCs w:val="21"/>
        </w:rPr>
      </w:pPr>
    </w:p>
    <w:p w:rsidR="002014CA" w:rsidRPr="00E10347" w:rsidRDefault="002014CA" w:rsidP="00E10347">
      <w:pPr>
        <w:pStyle w:val="Ttulo3"/>
        <w:spacing w:before="0"/>
        <w:jc w:val="both"/>
        <w:rPr>
          <w:rFonts w:ascii="Palatino Linotype" w:hAnsi="Palatino Linotype" w:cs="Arial"/>
          <w:bCs w:val="0"/>
          <w:color w:val="auto"/>
          <w:sz w:val="21"/>
          <w:szCs w:val="21"/>
        </w:rPr>
      </w:pPr>
      <w:r w:rsidRPr="00E10347">
        <w:rPr>
          <w:rFonts w:ascii="Palatino Linotype" w:hAnsi="Palatino Linotype" w:cs="Arial"/>
          <w:bCs w:val="0"/>
          <w:color w:val="auto"/>
          <w:sz w:val="21"/>
          <w:szCs w:val="21"/>
        </w:rPr>
        <w:t>i.- Prohibición de aplicar el conocimiento privado del juez</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El juzgador no puede usar y trasladar su conocimiento privado, aun cuando sea experto en cierta ciencia o técnica –que no sea el jurídico- y suplir la carga de la prueba, con el conocimiento personal o privado que tenga sobre la prueba de los hechos, porque sería desconocer la publicidad y la contradicción indispensables para la validez de todo medio probatorio, por supuesto el deber de fundamentación pública de sus sentencias.   Sobre el particular ha señalado la jurisprudencia:</w:t>
      </w:r>
    </w:p>
    <w:p w:rsidR="002014CA" w:rsidRPr="00E10347" w:rsidRDefault="002014CA" w:rsidP="00E10347">
      <w:pPr>
        <w:ind w:left="397" w:firstLine="709"/>
        <w:jc w:val="both"/>
        <w:rPr>
          <w:rFonts w:ascii="Palatino Linotype" w:hAnsi="Palatino Linotype"/>
          <w:sz w:val="21"/>
          <w:szCs w:val="21"/>
        </w:rPr>
      </w:pPr>
      <w:r w:rsidRPr="00E10347">
        <w:rPr>
          <w:rFonts w:ascii="Palatino Linotype" w:hAnsi="Palatino Linotype"/>
          <w:sz w:val="21"/>
          <w:szCs w:val="21"/>
        </w:rPr>
        <w:t xml:space="preserve">“Al adoptar el Juzgador una decisión con respecto al proceso, haciendo uso de estas reglas, se encuentra sujeto a varias limitaciones, puesto que no se trata de un </w:t>
      </w:r>
      <w:r w:rsidRPr="00E10347">
        <w:rPr>
          <w:rFonts w:ascii="Palatino Linotype" w:hAnsi="Palatino Linotype"/>
          <w:bCs/>
          <w:sz w:val="21"/>
          <w:szCs w:val="21"/>
        </w:rPr>
        <w:t>mecanismo</w:t>
      </w:r>
      <w:r w:rsidRPr="00E10347">
        <w:rPr>
          <w:rFonts w:ascii="Palatino Linotype" w:hAnsi="Palatino Linotype"/>
          <w:sz w:val="21"/>
          <w:szCs w:val="21"/>
        </w:rPr>
        <w:t xml:space="preserve"> </w:t>
      </w:r>
      <w:r w:rsidRPr="00E10347">
        <w:rPr>
          <w:rFonts w:ascii="Palatino Linotype" w:hAnsi="Palatino Linotype"/>
          <w:bCs/>
          <w:sz w:val="21"/>
          <w:szCs w:val="21"/>
        </w:rPr>
        <w:t>legal</w:t>
      </w:r>
      <w:r w:rsidRPr="00E10347">
        <w:rPr>
          <w:rFonts w:ascii="Palatino Linotype" w:hAnsi="Palatino Linotype"/>
          <w:sz w:val="21"/>
          <w:szCs w:val="21"/>
        </w:rPr>
        <w:t xml:space="preserve"> que </w:t>
      </w:r>
      <w:bookmarkStart w:id="21" w:name="marca2"/>
      <w:r w:rsidRPr="00E10347">
        <w:rPr>
          <w:rFonts w:ascii="Palatino Linotype" w:hAnsi="Palatino Linotype"/>
          <w:bCs/>
          <w:sz w:val="21"/>
          <w:szCs w:val="21"/>
        </w:rPr>
        <w:t>pueda</w:t>
      </w:r>
      <w:bookmarkEnd w:id="21"/>
      <w:r w:rsidRPr="00E10347">
        <w:rPr>
          <w:rFonts w:ascii="Palatino Linotype" w:hAnsi="Palatino Linotype"/>
          <w:sz w:val="21"/>
          <w:szCs w:val="21"/>
        </w:rPr>
        <w:t xml:space="preserve"> utilizar de manera absoluta e irrestricta. Así: a.- Está obligado a fundamentar en la sentencia sus apreciaciones o razonamientos solo en los elementos constantes en los autos, sin que pueda aplicar el conocimiento privado que eventualmente pudiera tener sobre los hechos”</w:t>
      </w:r>
      <w:r w:rsidRPr="00E10347">
        <w:rPr>
          <w:rStyle w:val="Refdenotaalpie"/>
          <w:rFonts w:ascii="Palatino Linotype" w:hAnsi="Palatino Linotype"/>
          <w:sz w:val="21"/>
          <w:szCs w:val="21"/>
        </w:rPr>
        <w:footnoteReference w:id="197"/>
      </w:r>
      <w:r w:rsidRPr="00E10347">
        <w:rPr>
          <w:rFonts w:ascii="Palatino Linotype" w:hAnsi="Palatino Linotype"/>
          <w:sz w:val="21"/>
          <w:szCs w:val="21"/>
        </w:rPr>
        <w:t xml:space="preserve">.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Se llama “conocimiento privado del juez” a aquél conjunto de conocimientos que tiene el juzgador y que no puede introducir al proceso directamente, sino que debe hacerlo por los medios de prueba y, en particular, debe abstenerse de incorporarla cuando las partes no han dispuesto sobre la prueba, en los casos que se admite tal circunstancia</w:t>
      </w:r>
      <w:r w:rsidRPr="00E10347">
        <w:rPr>
          <w:rStyle w:val="Refdenotaalpie"/>
          <w:rFonts w:ascii="Palatino Linotype" w:hAnsi="Palatino Linotype"/>
          <w:sz w:val="21"/>
          <w:szCs w:val="21"/>
        </w:rPr>
        <w:footnoteReference w:id="198"/>
      </w:r>
      <w:r w:rsidRPr="00E10347">
        <w:rPr>
          <w:rFonts w:ascii="Palatino Linotype" w:hAnsi="Palatino Linotype"/>
          <w:sz w:val="21"/>
          <w:szCs w:val="21"/>
        </w:rPr>
        <w:t xml:space="preserve">. Este principio representa una inapreciable garantía para </w:t>
      </w:r>
      <w:r w:rsidRPr="00E10347">
        <w:rPr>
          <w:rFonts w:ascii="Palatino Linotype" w:hAnsi="Palatino Linotype"/>
          <w:sz w:val="21"/>
          <w:szCs w:val="21"/>
        </w:rPr>
        <w:lastRenderedPageBreak/>
        <w:t>la libertad y los derechos del individuo, que de otra manera estarían en manos de jueces parciales y a merced de decisiones que no podrían ser revisadas por el superior y le ordena al juez resolver conforme a los alegado y probado y no con base en sus conocimientos privados.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Derivado de ese principio, entendemos que los hechos sobre los cuales debe fundarse la decisión judicial, estén demostrados con pruebas aportadas al proceso por cualquiera de los interesados o por el juez, tales prueba no podrían estar en su mente, en su imaginación o conocimiento privado. Si éste tiene facultades de incorporarlas de oficio, puede hacerlo, pero siempre visiblemente al proceso para su examen para las partes, no guardándola en la bolsa de su camisa, para sacarla de manera sorpresiva o que queden en su mente.  Desde que el artículo 41.3 NCPC exige pronunciamiento expreso sobre las pruebas que el juez admite y rechaza, luego la exigencia también de indicar en las sentencias los elementos de prueba que los demuestren –los hechos-, se ha proscrito la prueba fantasma o virtual, que solo aparece en el pensamiento del juzgador.</w:t>
      </w:r>
    </w:p>
    <w:p w:rsidR="009A5379" w:rsidRDefault="009A5379" w:rsidP="00E10347">
      <w:pPr>
        <w:jc w:val="both"/>
        <w:rPr>
          <w:rFonts w:ascii="Palatino Linotype" w:hAnsi="Palatino Linotype"/>
          <w:b/>
          <w:sz w:val="21"/>
          <w:szCs w:val="21"/>
        </w:rPr>
      </w:pP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j.-  La dirección de la prueba la ejerce el juez</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El juez es quién dirige la prueba.  El juez es el verdadero director del debate, no puede ser un simple espectador, pero tampoco es su actor principal, ni el público. Es como el director de la obra en el teatro, quién dirige, guía y controla.  Esto ha llevado a la Sala Constitucional</w:t>
      </w:r>
      <w:r w:rsidRPr="00E10347">
        <w:rPr>
          <w:rStyle w:val="Refdenotaalpie"/>
          <w:rFonts w:ascii="Palatino Linotype" w:hAnsi="Palatino Linotype"/>
          <w:sz w:val="21"/>
          <w:szCs w:val="21"/>
        </w:rPr>
        <w:footnoteReference w:id="199"/>
      </w:r>
      <w:r w:rsidRPr="00E10347">
        <w:rPr>
          <w:rFonts w:ascii="Palatino Linotype" w:hAnsi="Palatino Linotype"/>
          <w:sz w:val="21"/>
          <w:szCs w:val="21"/>
        </w:rPr>
        <w:t xml:space="preserve"> a afirmar “la dirección del juez en la producción de la prueba determina que, para la eficacia de la prueba, el cumplimiento de sus formalidades, la lealtad y la igualdad en el debate y su contradicción efectiva, resulta crucial que el juez sea quien la dirija de manera inmediata, resolviendo primero acerca de su admisibilidad e interviniendo luego en su recepción. Es decir, el juez no debe permanecer pasivo, ni hacer el papel de simple órgano receptor de la prueba, sino que debe estar provisto de facultades para intervenir activamente en las pedidas por las partes y para ordenar oficiosamente otras”.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Con mayor razón en el nuevo sistema oral por audiencias, es deber del juez dirigir y participar en la prueba, solo los jueces que participaron en la audiencia de pruebas, son los que pueden dictar sentencia</w:t>
      </w:r>
      <w:r w:rsidRPr="00E10347">
        <w:rPr>
          <w:rStyle w:val="Refdenotaalpie"/>
          <w:rFonts w:ascii="Palatino Linotype" w:hAnsi="Palatino Linotype"/>
          <w:sz w:val="21"/>
          <w:szCs w:val="21"/>
        </w:rPr>
        <w:footnoteReference w:id="200"/>
      </w:r>
      <w:r w:rsidRPr="00E10347">
        <w:rPr>
          <w:rFonts w:ascii="Palatino Linotype" w:hAnsi="Palatino Linotype"/>
          <w:sz w:val="21"/>
          <w:szCs w:val="21"/>
        </w:rPr>
        <w:t xml:space="preserve"> –arts. 2.7, 59 y 60.1-, constituyendo ahora entonces, un derecho de la parte.</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lastRenderedPageBreak/>
        <w:t>Con base en ese principio, atenuado entre un sistema procesal y otro, pero si exigencia esencial, en un sistema por audiencias, es el juez quién interroga a los testigos, califica las preguntas, rechaza las preguntas impertinentes, pregunta oficiosamente al testigo al final del interrogatorio de las partes.  En cuanto a los declarantes el juez dirige el interrogatorio, calificándolo y rechazando las pruebas impertinentes, aunque ahora con el sistema de interrogatorio directo y oral, de manera</w:t>
      </w:r>
      <w:r w:rsidR="009A5379">
        <w:rPr>
          <w:rFonts w:ascii="Palatino Linotype" w:hAnsi="Palatino Linotype"/>
          <w:sz w:val="21"/>
          <w:szCs w:val="21"/>
        </w:rPr>
        <w:t xml:space="preserve"> </w:t>
      </w:r>
      <w:r w:rsidRPr="00E10347">
        <w:rPr>
          <w:rFonts w:ascii="Palatino Linotype" w:hAnsi="Palatino Linotype"/>
          <w:sz w:val="21"/>
          <w:szCs w:val="21"/>
        </w:rPr>
        <w:t xml:space="preserve"> más </w:t>
      </w:r>
      <w:r w:rsidR="009A5379">
        <w:rPr>
          <w:rFonts w:ascii="Palatino Linotype" w:hAnsi="Palatino Linotype"/>
          <w:sz w:val="21"/>
          <w:szCs w:val="21"/>
        </w:rPr>
        <w:t xml:space="preserve"> </w:t>
      </w:r>
      <w:r w:rsidRPr="00E10347">
        <w:rPr>
          <w:rFonts w:ascii="Palatino Linotype" w:hAnsi="Palatino Linotype"/>
          <w:sz w:val="21"/>
          <w:szCs w:val="21"/>
        </w:rPr>
        <w:t xml:space="preserve">fluida,  </w:t>
      </w:r>
      <w:r w:rsidR="009A5379">
        <w:rPr>
          <w:rFonts w:ascii="Palatino Linotype" w:hAnsi="Palatino Linotype"/>
          <w:sz w:val="21"/>
          <w:szCs w:val="21"/>
        </w:rPr>
        <w:t xml:space="preserve"> </w:t>
      </w:r>
      <w:r w:rsidRPr="00E10347">
        <w:rPr>
          <w:rFonts w:ascii="Palatino Linotype" w:hAnsi="Palatino Linotype"/>
          <w:sz w:val="21"/>
          <w:szCs w:val="21"/>
        </w:rPr>
        <w:t xml:space="preserve">no  </w:t>
      </w:r>
      <w:r w:rsidR="009A5379">
        <w:rPr>
          <w:rFonts w:ascii="Palatino Linotype" w:hAnsi="Palatino Linotype"/>
          <w:sz w:val="21"/>
          <w:szCs w:val="21"/>
        </w:rPr>
        <w:t xml:space="preserve"> </w:t>
      </w:r>
      <w:r w:rsidRPr="00E10347">
        <w:rPr>
          <w:rFonts w:ascii="Palatino Linotype" w:hAnsi="Palatino Linotype"/>
          <w:sz w:val="21"/>
          <w:szCs w:val="21"/>
        </w:rPr>
        <w:t xml:space="preserve">tan  </w:t>
      </w:r>
      <w:r w:rsidR="009A5379">
        <w:rPr>
          <w:rFonts w:ascii="Palatino Linotype" w:hAnsi="Palatino Linotype"/>
          <w:sz w:val="21"/>
          <w:szCs w:val="21"/>
        </w:rPr>
        <w:t xml:space="preserve"> </w:t>
      </w:r>
      <w:r w:rsidRPr="00E10347">
        <w:rPr>
          <w:rFonts w:ascii="Palatino Linotype" w:hAnsi="Palatino Linotype"/>
          <w:sz w:val="21"/>
          <w:szCs w:val="21"/>
        </w:rPr>
        <w:t xml:space="preserve">pausada  como el Código derogado –art. 41.4.5 NCPC-.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En cuanto a los peritos, el art. 44.4 y 41.4.5 NCPC faculta al juez, en esa labor de dirección, para pedir al perito aclaraciones y adiciones de su informe y en cuanto al reconocimiento judicial, es él quien dirige y consigna los datos relevantes, es su acta, no es el acta de las partes, éstas solo pueden sugerir que se consignen datos relevantes omitidos, pero siempre bajo la dirección y decisión del juez -art. 46.2.2 NCPC-. </w:t>
      </w:r>
    </w:p>
    <w:p w:rsidR="009A5379" w:rsidRDefault="009A5379" w:rsidP="00E10347">
      <w:pPr>
        <w:jc w:val="both"/>
        <w:rPr>
          <w:rFonts w:ascii="Palatino Linotype" w:hAnsi="Palatino Linotype"/>
          <w:b/>
          <w:sz w:val="21"/>
          <w:szCs w:val="21"/>
        </w:rPr>
      </w:pP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k.-  Principio de adquisición o de comunidad</w:t>
      </w:r>
    </w:p>
    <w:p w:rsidR="002014CA" w:rsidRPr="00E10347" w:rsidRDefault="002014CA" w:rsidP="00E10347">
      <w:pPr>
        <w:ind w:firstLine="709"/>
        <w:jc w:val="both"/>
        <w:rPr>
          <w:rFonts w:ascii="Palatino Linotype" w:hAnsi="Palatino Linotype"/>
          <w:bCs/>
          <w:sz w:val="21"/>
          <w:szCs w:val="21"/>
        </w:rPr>
      </w:pPr>
      <w:r w:rsidRPr="00E10347">
        <w:rPr>
          <w:rFonts w:ascii="Palatino Linotype" w:hAnsi="Palatino Linotype"/>
          <w:bCs/>
          <w:sz w:val="21"/>
          <w:szCs w:val="21"/>
        </w:rPr>
        <w:t>El principio dispositivo y la posibilidad de renuncia de ciertos actos de parte que rige en el proceso civil, no significa que la parte proponente de una prueba goce de una total disponibilidad sobre ella, tanto en su práctica, como en su disposición y efectos.  El principio de adquisición o de comunidad de la prueba, se erige como defensa de que los elementos probatorios, una vez introducidos al proceso son comunes a todos los sujetos procesales y no del sujeto que lo aportó</w:t>
      </w:r>
      <w:r w:rsidRPr="00E10347">
        <w:rPr>
          <w:rStyle w:val="Refdenotaalpie"/>
          <w:rFonts w:ascii="Palatino Linotype" w:hAnsi="Palatino Linotype"/>
          <w:sz w:val="21"/>
          <w:szCs w:val="21"/>
        </w:rPr>
        <w:footnoteReference w:id="201"/>
      </w:r>
      <w:r w:rsidRPr="00E10347">
        <w:rPr>
          <w:rFonts w:ascii="Palatino Linotype" w:hAnsi="Palatino Linotype"/>
          <w:bCs/>
          <w:sz w:val="21"/>
          <w:szCs w:val="21"/>
        </w:rPr>
        <w:t xml:space="preserve"> –documental- u ofreció –declaración-.  Las pruebas dejan de ser de las partes y pasan a ser del proceso.  Este principio, señala Carnelutti, se cimienta en que las pruebas, una vez recogidas, despliegan su entera eficacia a favor o en contra de ambas partes sin distinción entre las que las han producido y las otras</w:t>
      </w:r>
      <w:r w:rsidRPr="00E10347">
        <w:rPr>
          <w:rStyle w:val="Refdenotaalpie"/>
          <w:rFonts w:ascii="Palatino Linotype" w:hAnsi="Palatino Linotype"/>
          <w:sz w:val="21"/>
          <w:szCs w:val="21"/>
        </w:rPr>
        <w:footnoteReference w:id="202"/>
      </w:r>
      <w:r w:rsidRPr="00E10347">
        <w:rPr>
          <w:rFonts w:ascii="Palatino Linotype" w:hAnsi="Palatino Linotype"/>
          <w:bCs/>
          <w:sz w:val="21"/>
          <w:szCs w:val="21"/>
        </w:rPr>
        <w:t xml:space="preserve">.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Cs/>
          <w:sz w:val="21"/>
          <w:szCs w:val="21"/>
        </w:rPr>
        <w:t>La prueba, una vez introducida por cualquiera de los sujetos, debe tenérsela en cuenta para determinar la existencia o inexistencia del hecho a que se refiere, sea que beneficie a cualquiera de las partes, el que la trajo al proceso o la parte contraria que puede hacer uso de ella</w:t>
      </w:r>
      <w:r w:rsidRPr="00E10347">
        <w:rPr>
          <w:rStyle w:val="Refdenotaalpie"/>
          <w:rFonts w:ascii="Palatino Linotype" w:hAnsi="Palatino Linotype"/>
          <w:sz w:val="21"/>
          <w:szCs w:val="21"/>
        </w:rPr>
        <w:footnoteReference w:id="203"/>
      </w:r>
      <w:r w:rsidRPr="00E10347">
        <w:rPr>
          <w:rFonts w:ascii="Palatino Linotype" w:hAnsi="Palatino Linotype"/>
          <w:bCs/>
          <w:sz w:val="21"/>
          <w:szCs w:val="21"/>
        </w:rPr>
        <w:t>.</w:t>
      </w:r>
    </w:p>
    <w:p w:rsidR="002014CA" w:rsidRPr="00E10347" w:rsidRDefault="002014CA" w:rsidP="00E10347">
      <w:pPr>
        <w:pStyle w:val="Ttulo3"/>
        <w:spacing w:before="0"/>
        <w:ind w:firstLine="709"/>
        <w:jc w:val="both"/>
        <w:rPr>
          <w:rFonts w:ascii="Palatino Linotype" w:hAnsi="Palatino Linotype" w:cs="Arial"/>
          <w:b w:val="0"/>
          <w:bCs w:val="0"/>
          <w:color w:val="auto"/>
          <w:sz w:val="21"/>
          <w:szCs w:val="21"/>
          <w:lang w:val="es-CR"/>
        </w:rPr>
      </w:pPr>
      <w:r w:rsidRPr="00E10347">
        <w:rPr>
          <w:rFonts w:ascii="Palatino Linotype" w:hAnsi="Palatino Linotype" w:cs="Arial"/>
          <w:b w:val="0"/>
          <w:bCs w:val="0"/>
          <w:color w:val="auto"/>
          <w:sz w:val="21"/>
          <w:szCs w:val="21"/>
          <w:lang w:val="es-CR"/>
        </w:rPr>
        <w:lastRenderedPageBreak/>
        <w:t>Este principio es lo que permite a la parte favorecerse o sufrir la carga del contenido de un documento admitido en el proceso, de una declaración adversa, de repreguntar al testigo, aun cuando no sea testigo ofrecido por ella, a oponerse a las preguntas indebidas de su declaración, a formular ampliación y aclaración de la prueba pericial.  Si es cierto que el proceso civil es de orden público, como dice el art. 3.1 NCPC</w:t>
      </w:r>
      <w:r w:rsidRPr="00E10347">
        <w:rPr>
          <w:rStyle w:val="Refdenotaalpie"/>
          <w:rFonts w:ascii="Palatino Linotype" w:hAnsi="Palatino Linotype" w:cs="Arial"/>
          <w:color w:val="auto"/>
          <w:sz w:val="21"/>
          <w:szCs w:val="21"/>
          <w:lang w:val="es-CR"/>
        </w:rPr>
        <w:footnoteReference w:id="204"/>
      </w:r>
      <w:r w:rsidRPr="00E10347">
        <w:rPr>
          <w:rFonts w:ascii="Palatino Linotype" w:hAnsi="Palatino Linotype" w:cs="Arial"/>
          <w:b w:val="0"/>
          <w:bCs w:val="0"/>
          <w:color w:val="auto"/>
          <w:sz w:val="21"/>
          <w:szCs w:val="21"/>
          <w:lang w:val="es-CR"/>
        </w:rPr>
        <w:t xml:space="preserve"> y lo reitera la doctrina</w:t>
      </w:r>
      <w:r w:rsidRPr="00E10347">
        <w:rPr>
          <w:rStyle w:val="Refdenotaalpie"/>
          <w:rFonts w:ascii="Palatino Linotype" w:hAnsi="Palatino Linotype" w:cs="Arial"/>
          <w:color w:val="auto"/>
          <w:sz w:val="21"/>
          <w:szCs w:val="21"/>
          <w:lang w:val="es-CR"/>
        </w:rPr>
        <w:footnoteReference w:id="205"/>
      </w:r>
      <w:r w:rsidRPr="00E10347">
        <w:rPr>
          <w:rFonts w:ascii="Palatino Linotype" w:hAnsi="Palatino Linotype" w:cs="Arial"/>
          <w:b w:val="0"/>
          <w:bCs w:val="0"/>
          <w:color w:val="auto"/>
          <w:sz w:val="21"/>
          <w:szCs w:val="21"/>
          <w:lang w:val="es-CR"/>
        </w:rPr>
        <w:t>, esa publicidad tiene su esplendor en la comunidad de la prueba, en el compartir la prueba incorporada, en la indivisibilidad de la prueba y en la unidad de la prueba -art. 41.5-, así la figura excluye el egoísmo procesal e impide que una parte pueda a su antojo usar la prueba solo en su beneficio individualista.</w:t>
      </w:r>
    </w:p>
    <w:p w:rsidR="002014CA" w:rsidRPr="00E10347" w:rsidRDefault="002014CA" w:rsidP="00E10347">
      <w:pPr>
        <w:pStyle w:val="Ttulo3"/>
        <w:spacing w:before="0"/>
        <w:ind w:firstLine="709"/>
        <w:jc w:val="both"/>
        <w:rPr>
          <w:rFonts w:ascii="Palatino Linotype" w:hAnsi="Palatino Linotype" w:cs="Arial"/>
          <w:b w:val="0"/>
          <w:bCs w:val="0"/>
          <w:color w:val="auto"/>
          <w:sz w:val="21"/>
          <w:szCs w:val="21"/>
          <w:lang w:val="es-CR"/>
        </w:rPr>
      </w:pPr>
      <w:r w:rsidRPr="00E10347">
        <w:rPr>
          <w:rFonts w:ascii="Palatino Linotype" w:hAnsi="Palatino Linotype" w:cs="Arial"/>
          <w:b w:val="0"/>
          <w:bCs w:val="0"/>
          <w:color w:val="auto"/>
          <w:sz w:val="21"/>
          <w:szCs w:val="21"/>
          <w:lang w:val="es-CR"/>
        </w:rPr>
        <w:t xml:space="preserve">A pesar del principio de comunidad de la prueba, nada se opone a que la parte oferente, desista o renuncia a un testigo, renuncia a una declaración de su contraria, al informe pedido de una oficina o a la pericia ofrecida solo por él, siempre que esas pruebas no se hayan incorporado al proceso.  Ello es así porque si la parte tiene la facultad, en virtud del principio dispositivo y de estrategia de la defensa -art. 2.4 NCPC-, de decidir cuándo –dentro de los términos legales- y qué prueba ofrecer, puede libremente disponer de ella, si no conviene en su estrategia, si se encuentra imposibilitado para incorporarla o si va a dilatar el proceso, siempre que por supuesto la parte contraria no haya ofrecido ese medio también o que el juez o como prueba de oficio.    </w:t>
      </w:r>
    </w:p>
    <w:p w:rsidR="009A5379" w:rsidRDefault="009A5379" w:rsidP="00E10347">
      <w:pPr>
        <w:jc w:val="both"/>
        <w:rPr>
          <w:rFonts w:ascii="Palatino Linotype" w:hAnsi="Palatino Linotype"/>
          <w:b/>
          <w:sz w:val="21"/>
          <w:szCs w:val="21"/>
        </w:rPr>
      </w:pP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 xml:space="preserve">l.- </w:t>
      </w:r>
      <w:bookmarkStart w:id="22" w:name="_Toc51557072"/>
      <w:r w:rsidRPr="00E10347">
        <w:rPr>
          <w:rFonts w:ascii="Palatino Linotype" w:hAnsi="Palatino Linotype"/>
          <w:b/>
          <w:sz w:val="21"/>
          <w:szCs w:val="21"/>
        </w:rPr>
        <w:t>Principio de preclusión de la prueba</w:t>
      </w:r>
      <w:bookmarkEnd w:id="22"/>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Si el proceso es un “iter”, un camino que recorrer hacia un final, en principio seguro, la ley establece la forma, el orden y el momento en que se van practicando esos actos.  No evacuada la prueba en la fecha o audiencia señalada se declara inevacuable –art. 41.4.10 NCPC “La prueba no practicada por culpa de la parte proponente se tendrá por inevacuable, sin necesidad de resolución expresa”-, esto es consecuencia del principio de preclusión, regulado en el art. 2.9 NCPC.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lastRenderedPageBreak/>
        <w:t>No ofrecida la prueba en la etapa u oportunidad señalada –demanda o contestación- también precluye.  La ley establece el momento para ofrecer y evacuar la prueba, por lo que este principio se relaciona con la eventualidad, la oportunidad y el tiempo de la prueba, como subprincipios de la lealtad, el orden en el proceso y el de contradicción. Se habla de preclusión generalmente en relación con las partes, es decir, la pérdida de oportunidad para ejecutar un acto en su interés</w:t>
      </w:r>
      <w:r w:rsidRPr="00E10347">
        <w:rPr>
          <w:rStyle w:val="Refdenotaalpie"/>
          <w:rFonts w:ascii="Palatino Linotype" w:hAnsi="Palatino Linotype"/>
          <w:sz w:val="21"/>
          <w:szCs w:val="21"/>
        </w:rPr>
        <w:footnoteReference w:id="206"/>
      </w:r>
      <w:r w:rsidRPr="00E10347">
        <w:rPr>
          <w:rFonts w:ascii="Palatino Linotype" w:hAnsi="Palatino Linotype"/>
          <w:sz w:val="21"/>
          <w:szCs w:val="21"/>
        </w:rPr>
        <w:t>. Principios que persiguen impedir que se sorprenda al adversario con pruebas de último momento, que no alcance a controvertir, o que se propongan cuestiones sobre la cuales no pueda ejercitar su defensa, ni contraprueba.</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La sorpresa, con pruebas escondidas, guardadas y sacadas por arte de magia, está proscrita.  El proceso no es deporte, no es un partido que permita a un último minuto hacer una canasta al enemigo, con la magia de la sorpresa y habilidad.  Las reglas del juego, las armas del adversario, las pretensiones de las partes y por supuesto las pruebas deben ser presentadas desde el inicio del combate y en los momentos procesales respectivos, no se pueden ofrecer ni incorporar a destiempo, pues por preclusión no se permite cambiar esas armas o introducir una nueva, es desventaja para el enemigo.</w:t>
      </w:r>
    </w:p>
    <w:p w:rsidR="009A5379" w:rsidRDefault="009A5379" w:rsidP="00E10347">
      <w:pPr>
        <w:jc w:val="both"/>
        <w:rPr>
          <w:rFonts w:ascii="Palatino Linotype" w:hAnsi="Palatino Linotype"/>
          <w:b/>
          <w:sz w:val="21"/>
          <w:szCs w:val="21"/>
        </w:rPr>
      </w:pPr>
    </w:p>
    <w:p w:rsidR="002014CA" w:rsidRPr="00E10347" w:rsidRDefault="002014CA" w:rsidP="00E10347">
      <w:pPr>
        <w:jc w:val="both"/>
        <w:rPr>
          <w:rFonts w:ascii="Palatino Linotype" w:hAnsi="Palatino Linotype"/>
          <w:bCs/>
          <w:sz w:val="21"/>
          <w:szCs w:val="21"/>
        </w:rPr>
      </w:pPr>
      <w:r w:rsidRPr="00E10347">
        <w:rPr>
          <w:rFonts w:ascii="Palatino Linotype" w:hAnsi="Palatino Linotype"/>
          <w:b/>
          <w:sz w:val="21"/>
          <w:szCs w:val="21"/>
        </w:rPr>
        <w:t xml:space="preserve">m.-  </w:t>
      </w:r>
      <w:bookmarkStart w:id="23" w:name="_Toc51557066"/>
      <w:r w:rsidRPr="00E10347">
        <w:rPr>
          <w:rFonts w:ascii="Palatino Linotype" w:hAnsi="Palatino Linotype"/>
          <w:b/>
          <w:bCs/>
          <w:sz w:val="21"/>
          <w:szCs w:val="21"/>
        </w:rPr>
        <w:t>Principio de la lealtad o veracidad de la prueba</w:t>
      </w:r>
      <w:bookmarkEnd w:id="23"/>
    </w:p>
    <w:p w:rsidR="002014CA" w:rsidRPr="00E10347" w:rsidRDefault="002014CA" w:rsidP="00E10347">
      <w:pPr>
        <w:tabs>
          <w:tab w:val="left" w:pos="-720"/>
        </w:tabs>
        <w:suppressAutoHyphens/>
        <w:ind w:firstLine="709"/>
        <w:jc w:val="both"/>
        <w:rPr>
          <w:rFonts w:ascii="Palatino Linotype" w:hAnsi="Palatino Linotype"/>
          <w:sz w:val="21"/>
          <w:szCs w:val="21"/>
        </w:rPr>
      </w:pPr>
      <w:r w:rsidRPr="00E10347">
        <w:rPr>
          <w:rFonts w:ascii="Palatino Linotype" w:hAnsi="Palatino Linotype"/>
          <w:sz w:val="21"/>
          <w:szCs w:val="21"/>
        </w:rPr>
        <w:t>El principio ha pasado a ser norma de conducta procesal de amplia regulación en su contenido y las sanciones que obligan a las partes a su leal acatamiento.  Gelsi Bidart reclama que el proceso no es una tierra de nadie o un sector privilegiado, o un mundo separado, al margen de la ética</w:t>
      </w:r>
      <w:r w:rsidRPr="00E10347">
        <w:rPr>
          <w:rStyle w:val="Refdenotaalpie"/>
          <w:rFonts w:ascii="Palatino Linotype" w:hAnsi="Palatino Linotype"/>
          <w:sz w:val="21"/>
          <w:szCs w:val="21"/>
        </w:rPr>
        <w:footnoteReference w:id="207"/>
      </w:r>
      <w:r w:rsidRPr="00E10347">
        <w:rPr>
          <w:rFonts w:ascii="Palatino Linotype" w:hAnsi="Palatino Linotype"/>
          <w:sz w:val="21"/>
          <w:szCs w:val="21"/>
        </w:rPr>
        <w:t xml:space="preserve">. </w:t>
      </w:r>
    </w:p>
    <w:p w:rsidR="002014CA" w:rsidRPr="00E10347" w:rsidRDefault="002014CA" w:rsidP="00E10347">
      <w:pPr>
        <w:tabs>
          <w:tab w:val="left" w:pos="-720"/>
        </w:tabs>
        <w:suppressAutoHyphens/>
        <w:ind w:firstLine="709"/>
        <w:jc w:val="both"/>
        <w:rPr>
          <w:rFonts w:ascii="Palatino Linotype" w:hAnsi="Palatino Linotype"/>
          <w:sz w:val="21"/>
          <w:szCs w:val="21"/>
        </w:rPr>
      </w:pPr>
      <w:r w:rsidRPr="00E10347">
        <w:rPr>
          <w:rFonts w:ascii="Palatino Linotype" w:hAnsi="Palatino Linotype"/>
          <w:sz w:val="21"/>
          <w:szCs w:val="21"/>
        </w:rPr>
        <w:t xml:space="preserve">Sobre su denominación, no existe uniformidad en la doctrina, pues algunos lo conocen como principio de moralidad, de lealtad o de buena fe procesal.  Consiste en el deber de ser veraces, de proceder con buena fe, de todos cuantos intervienen en el proceso -jueces, partes, peritos, testigos, etc.-, a fin de hacer posible el descubrimiento de la verdad.  O bien, se define como el conjunto de reglas de </w:t>
      </w:r>
      <w:r w:rsidRPr="00E10347">
        <w:rPr>
          <w:rFonts w:ascii="Palatino Linotype" w:hAnsi="Palatino Linotype"/>
          <w:sz w:val="21"/>
          <w:szCs w:val="21"/>
        </w:rPr>
        <w:lastRenderedPageBreak/>
        <w:t>conducta, presididas por el imperativo ético, a que deben ajustar su comportamiento procesal todos los sujetos del proceso</w:t>
      </w:r>
      <w:r w:rsidRPr="00E10347">
        <w:rPr>
          <w:rStyle w:val="Refdenotaalpie"/>
          <w:rFonts w:ascii="Palatino Linotype" w:hAnsi="Palatino Linotype"/>
          <w:sz w:val="21"/>
          <w:szCs w:val="21"/>
        </w:rPr>
        <w:footnoteReference w:id="208"/>
      </w:r>
      <w:r w:rsidRPr="00E10347">
        <w:rPr>
          <w:rFonts w:ascii="Palatino Linotype" w:hAnsi="Palatino Linotype"/>
          <w:sz w:val="21"/>
          <w:szCs w:val="21"/>
        </w:rPr>
        <w:t>.</w:t>
      </w:r>
    </w:p>
    <w:p w:rsidR="002014CA" w:rsidRPr="00E10347" w:rsidRDefault="002014CA" w:rsidP="00E10347">
      <w:pPr>
        <w:tabs>
          <w:tab w:val="left" w:pos="-720"/>
        </w:tabs>
        <w:suppressAutoHyphens/>
        <w:ind w:firstLine="709"/>
        <w:jc w:val="both"/>
        <w:rPr>
          <w:rFonts w:ascii="Palatino Linotype" w:hAnsi="Palatino Linotype"/>
          <w:sz w:val="21"/>
          <w:szCs w:val="21"/>
        </w:rPr>
      </w:pPr>
      <w:r w:rsidRPr="00E10347">
        <w:rPr>
          <w:rFonts w:ascii="Palatino Linotype" w:hAnsi="Palatino Linotype"/>
          <w:sz w:val="21"/>
          <w:szCs w:val="21"/>
        </w:rPr>
        <w:t>Si la prueba es común, si tiene su unidad y su función de interés general, no debe usarse para ocultar o deformar la realidad, para tratar de inducir al juez a engaños, sino con lealtad y probidad o veracidad, sea que provenga de la iniciativa de las partes, o de actividad inquisitiva del juez</w:t>
      </w:r>
      <w:r w:rsidRPr="00E10347">
        <w:rPr>
          <w:rStyle w:val="Refdenotaalpie"/>
          <w:rFonts w:ascii="Palatino Linotype" w:hAnsi="Palatino Linotype"/>
          <w:sz w:val="21"/>
          <w:szCs w:val="21"/>
        </w:rPr>
        <w:footnoteReference w:id="209"/>
      </w:r>
      <w:r w:rsidRPr="00E10347">
        <w:rPr>
          <w:rFonts w:ascii="Palatino Linotype" w:hAnsi="Palatino Linotype"/>
          <w:sz w:val="21"/>
          <w:szCs w:val="21"/>
        </w:rPr>
        <w:t xml:space="preserve">.  En virtud de este principio no es permitido, por el marco de lealtad del debate, faltar a la verdad, deformar o falsificar pruebas, inducir a engaños a los sujetos que son fuente de prueba, ofrecer prueba falsa ni ocultar prueba o negar su exhibición que impida a la parte conocer su contenido. </w:t>
      </w:r>
    </w:p>
    <w:p w:rsidR="009A5379" w:rsidRDefault="009A5379" w:rsidP="00E10347">
      <w:pPr>
        <w:pStyle w:val="Ttulo3"/>
        <w:spacing w:before="0"/>
        <w:jc w:val="both"/>
        <w:rPr>
          <w:rFonts w:ascii="Palatino Linotype" w:hAnsi="Palatino Linotype" w:cs="Arial"/>
          <w:bCs w:val="0"/>
          <w:color w:val="auto"/>
          <w:sz w:val="21"/>
          <w:szCs w:val="21"/>
          <w:lang w:val="es-CR"/>
        </w:rPr>
      </w:pPr>
      <w:bookmarkStart w:id="24" w:name="_Toc51557077"/>
    </w:p>
    <w:p w:rsidR="002014CA" w:rsidRPr="00E10347" w:rsidRDefault="002014CA" w:rsidP="00E10347">
      <w:pPr>
        <w:pStyle w:val="Ttulo3"/>
        <w:spacing w:before="0"/>
        <w:jc w:val="both"/>
        <w:rPr>
          <w:rFonts w:ascii="Palatino Linotype" w:hAnsi="Palatino Linotype" w:cs="Arial"/>
          <w:bCs w:val="0"/>
          <w:color w:val="auto"/>
          <w:sz w:val="21"/>
          <w:szCs w:val="21"/>
          <w:lang w:val="es-CR"/>
        </w:rPr>
      </w:pPr>
      <w:r w:rsidRPr="00E10347">
        <w:rPr>
          <w:rFonts w:ascii="Palatino Linotype" w:hAnsi="Palatino Linotype" w:cs="Arial"/>
          <w:bCs w:val="0"/>
          <w:color w:val="auto"/>
          <w:sz w:val="21"/>
          <w:szCs w:val="21"/>
          <w:lang w:val="es-CR"/>
        </w:rPr>
        <w:t>n.- Principio de la pertinencia, idoneidad y utilidad</w:t>
      </w:r>
      <w:bookmarkEnd w:id="24"/>
      <w:r w:rsidRPr="00E10347">
        <w:rPr>
          <w:rFonts w:ascii="Palatino Linotype" w:hAnsi="Palatino Linotype" w:cs="Arial"/>
          <w:bCs w:val="0"/>
          <w:color w:val="auto"/>
          <w:sz w:val="21"/>
          <w:szCs w:val="21"/>
          <w:lang w:val="es-CR"/>
        </w:rPr>
        <w:t xml:space="preserve">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Examinamos infra, el requisito de pertinencia, idoneidad y utilidad de la prueba.  En general consiste en la relación lógica o jurídica entre el medio y el hecho por probar, que un medio de prueba tenga vinculación con el objeto, hecho o pretensión que se reclama.  También lo estudiaremos al analizar el tema de admisión y rechazo de prueba en audiencia. </w:t>
      </w:r>
    </w:p>
    <w:p w:rsidR="009A5379" w:rsidRDefault="009A5379" w:rsidP="00E10347">
      <w:pPr>
        <w:jc w:val="both"/>
        <w:rPr>
          <w:rFonts w:ascii="Palatino Linotype" w:hAnsi="Palatino Linotype"/>
          <w:b/>
          <w:sz w:val="21"/>
          <w:szCs w:val="21"/>
        </w:rPr>
      </w:pP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l.-  Principio de estrategia probatoria de la parte</w:t>
      </w:r>
    </w:p>
    <w:p w:rsidR="002014CA" w:rsidRPr="00E10347" w:rsidRDefault="002014CA" w:rsidP="00E10347">
      <w:pPr>
        <w:pStyle w:val="Textonotapie"/>
        <w:ind w:firstLine="709"/>
        <w:jc w:val="both"/>
        <w:rPr>
          <w:rFonts w:ascii="Palatino Linotype" w:hAnsi="Palatino Linotype"/>
          <w:sz w:val="21"/>
          <w:szCs w:val="21"/>
        </w:rPr>
      </w:pPr>
      <w:r w:rsidRPr="00E10347">
        <w:rPr>
          <w:rFonts w:ascii="Palatino Linotype" w:hAnsi="Palatino Linotype"/>
          <w:sz w:val="21"/>
          <w:szCs w:val="21"/>
        </w:rPr>
        <w:t>Un tema reciente está vinculado con el derecho de la parte en la estrategia de las pruebas</w:t>
      </w:r>
      <w:r w:rsidRPr="00E10347">
        <w:rPr>
          <w:rStyle w:val="Refdenotaalpie"/>
          <w:rFonts w:ascii="Palatino Linotype" w:hAnsi="Palatino Linotype"/>
          <w:sz w:val="21"/>
          <w:szCs w:val="21"/>
        </w:rPr>
        <w:footnoteReference w:id="210"/>
      </w:r>
      <w:r w:rsidRPr="00E10347">
        <w:rPr>
          <w:rFonts w:ascii="Palatino Linotype" w:hAnsi="Palatino Linotype"/>
          <w:sz w:val="21"/>
          <w:szCs w:val="21"/>
        </w:rPr>
        <w:t xml:space="preserve">.   Se señala que la parte tiene el derecho a trazar una estrategia probatoria, su teoría del caso y los juzgadores no deben incurrir en conductas que cercenen o limiten tal derecho de la defensa.  Este principio tiene importancia práctica en la aplicación de los límites indebidos en la admisión de la prueba, las limitaciones odiosas en las preguntas de los testigos y declarantes y el ataque de normas que limiten de manera indebida el derecho a la prueba y a la estrategia de la defensa.  </w:t>
      </w:r>
    </w:p>
    <w:p w:rsidR="002014CA" w:rsidRPr="00E10347" w:rsidRDefault="002014CA" w:rsidP="00E10347">
      <w:pPr>
        <w:pStyle w:val="Textonotapie"/>
        <w:ind w:firstLine="709"/>
        <w:jc w:val="both"/>
        <w:rPr>
          <w:rFonts w:ascii="Palatino Linotype" w:hAnsi="Palatino Linotype"/>
          <w:sz w:val="21"/>
          <w:szCs w:val="21"/>
        </w:rPr>
      </w:pPr>
      <w:r w:rsidRPr="00E10347">
        <w:rPr>
          <w:rFonts w:ascii="Palatino Linotype" w:hAnsi="Palatino Linotype"/>
          <w:sz w:val="21"/>
          <w:szCs w:val="21"/>
        </w:rPr>
        <w:lastRenderedPageBreak/>
        <w:t>La Sala Primera</w:t>
      </w:r>
      <w:r w:rsidRPr="00E10347">
        <w:rPr>
          <w:rStyle w:val="Refdenotaalpie"/>
          <w:rFonts w:ascii="Palatino Linotype" w:hAnsi="Palatino Linotype"/>
          <w:sz w:val="21"/>
          <w:szCs w:val="21"/>
        </w:rPr>
        <w:footnoteReference w:id="211"/>
      </w:r>
      <w:r w:rsidRPr="00E10347">
        <w:rPr>
          <w:rFonts w:ascii="Palatino Linotype" w:hAnsi="Palatino Linotype"/>
          <w:sz w:val="21"/>
          <w:szCs w:val="21"/>
        </w:rPr>
        <w:t>, basados en los principios del debido proceso y del derecho de defensa, los cuales permean todo el proceso, a este instituto, señala que el juzgador debe velar porque su intervención no cause un desequilibrio en el proceso y mantener la equidistancia de tercero imparcial respecto de las partes.  También sobre el particular la Sala Constitucional</w:t>
      </w:r>
      <w:r w:rsidRPr="00E10347">
        <w:rPr>
          <w:rStyle w:val="Refdenotaalpie"/>
          <w:rFonts w:ascii="Palatino Linotype" w:hAnsi="Palatino Linotype"/>
          <w:sz w:val="21"/>
          <w:szCs w:val="21"/>
        </w:rPr>
        <w:footnoteReference w:id="212"/>
      </w:r>
      <w:r w:rsidRPr="00E10347">
        <w:rPr>
          <w:rFonts w:ascii="Palatino Linotype" w:hAnsi="Palatino Linotype"/>
          <w:sz w:val="21"/>
          <w:szCs w:val="21"/>
        </w:rPr>
        <w:t>, refiriéndose al máximo de 20 preguntas que se permitían en la “confesión”, en el CPCD, señaló:</w:t>
      </w:r>
    </w:p>
    <w:p w:rsidR="002014CA" w:rsidRPr="00E10347" w:rsidRDefault="002014CA" w:rsidP="00E10347">
      <w:pPr>
        <w:pStyle w:val="Textonotapie"/>
        <w:ind w:left="567" w:firstLine="709"/>
        <w:jc w:val="both"/>
        <w:rPr>
          <w:rFonts w:ascii="Palatino Linotype" w:hAnsi="Palatino Linotype"/>
          <w:sz w:val="21"/>
          <w:szCs w:val="21"/>
        </w:rPr>
      </w:pPr>
      <w:r w:rsidRPr="00E10347">
        <w:rPr>
          <w:rFonts w:ascii="Palatino Linotype" w:hAnsi="Palatino Linotype"/>
          <w:sz w:val="21"/>
          <w:szCs w:val="21"/>
        </w:rPr>
        <w:t>“...de la armónica interpretación de los artículos 39 y 41 de la Carta Fundamental derivan derechos y garantías que, en su conjunto, delimitan el instituto del debido proceso. En él, todas las partes deben estar dotadas de medios e instrumentos para promover sus respectivos intereses de la manera que estimen más provechosa. Vale decir, en el proceso (y sin perjuicio -desde luego- de la potestad de conducción del juzgador, que hemos examinado anteriormente), las partes deben ser libres de diseñar y aplicar, según su leal saber y entender, una determinada estrategia para el mejor fomento de sus tesis.  Ahora bien, en el sub examine, es claro que si la norma que aquí se impugna obliga al juzgador a reducir forzosamente el número de las posiciones, en defecto de la parte proponente (quien razonablemente podría estimar que todas las preguntas que ha preparado para la confesión son atinentes y apropiadas), lo obliga a interferir en la estrategia de ataque o de defensa de aquélla”.</w:t>
      </w:r>
    </w:p>
    <w:p w:rsidR="009A5379" w:rsidRDefault="009A5379" w:rsidP="00E10347">
      <w:pPr>
        <w:jc w:val="both"/>
        <w:rPr>
          <w:rFonts w:ascii="Palatino Linotype" w:hAnsi="Palatino Linotype"/>
          <w:b/>
          <w:sz w:val="21"/>
          <w:szCs w:val="21"/>
        </w:rPr>
      </w:pP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 xml:space="preserve">4.- El sistema “oral” de pruebas y los principios que las rigen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El sistema probatorio, especialmente el del juicio oral para la evacuación de las pruebas, es el segundo gran tema que sufrió una profunda reforma, por la adopción del sistema oral.  </w:t>
      </w:r>
    </w:p>
    <w:p w:rsidR="009A5379" w:rsidRDefault="009A5379" w:rsidP="00E10347">
      <w:pPr>
        <w:jc w:val="both"/>
        <w:rPr>
          <w:rFonts w:ascii="Palatino Linotype" w:hAnsi="Palatino Linotype"/>
          <w:b/>
          <w:sz w:val="21"/>
          <w:szCs w:val="21"/>
        </w:rPr>
      </w:pP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a.- Análisis comparativo entre el NCPC y el CPCD sobre la forma de evacuación de las pruebas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El siguiente cuadro-resumen refleja tal cambio sustancial en el nuevo modelo:</w:t>
      </w:r>
    </w:p>
    <w:tbl>
      <w:tblPr>
        <w:tblpPr w:leftFromText="141" w:rightFromText="141" w:vertAnchor="text" w:horzAnchor="page" w:tblpX="1573" w:tblpY="-1654"/>
        <w:tblW w:w="8789" w:type="dxa"/>
        <w:tblLook w:val="0000" w:firstRow="0" w:lastRow="0" w:firstColumn="0" w:lastColumn="0" w:noHBand="0" w:noVBand="0"/>
      </w:tblPr>
      <w:tblGrid>
        <w:gridCol w:w="8789"/>
      </w:tblGrid>
      <w:tr w:rsidR="003F3E60" w:rsidRPr="00E10347" w:rsidTr="009C21BD">
        <w:trPr>
          <w:trHeight w:val="360"/>
        </w:trPr>
        <w:tc>
          <w:tcPr>
            <w:tcW w:w="8789" w:type="dxa"/>
          </w:tcPr>
          <w:p w:rsidR="008A479A" w:rsidRDefault="008A479A" w:rsidP="008A479A">
            <w:pPr>
              <w:rPr>
                <w:rFonts w:ascii="Palatino Linotype" w:hAnsi="Palatino Linotype"/>
                <w:b/>
                <w:sz w:val="21"/>
                <w:szCs w:val="21"/>
              </w:rPr>
            </w:pPr>
          </w:p>
          <w:p w:rsidR="008A479A" w:rsidRDefault="008A479A" w:rsidP="008A479A">
            <w:pPr>
              <w:rPr>
                <w:rFonts w:ascii="Palatino Linotype" w:hAnsi="Palatino Linotype"/>
                <w:b/>
                <w:sz w:val="21"/>
                <w:szCs w:val="21"/>
              </w:rPr>
            </w:pPr>
          </w:p>
          <w:p w:rsidR="008A479A" w:rsidRDefault="008A479A" w:rsidP="008A479A">
            <w:pPr>
              <w:rPr>
                <w:rFonts w:ascii="Palatino Linotype" w:hAnsi="Palatino Linotype"/>
                <w:b/>
                <w:sz w:val="21"/>
                <w:szCs w:val="21"/>
              </w:rPr>
            </w:pPr>
          </w:p>
          <w:p w:rsidR="008A479A" w:rsidRDefault="008A479A" w:rsidP="008A479A">
            <w:pPr>
              <w:rPr>
                <w:rFonts w:ascii="Palatino Linotype" w:hAnsi="Palatino Linotype"/>
                <w:b/>
                <w:sz w:val="21"/>
                <w:szCs w:val="21"/>
              </w:rPr>
            </w:pPr>
          </w:p>
          <w:p w:rsidR="008A479A" w:rsidRDefault="008A479A" w:rsidP="008A479A">
            <w:pPr>
              <w:rPr>
                <w:rFonts w:ascii="Palatino Linotype" w:hAnsi="Palatino Linotype"/>
                <w:b/>
                <w:sz w:val="21"/>
                <w:szCs w:val="21"/>
              </w:rPr>
            </w:pPr>
          </w:p>
          <w:p w:rsidR="008A479A" w:rsidRDefault="008A479A" w:rsidP="008A479A">
            <w:pPr>
              <w:rPr>
                <w:rFonts w:ascii="Palatino Linotype" w:hAnsi="Palatino Linotype"/>
                <w:b/>
                <w:sz w:val="21"/>
                <w:szCs w:val="21"/>
              </w:rPr>
            </w:pPr>
          </w:p>
          <w:p w:rsidR="008A479A" w:rsidRDefault="008A479A" w:rsidP="008A479A">
            <w:pPr>
              <w:rPr>
                <w:rFonts w:ascii="Palatino Linotype" w:hAnsi="Palatino Linotype"/>
                <w:b/>
                <w:sz w:val="21"/>
                <w:szCs w:val="21"/>
              </w:rPr>
            </w:pPr>
            <w:r w:rsidRPr="00E10347">
              <w:rPr>
                <w:rFonts w:ascii="Palatino Linotype" w:hAnsi="Palatino Linotype"/>
                <w:b/>
                <w:sz w:val="21"/>
                <w:szCs w:val="21"/>
              </w:rPr>
              <w:t>EVACUACIÓN DE LA PRUEBA: DIFERENCIAS ENTRE EL CPCD y EL NCPC</w:t>
            </w:r>
          </w:p>
          <w:p w:rsidR="008A479A" w:rsidRDefault="008A479A" w:rsidP="008A479A">
            <w:pPr>
              <w:rPr>
                <w:rFonts w:ascii="Palatino Linotype" w:hAnsi="Palatino Linotype"/>
                <w:b/>
                <w:sz w:val="21"/>
                <w:szCs w:val="21"/>
              </w:rPr>
            </w:pPr>
          </w:p>
          <w:tbl>
            <w:tblPr>
              <w:tblStyle w:val="Tablaconcuadrcula"/>
              <w:tblW w:w="0" w:type="auto"/>
              <w:tblLook w:val="04A0" w:firstRow="1" w:lastRow="0" w:firstColumn="1" w:lastColumn="0" w:noHBand="0" w:noVBand="1"/>
            </w:tblPr>
            <w:tblGrid>
              <w:gridCol w:w="4281"/>
              <w:gridCol w:w="4282"/>
            </w:tblGrid>
            <w:tr w:rsidR="008A479A" w:rsidTr="008A479A">
              <w:tc>
                <w:tcPr>
                  <w:tcW w:w="4281" w:type="dxa"/>
                </w:tcPr>
                <w:p w:rsidR="008A479A" w:rsidRPr="008A479A" w:rsidRDefault="008A479A" w:rsidP="00FC1DF6">
                  <w:pPr>
                    <w:framePr w:hSpace="141" w:wrap="around" w:vAnchor="text" w:hAnchor="page" w:x="1573" w:y="-1654"/>
                    <w:jc w:val="center"/>
                    <w:rPr>
                      <w:rFonts w:ascii="Palatino Linotype" w:hAnsi="Palatino Linotype"/>
                      <w:b/>
                      <w:sz w:val="20"/>
                      <w:szCs w:val="20"/>
                    </w:rPr>
                  </w:pPr>
                  <w:r w:rsidRPr="008A479A">
                    <w:rPr>
                      <w:rFonts w:ascii="Palatino Linotype" w:hAnsi="Palatino Linotype"/>
                      <w:b/>
                      <w:sz w:val="20"/>
                      <w:szCs w:val="20"/>
                    </w:rPr>
                    <w:t>CPCD (de 1989)</w:t>
                  </w:r>
                </w:p>
              </w:tc>
              <w:tc>
                <w:tcPr>
                  <w:tcW w:w="4282" w:type="dxa"/>
                </w:tcPr>
                <w:p w:rsidR="008A479A" w:rsidRPr="008A479A" w:rsidRDefault="008A479A" w:rsidP="00FC1DF6">
                  <w:pPr>
                    <w:framePr w:hSpace="141" w:wrap="around" w:vAnchor="text" w:hAnchor="page" w:x="1573" w:y="-1654"/>
                    <w:jc w:val="center"/>
                    <w:rPr>
                      <w:rFonts w:ascii="Palatino Linotype" w:hAnsi="Palatino Linotype"/>
                      <w:b/>
                      <w:sz w:val="20"/>
                      <w:szCs w:val="20"/>
                    </w:rPr>
                  </w:pPr>
                  <w:r w:rsidRPr="008A479A">
                    <w:rPr>
                      <w:rFonts w:ascii="Palatino Linotype" w:hAnsi="Palatino Linotype"/>
                      <w:b/>
                      <w:sz w:val="20"/>
                      <w:szCs w:val="20"/>
                    </w:rPr>
                    <w:t>NCPC (del 2016)</w:t>
                  </w:r>
                </w:p>
              </w:tc>
            </w:tr>
            <w:tr w:rsidR="008A479A" w:rsidTr="008A479A">
              <w:tc>
                <w:tcPr>
                  <w:tcW w:w="4281" w:type="dxa"/>
                </w:tcPr>
                <w:p w:rsidR="008A479A" w:rsidRPr="008A479A" w:rsidRDefault="008A479A" w:rsidP="00FC1DF6">
                  <w:pPr>
                    <w:framePr w:hSpace="141" w:wrap="around" w:vAnchor="text" w:hAnchor="page" w:x="1573" w:y="-1654"/>
                    <w:rPr>
                      <w:rFonts w:ascii="Palatino Linotype" w:hAnsi="Palatino Linotype"/>
                      <w:b/>
                      <w:sz w:val="20"/>
                      <w:szCs w:val="20"/>
                    </w:rPr>
                  </w:pPr>
                  <w:r w:rsidRPr="008A479A">
                    <w:rPr>
                      <w:rFonts w:ascii="Palatino Linotype" w:hAnsi="Palatino Linotype"/>
                      <w:sz w:val="20"/>
                      <w:szCs w:val="20"/>
                    </w:rPr>
                    <w:t>1) Prevalencia de sistema escrito en todo</w:t>
                  </w:r>
                </w:p>
              </w:tc>
              <w:tc>
                <w:tcPr>
                  <w:tcW w:w="4282" w:type="dxa"/>
                </w:tcPr>
                <w:p w:rsidR="008A479A" w:rsidRPr="008A479A" w:rsidRDefault="008A479A" w:rsidP="00FC1DF6">
                  <w:pPr>
                    <w:framePr w:hSpace="141" w:wrap="around" w:vAnchor="text" w:hAnchor="page" w:x="1573" w:y="-1654"/>
                    <w:rPr>
                      <w:rFonts w:ascii="Palatino Linotype" w:hAnsi="Palatino Linotype"/>
                      <w:b/>
                      <w:sz w:val="20"/>
                      <w:szCs w:val="20"/>
                    </w:rPr>
                  </w:pPr>
                  <w:r w:rsidRPr="008A479A">
                    <w:rPr>
                      <w:rFonts w:ascii="Palatino Linotype" w:hAnsi="Palatino Linotype"/>
                      <w:sz w:val="20"/>
                      <w:szCs w:val="20"/>
                    </w:rPr>
                    <w:t>1) Prevalece la oralidad -2.6, 2.7, 41.4.5 NCPC</w:t>
                  </w:r>
                </w:p>
              </w:tc>
            </w:tr>
            <w:tr w:rsidR="008A479A" w:rsidTr="008A479A">
              <w:tc>
                <w:tcPr>
                  <w:tcW w:w="4281" w:type="dxa"/>
                </w:tcPr>
                <w:p w:rsidR="008A479A" w:rsidRPr="008A479A" w:rsidRDefault="008A479A" w:rsidP="00FC1DF6">
                  <w:pPr>
                    <w:framePr w:hSpace="141" w:wrap="around" w:vAnchor="text" w:hAnchor="page" w:x="1573" w:y="-1654"/>
                    <w:rPr>
                      <w:rFonts w:ascii="Palatino Linotype" w:hAnsi="Palatino Linotype"/>
                      <w:b/>
                      <w:sz w:val="20"/>
                      <w:szCs w:val="20"/>
                    </w:rPr>
                  </w:pPr>
                  <w:r w:rsidRPr="008A479A">
                    <w:rPr>
                      <w:rFonts w:ascii="Palatino Linotype" w:hAnsi="Palatino Linotype"/>
                      <w:sz w:val="20"/>
                      <w:szCs w:val="20"/>
                    </w:rPr>
                    <w:t>2) Interrogatorios escritos y orales</w:t>
                  </w:r>
                </w:p>
              </w:tc>
              <w:tc>
                <w:tcPr>
                  <w:tcW w:w="4282" w:type="dxa"/>
                </w:tcPr>
                <w:p w:rsidR="008A479A" w:rsidRPr="008A479A" w:rsidRDefault="008A479A" w:rsidP="00FC1DF6">
                  <w:pPr>
                    <w:framePr w:hSpace="141" w:wrap="around" w:vAnchor="text" w:hAnchor="page" w:x="1573" w:y="-1654"/>
                    <w:rPr>
                      <w:rFonts w:ascii="Palatino Linotype" w:hAnsi="Palatino Linotype"/>
                      <w:b/>
                      <w:sz w:val="20"/>
                      <w:szCs w:val="20"/>
                    </w:rPr>
                  </w:pPr>
                  <w:r w:rsidRPr="008A479A">
                    <w:rPr>
                      <w:rFonts w:ascii="Palatino Linotype" w:hAnsi="Palatino Linotype"/>
                      <w:sz w:val="20"/>
                      <w:szCs w:val="20"/>
                    </w:rPr>
                    <w:t>2) Interrogatorios solo orales -41.4.5-</w:t>
                  </w:r>
                </w:p>
              </w:tc>
            </w:tr>
            <w:tr w:rsidR="008A479A" w:rsidTr="008A479A">
              <w:tc>
                <w:tcPr>
                  <w:tcW w:w="4281" w:type="dxa"/>
                </w:tcPr>
                <w:p w:rsidR="008A479A" w:rsidRPr="008A479A" w:rsidRDefault="008A479A" w:rsidP="00FC1DF6">
                  <w:pPr>
                    <w:framePr w:hSpace="141" w:wrap="around" w:vAnchor="text" w:hAnchor="page" w:x="1573" w:y="-1654"/>
                    <w:rPr>
                      <w:rFonts w:ascii="Palatino Linotype" w:hAnsi="Palatino Linotype"/>
                      <w:b/>
                      <w:sz w:val="20"/>
                      <w:szCs w:val="20"/>
                    </w:rPr>
                  </w:pPr>
                  <w:r w:rsidRPr="00E10347">
                    <w:rPr>
                      <w:rFonts w:ascii="Palatino Linotype" w:hAnsi="Palatino Linotype"/>
                      <w:sz w:val="21"/>
                      <w:szCs w:val="21"/>
                    </w:rPr>
                    <w:t>3) El juez califica o aprueba previamente las preguntas</w:t>
                  </w:r>
                </w:p>
              </w:tc>
              <w:tc>
                <w:tcPr>
                  <w:tcW w:w="4282" w:type="dxa"/>
                </w:tcPr>
                <w:p w:rsidR="008A479A" w:rsidRPr="008A479A" w:rsidRDefault="008A479A" w:rsidP="00FC1DF6">
                  <w:pPr>
                    <w:framePr w:hSpace="141" w:wrap="around" w:vAnchor="text" w:hAnchor="page" w:x="1573" w:y="-1654"/>
                    <w:rPr>
                      <w:rFonts w:ascii="Palatino Linotype" w:hAnsi="Palatino Linotype"/>
                      <w:b/>
                      <w:sz w:val="20"/>
                      <w:szCs w:val="20"/>
                    </w:rPr>
                  </w:pPr>
                  <w:r w:rsidRPr="00E10347">
                    <w:rPr>
                      <w:rFonts w:ascii="Palatino Linotype" w:hAnsi="Palatino Linotype"/>
                      <w:sz w:val="21"/>
                      <w:szCs w:val="21"/>
                    </w:rPr>
                    <w:t>3) El juez NO califica previamente las preguntas. Se hacen de manera directa -41.4.5-</w:t>
                  </w:r>
                </w:p>
              </w:tc>
            </w:tr>
            <w:tr w:rsidR="008A479A" w:rsidTr="008A479A">
              <w:tc>
                <w:tcPr>
                  <w:tcW w:w="4281" w:type="dxa"/>
                </w:tcPr>
                <w:p w:rsidR="008A479A" w:rsidRPr="008A479A" w:rsidRDefault="008A479A" w:rsidP="00FC1DF6">
                  <w:pPr>
                    <w:framePr w:hSpace="141" w:wrap="around" w:vAnchor="text" w:hAnchor="page" w:x="1573" w:y="-1654"/>
                    <w:rPr>
                      <w:rFonts w:ascii="Palatino Linotype" w:hAnsi="Palatino Linotype"/>
                      <w:b/>
                      <w:sz w:val="20"/>
                      <w:szCs w:val="20"/>
                    </w:rPr>
                  </w:pPr>
                  <w:r w:rsidRPr="00E10347">
                    <w:rPr>
                      <w:rFonts w:ascii="Palatino Linotype" w:hAnsi="Palatino Linotype"/>
                      <w:sz w:val="21"/>
                      <w:szCs w:val="21"/>
                    </w:rPr>
                    <w:t>4) Las declaraciones se transcriben en actas escritas</w:t>
                  </w:r>
                </w:p>
              </w:tc>
              <w:tc>
                <w:tcPr>
                  <w:tcW w:w="4282" w:type="dxa"/>
                </w:tcPr>
                <w:p w:rsidR="008A479A" w:rsidRPr="008A479A" w:rsidRDefault="008A479A" w:rsidP="00FC1DF6">
                  <w:pPr>
                    <w:framePr w:hSpace="141" w:wrap="around" w:vAnchor="text" w:hAnchor="page" w:x="1573" w:y="-1654"/>
                    <w:rPr>
                      <w:rFonts w:ascii="Palatino Linotype" w:hAnsi="Palatino Linotype"/>
                      <w:b/>
                      <w:sz w:val="20"/>
                      <w:szCs w:val="20"/>
                    </w:rPr>
                  </w:pPr>
                  <w:r w:rsidRPr="00E10347">
                    <w:rPr>
                      <w:rFonts w:ascii="Palatino Linotype" w:hAnsi="Palatino Linotype"/>
                      <w:sz w:val="21"/>
                      <w:szCs w:val="21"/>
                    </w:rPr>
                    <w:t xml:space="preserve">4) NO hay actas, </w:t>
                  </w:r>
                  <w:r w:rsidR="002A76CC">
                    <w:rPr>
                      <w:rFonts w:ascii="Palatino Linotype" w:hAnsi="Palatino Linotype"/>
                      <w:sz w:val="21"/>
                      <w:szCs w:val="21"/>
                    </w:rPr>
                    <w:t xml:space="preserve">solo </w:t>
                  </w:r>
                  <w:r w:rsidRPr="00E10347">
                    <w:rPr>
                      <w:rFonts w:ascii="Palatino Linotype" w:hAnsi="Palatino Linotype"/>
                      <w:sz w:val="21"/>
                      <w:szCs w:val="21"/>
                    </w:rPr>
                    <w:t>grabación audio y video -24.4, 41.4.5 y 41-.</w:t>
                  </w:r>
                </w:p>
              </w:tc>
            </w:tr>
            <w:tr w:rsidR="008A479A" w:rsidTr="008A479A">
              <w:tc>
                <w:tcPr>
                  <w:tcW w:w="4281" w:type="dxa"/>
                </w:tcPr>
                <w:p w:rsidR="008A479A" w:rsidRPr="008A479A" w:rsidRDefault="008A479A" w:rsidP="00FC1DF6">
                  <w:pPr>
                    <w:framePr w:hSpace="141" w:wrap="around" w:vAnchor="text" w:hAnchor="page" w:x="1573" w:y="-1654"/>
                    <w:rPr>
                      <w:rFonts w:ascii="Palatino Linotype" w:hAnsi="Palatino Linotype"/>
                      <w:b/>
                      <w:sz w:val="20"/>
                      <w:szCs w:val="20"/>
                    </w:rPr>
                  </w:pPr>
                  <w:r w:rsidRPr="00E10347">
                    <w:rPr>
                      <w:rFonts w:ascii="Palatino Linotype" w:hAnsi="Palatino Linotype"/>
                      <w:sz w:val="21"/>
                      <w:szCs w:val="21"/>
                    </w:rPr>
                    <w:t>5) Las oposiciones son orales, pero fase siguiente vuelve a ser escrita.</w:t>
                  </w:r>
                </w:p>
              </w:tc>
              <w:tc>
                <w:tcPr>
                  <w:tcW w:w="4282" w:type="dxa"/>
                </w:tcPr>
                <w:p w:rsidR="008A479A" w:rsidRPr="008A479A" w:rsidRDefault="008A479A" w:rsidP="00FC1DF6">
                  <w:pPr>
                    <w:framePr w:hSpace="141" w:wrap="around" w:vAnchor="text" w:hAnchor="page" w:x="1573" w:y="-1654"/>
                    <w:rPr>
                      <w:rFonts w:ascii="Palatino Linotype" w:hAnsi="Palatino Linotype"/>
                      <w:b/>
                      <w:sz w:val="20"/>
                      <w:szCs w:val="20"/>
                    </w:rPr>
                  </w:pPr>
                  <w:r w:rsidRPr="00E10347">
                    <w:rPr>
                      <w:rFonts w:ascii="Palatino Linotype" w:hAnsi="Palatino Linotype"/>
                      <w:sz w:val="21"/>
                      <w:szCs w:val="21"/>
                    </w:rPr>
                    <w:t>5) Las oposiciones a las preguntas son orales -41.4.5 pár. 4º y 2.6-.</w:t>
                  </w:r>
                </w:p>
              </w:tc>
            </w:tr>
            <w:tr w:rsidR="008A479A" w:rsidTr="008A479A">
              <w:tc>
                <w:tcPr>
                  <w:tcW w:w="4281" w:type="dxa"/>
                </w:tcPr>
                <w:p w:rsidR="008A479A" w:rsidRPr="008A479A" w:rsidRDefault="008A479A" w:rsidP="00FC1DF6">
                  <w:pPr>
                    <w:framePr w:hSpace="141" w:wrap="around" w:vAnchor="text" w:hAnchor="page" w:x="1573" w:y="-1654"/>
                    <w:rPr>
                      <w:rFonts w:ascii="Palatino Linotype" w:hAnsi="Palatino Linotype"/>
                      <w:b/>
                      <w:sz w:val="20"/>
                      <w:szCs w:val="20"/>
                    </w:rPr>
                  </w:pPr>
                  <w:r w:rsidRPr="00E10347">
                    <w:rPr>
                      <w:rFonts w:ascii="Palatino Linotype" w:hAnsi="Palatino Linotype"/>
                      <w:sz w:val="21"/>
                      <w:szCs w:val="21"/>
                    </w:rPr>
                    <w:t>6) Se saca al testigo o declarante</w:t>
                  </w:r>
                </w:p>
              </w:tc>
              <w:tc>
                <w:tcPr>
                  <w:tcW w:w="4282" w:type="dxa"/>
                </w:tcPr>
                <w:p w:rsidR="008A479A" w:rsidRPr="008A479A" w:rsidRDefault="008A479A" w:rsidP="00FC1DF6">
                  <w:pPr>
                    <w:framePr w:hSpace="141" w:wrap="around" w:vAnchor="text" w:hAnchor="page" w:x="1573" w:y="-1654"/>
                    <w:rPr>
                      <w:rFonts w:ascii="Palatino Linotype" w:hAnsi="Palatino Linotype"/>
                      <w:b/>
                      <w:sz w:val="20"/>
                      <w:szCs w:val="20"/>
                    </w:rPr>
                  </w:pPr>
                  <w:r w:rsidRPr="00E10347">
                    <w:rPr>
                      <w:rFonts w:ascii="Palatino Linotype" w:hAnsi="Palatino Linotype"/>
                      <w:sz w:val="21"/>
                      <w:szCs w:val="21"/>
                    </w:rPr>
                    <w:t>6) No se saca al testigo o declarante -solo excepcionalmente -41.4.5-.</w:t>
                  </w:r>
                </w:p>
              </w:tc>
            </w:tr>
            <w:tr w:rsidR="008A479A" w:rsidTr="008A479A">
              <w:tc>
                <w:tcPr>
                  <w:tcW w:w="4281" w:type="dxa"/>
                </w:tcPr>
                <w:p w:rsidR="008A479A" w:rsidRPr="008A479A" w:rsidRDefault="008A479A" w:rsidP="00FC1DF6">
                  <w:pPr>
                    <w:framePr w:hSpace="141" w:wrap="around" w:vAnchor="text" w:hAnchor="page" w:x="1573" w:y="-1654"/>
                    <w:rPr>
                      <w:rFonts w:ascii="Palatino Linotype" w:hAnsi="Palatino Linotype"/>
                      <w:b/>
                      <w:sz w:val="20"/>
                      <w:szCs w:val="20"/>
                    </w:rPr>
                  </w:pPr>
                  <w:r w:rsidRPr="00E10347">
                    <w:rPr>
                      <w:rFonts w:ascii="Palatino Linotype" w:hAnsi="Palatino Linotype"/>
                      <w:sz w:val="21"/>
                      <w:szCs w:val="21"/>
                    </w:rPr>
                    <w:t>7) La resolución del juez (acerca de la prueba) es escrita</w:t>
                  </w:r>
                </w:p>
              </w:tc>
              <w:tc>
                <w:tcPr>
                  <w:tcW w:w="4282" w:type="dxa"/>
                </w:tcPr>
                <w:p w:rsidR="008A479A" w:rsidRPr="008A479A" w:rsidRDefault="008A479A" w:rsidP="00FC1DF6">
                  <w:pPr>
                    <w:framePr w:hSpace="141" w:wrap="around" w:vAnchor="text" w:hAnchor="page" w:x="1573" w:y="-1654"/>
                    <w:rPr>
                      <w:rFonts w:ascii="Palatino Linotype" w:hAnsi="Palatino Linotype"/>
                      <w:b/>
                      <w:sz w:val="20"/>
                      <w:szCs w:val="20"/>
                    </w:rPr>
                  </w:pPr>
                  <w:r w:rsidRPr="00E10347">
                    <w:rPr>
                      <w:rFonts w:ascii="Palatino Linotype" w:hAnsi="Palatino Linotype"/>
                      <w:sz w:val="21"/>
                      <w:szCs w:val="21"/>
                    </w:rPr>
                    <w:t>7) La resolución del juez (acerca de la prueba) es oral -art. 58.2, 2.7-</w:t>
                  </w:r>
                </w:p>
              </w:tc>
            </w:tr>
            <w:tr w:rsidR="008A479A" w:rsidTr="008A479A">
              <w:tc>
                <w:tcPr>
                  <w:tcW w:w="4281" w:type="dxa"/>
                </w:tcPr>
                <w:p w:rsidR="008A479A" w:rsidRPr="008A479A" w:rsidRDefault="008A479A" w:rsidP="00FC1DF6">
                  <w:pPr>
                    <w:framePr w:hSpace="141" w:wrap="around" w:vAnchor="text" w:hAnchor="page" w:x="1573" w:y="-1654"/>
                    <w:rPr>
                      <w:rFonts w:ascii="Palatino Linotype" w:hAnsi="Palatino Linotype"/>
                      <w:b/>
                      <w:sz w:val="20"/>
                      <w:szCs w:val="20"/>
                    </w:rPr>
                  </w:pPr>
                  <w:r w:rsidRPr="00E10347">
                    <w:rPr>
                      <w:rFonts w:ascii="Palatino Linotype" w:hAnsi="Palatino Linotype"/>
                      <w:sz w:val="21"/>
                      <w:szCs w:val="21"/>
                    </w:rPr>
                    <w:t>8) El recurso contra la resolución del juez es oral</w:t>
                  </w:r>
                </w:p>
              </w:tc>
              <w:tc>
                <w:tcPr>
                  <w:tcW w:w="4282" w:type="dxa"/>
                </w:tcPr>
                <w:p w:rsidR="008A479A" w:rsidRPr="008A479A" w:rsidRDefault="008A479A" w:rsidP="00FC1DF6">
                  <w:pPr>
                    <w:framePr w:hSpace="141" w:wrap="around" w:vAnchor="text" w:hAnchor="page" w:x="1573" w:y="-1654"/>
                    <w:rPr>
                      <w:rFonts w:ascii="Palatino Linotype" w:hAnsi="Palatino Linotype"/>
                      <w:b/>
                      <w:sz w:val="20"/>
                      <w:szCs w:val="20"/>
                    </w:rPr>
                  </w:pPr>
                  <w:r w:rsidRPr="00E10347">
                    <w:rPr>
                      <w:rFonts w:ascii="Palatino Linotype" w:hAnsi="Palatino Linotype"/>
                      <w:sz w:val="21"/>
                      <w:szCs w:val="21"/>
                    </w:rPr>
                    <w:t>8) El recurso contra la resolución del juez es oral -art. 66.2-</w:t>
                  </w:r>
                </w:p>
              </w:tc>
            </w:tr>
            <w:tr w:rsidR="008A479A" w:rsidTr="008A479A">
              <w:tc>
                <w:tcPr>
                  <w:tcW w:w="4281" w:type="dxa"/>
                </w:tcPr>
                <w:p w:rsidR="008A479A" w:rsidRPr="008A479A" w:rsidRDefault="008A479A" w:rsidP="00FC1DF6">
                  <w:pPr>
                    <w:framePr w:hSpace="141" w:wrap="around" w:vAnchor="text" w:hAnchor="page" w:x="1573" w:y="-1654"/>
                    <w:rPr>
                      <w:rFonts w:ascii="Palatino Linotype" w:hAnsi="Palatino Linotype"/>
                      <w:b/>
                      <w:sz w:val="20"/>
                      <w:szCs w:val="20"/>
                    </w:rPr>
                  </w:pPr>
                  <w:r w:rsidRPr="00E10347">
                    <w:rPr>
                      <w:rFonts w:ascii="Palatino Linotype" w:hAnsi="Palatino Linotype"/>
                      <w:sz w:val="21"/>
                      <w:szCs w:val="21"/>
                    </w:rPr>
                    <w:t>9) En caso de oposición se consigna sucintamente en el acta la decisión-</w:t>
                  </w:r>
                </w:p>
              </w:tc>
              <w:tc>
                <w:tcPr>
                  <w:tcW w:w="4282" w:type="dxa"/>
                </w:tcPr>
                <w:p w:rsidR="008A479A" w:rsidRPr="008A479A" w:rsidRDefault="008A479A" w:rsidP="00FC1DF6">
                  <w:pPr>
                    <w:framePr w:hSpace="141" w:wrap="around" w:vAnchor="text" w:hAnchor="page" w:x="1573" w:y="-1654"/>
                    <w:rPr>
                      <w:rFonts w:ascii="Palatino Linotype" w:hAnsi="Palatino Linotype"/>
                      <w:b/>
                      <w:sz w:val="20"/>
                      <w:szCs w:val="20"/>
                    </w:rPr>
                  </w:pPr>
                  <w:r w:rsidRPr="00E10347">
                    <w:rPr>
                      <w:rFonts w:ascii="Palatino Linotype" w:hAnsi="Palatino Linotype"/>
                      <w:sz w:val="21"/>
                      <w:szCs w:val="21"/>
                    </w:rPr>
                    <w:t>9) La decisión del juez es oral -58.2 y 66.2-</w:t>
                  </w:r>
                </w:p>
              </w:tc>
            </w:tr>
            <w:tr w:rsidR="008A479A" w:rsidTr="008A479A">
              <w:tc>
                <w:tcPr>
                  <w:tcW w:w="4281" w:type="dxa"/>
                </w:tcPr>
                <w:p w:rsidR="008A479A" w:rsidRPr="00E10347" w:rsidRDefault="008A479A" w:rsidP="00FC1DF6">
                  <w:pPr>
                    <w:framePr w:hSpace="141" w:wrap="around" w:vAnchor="text" w:hAnchor="page" w:x="1573" w:y="-1654"/>
                    <w:rPr>
                      <w:rFonts w:ascii="Palatino Linotype" w:hAnsi="Palatino Linotype"/>
                      <w:sz w:val="21"/>
                      <w:szCs w:val="21"/>
                    </w:rPr>
                  </w:pPr>
                  <w:r w:rsidRPr="00E10347">
                    <w:rPr>
                      <w:rFonts w:ascii="Palatino Linotype" w:hAnsi="Palatino Linotype"/>
                      <w:sz w:val="21"/>
                      <w:szCs w:val="21"/>
                    </w:rPr>
                    <w:t>10) El que pregunta primero en el interrogatorio es el juez y las partes repreguntan</w:t>
                  </w:r>
                </w:p>
              </w:tc>
              <w:tc>
                <w:tcPr>
                  <w:tcW w:w="4282" w:type="dxa"/>
                </w:tcPr>
                <w:p w:rsidR="008A479A" w:rsidRPr="00E10347" w:rsidRDefault="008A479A" w:rsidP="00FC1DF6">
                  <w:pPr>
                    <w:framePr w:hSpace="141" w:wrap="around" w:vAnchor="text" w:hAnchor="page" w:x="1573" w:y="-1654"/>
                    <w:rPr>
                      <w:rFonts w:ascii="Palatino Linotype" w:hAnsi="Palatino Linotype"/>
                      <w:sz w:val="21"/>
                      <w:szCs w:val="21"/>
                    </w:rPr>
                  </w:pPr>
                  <w:r w:rsidRPr="00E10347">
                    <w:rPr>
                      <w:rFonts w:ascii="Palatino Linotype" w:hAnsi="Palatino Linotype"/>
                      <w:sz w:val="21"/>
                      <w:szCs w:val="21"/>
                    </w:rPr>
                    <w:t>10) Pregunta primero el proponente de la prueba, después la contraparte y de último el juez -41.4.4-</w:t>
                  </w:r>
                </w:p>
              </w:tc>
            </w:tr>
            <w:tr w:rsidR="008A479A" w:rsidTr="008A479A">
              <w:tc>
                <w:tcPr>
                  <w:tcW w:w="4281" w:type="dxa"/>
                </w:tcPr>
                <w:p w:rsidR="008A479A" w:rsidRPr="00E10347" w:rsidRDefault="00A44ABF" w:rsidP="00FC1DF6">
                  <w:pPr>
                    <w:framePr w:hSpace="141" w:wrap="around" w:vAnchor="text" w:hAnchor="page" w:x="1573" w:y="-1654"/>
                    <w:rPr>
                      <w:rFonts w:ascii="Palatino Linotype" w:hAnsi="Palatino Linotype"/>
                      <w:sz w:val="21"/>
                      <w:szCs w:val="21"/>
                    </w:rPr>
                  </w:pPr>
                  <w:r w:rsidRPr="00E10347">
                    <w:rPr>
                      <w:rFonts w:ascii="Palatino Linotype" w:hAnsi="Palatino Linotype"/>
                      <w:sz w:val="21"/>
                      <w:szCs w:val="21"/>
                    </w:rPr>
                    <w:lastRenderedPageBreak/>
                    <w:t>11) No hay segunda ronda de preguntas</w:t>
                  </w:r>
                </w:p>
              </w:tc>
              <w:tc>
                <w:tcPr>
                  <w:tcW w:w="4282" w:type="dxa"/>
                </w:tcPr>
                <w:p w:rsidR="008A479A" w:rsidRPr="00E10347" w:rsidRDefault="00A44ABF" w:rsidP="00FC1DF6">
                  <w:pPr>
                    <w:framePr w:hSpace="141" w:wrap="around" w:vAnchor="text" w:hAnchor="page" w:x="1573" w:y="-1654"/>
                    <w:rPr>
                      <w:rFonts w:ascii="Palatino Linotype" w:hAnsi="Palatino Linotype"/>
                      <w:sz w:val="21"/>
                      <w:szCs w:val="21"/>
                    </w:rPr>
                  </w:pPr>
                  <w:r w:rsidRPr="00E10347">
                    <w:rPr>
                      <w:rFonts w:ascii="Palatino Linotype" w:hAnsi="Palatino Linotype"/>
                      <w:sz w:val="21"/>
                      <w:szCs w:val="21"/>
                    </w:rPr>
                    <w:t>11) Hay segunda ronda de preguntas aclaratorias para testigos -43.4-.</w:t>
                  </w:r>
                </w:p>
              </w:tc>
            </w:tr>
            <w:tr w:rsidR="00A44ABF" w:rsidTr="008A479A">
              <w:tc>
                <w:tcPr>
                  <w:tcW w:w="4281" w:type="dxa"/>
                </w:tcPr>
                <w:p w:rsidR="00A44ABF" w:rsidRPr="00E10347" w:rsidRDefault="00A44ABF" w:rsidP="00FC1DF6">
                  <w:pPr>
                    <w:framePr w:hSpace="141" w:wrap="around" w:vAnchor="text" w:hAnchor="page" w:x="1573" w:y="-1654"/>
                    <w:rPr>
                      <w:rFonts w:ascii="Palatino Linotype" w:hAnsi="Palatino Linotype"/>
                      <w:sz w:val="21"/>
                      <w:szCs w:val="21"/>
                    </w:rPr>
                  </w:pPr>
                  <w:r w:rsidRPr="00E10347">
                    <w:rPr>
                      <w:rFonts w:ascii="Palatino Linotype" w:hAnsi="Palatino Linotype"/>
                      <w:sz w:val="21"/>
                      <w:szCs w:val="21"/>
                    </w:rPr>
                    <w:t>12) Las audiencias son desconcentradas.</w:t>
                  </w:r>
                </w:p>
              </w:tc>
              <w:tc>
                <w:tcPr>
                  <w:tcW w:w="4282" w:type="dxa"/>
                </w:tcPr>
                <w:p w:rsidR="00A44ABF" w:rsidRPr="00E10347" w:rsidRDefault="00A44ABF" w:rsidP="00FC1DF6">
                  <w:pPr>
                    <w:framePr w:hSpace="141" w:wrap="around" w:vAnchor="text" w:hAnchor="page" w:x="1573" w:y="-1654"/>
                    <w:rPr>
                      <w:rFonts w:ascii="Palatino Linotype" w:hAnsi="Palatino Linotype"/>
                      <w:sz w:val="21"/>
                      <w:szCs w:val="21"/>
                    </w:rPr>
                  </w:pPr>
                  <w:r w:rsidRPr="00E10347">
                    <w:rPr>
                      <w:rFonts w:ascii="Palatino Linotype" w:hAnsi="Palatino Linotype"/>
                      <w:sz w:val="21"/>
                      <w:szCs w:val="21"/>
                    </w:rPr>
                    <w:t>12) Audiencias concentradas: principio de unidad de la audiencia -art. 50, 41.4.3 y 2.8-</w:t>
                  </w:r>
                </w:p>
              </w:tc>
            </w:tr>
            <w:tr w:rsidR="00A44ABF" w:rsidTr="008A479A">
              <w:tc>
                <w:tcPr>
                  <w:tcW w:w="4281" w:type="dxa"/>
                </w:tcPr>
                <w:p w:rsidR="00A44ABF" w:rsidRPr="00E10347" w:rsidRDefault="00A44ABF" w:rsidP="00FC1DF6">
                  <w:pPr>
                    <w:framePr w:hSpace="141" w:wrap="around" w:vAnchor="text" w:hAnchor="page" w:x="1573" w:y="-1654"/>
                    <w:rPr>
                      <w:rFonts w:ascii="Palatino Linotype" w:hAnsi="Palatino Linotype"/>
                      <w:sz w:val="21"/>
                      <w:szCs w:val="21"/>
                    </w:rPr>
                  </w:pPr>
                  <w:r w:rsidRPr="00E10347">
                    <w:rPr>
                      <w:rFonts w:ascii="Palatino Linotype" w:hAnsi="Palatino Linotype"/>
                      <w:sz w:val="21"/>
                      <w:szCs w:val="21"/>
                    </w:rPr>
                    <w:t>13) La sentencia la dicta cualquier juez.</w:t>
                  </w:r>
                </w:p>
              </w:tc>
              <w:tc>
                <w:tcPr>
                  <w:tcW w:w="4282" w:type="dxa"/>
                </w:tcPr>
                <w:p w:rsidR="00A44ABF" w:rsidRPr="00E10347" w:rsidRDefault="00A44ABF" w:rsidP="00FC1DF6">
                  <w:pPr>
                    <w:framePr w:hSpace="141" w:wrap="around" w:vAnchor="text" w:hAnchor="page" w:x="1573" w:y="-1654"/>
                    <w:rPr>
                      <w:rFonts w:ascii="Palatino Linotype" w:hAnsi="Palatino Linotype"/>
                      <w:sz w:val="21"/>
                      <w:szCs w:val="21"/>
                    </w:rPr>
                  </w:pPr>
                  <w:r w:rsidRPr="00E10347">
                    <w:rPr>
                      <w:rFonts w:ascii="Palatino Linotype" w:hAnsi="Palatino Linotype"/>
                      <w:sz w:val="21"/>
                      <w:szCs w:val="21"/>
                    </w:rPr>
                    <w:t>13) La sentencia la debe dictar el juez que evaluó la prueba -50 y 2.7-</w:t>
                  </w:r>
                </w:p>
              </w:tc>
            </w:tr>
            <w:tr w:rsidR="00A44ABF" w:rsidTr="008A479A">
              <w:tc>
                <w:tcPr>
                  <w:tcW w:w="4281" w:type="dxa"/>
                </w:tcPr>
                <w:p w:rsidR="00A44ABF" w:rsidRPr="00E10347" w:rsidRDefault="00A44ABF" w:rsidP="00FC1DF6">
                  <w:pPr>
                    <w:framePr w:hSpace="141" w:wrap="around" w:vAnchor="text" w:hAnchor="page" w:x="1573" w:y="-1654"/>
                    <w:rPr>
                      <w:rFonts w:ascii="Palatino Linotype" w:hAnsi="Palatino Linotype"/>
                      <w:sz w:val="21"/>
                      <w:szCs w:val="21"/>
                    </w:rPr>
                  </w:pPr>
                  <w:r w:rsidRPr="00E10347">
                    <w:rPr>
                      <w:rFonts w:ascii="Palatino Linotype" w:hAnsi="Palatino Linotype"/>
                      <w:sz w:val="21"/>
                      <w:szCs w:val="21"/>
                    </w:rPr>
                    <w:t>14) Se permite delegar la evacuación de la prueba.</w:t>
                  </w:r>
                </w:p>
              </w:tc>
              <w:tc>
                <w:tcPr>
                  <w:tcW w:w="4282" w:type="dxa"/>
                </w:tcPr>
                <w:p w:rsidR="00A44ABF" w:rsidRPr="00E10347" w:rsidRDefault="00A44ABF" w:rsidP="00FC1DF6">
                  <w:pPr>
                    <w:framePr w:hSpace="141" w:wrap="around" w:vAnchor="text" w:hAnchor="page" w:x="1573" w:y="-1654"/>
                    <w:rPr>
                      <w:rFonts w:ascii="Palatino Linotype" w:hAnsi="Palatino Linotype"/>
                      <w:sz w:val="21"/>
                      <w:szCs w:val="21"/>
                    </w:rPr>
                  </w:pPr>
                  <w:r w:rsidRPr="00E10347">
                    <w:rPr>
                      <w:rFonts w:ascii="Palatino Linotype" w:hAnsi="Palatino Linotype"/>
                      <w:sz w:val="21"/>
                      <w:szCs w:val="21"/>
                    </w:rPr>
                    <w:t>14) No se puede delegar por la regla anterior -existen 3 excepciones, 2.7, 50.5, 102.5-.</w:t>
                  </w:r>
                </w:p>
              </w:tc>
            </w:tr>
            <w:tr w:rsidR="00A44ABF" w:rsidTr="008A479A">
              <w:tc>
                <w:tcPr>
                  <w:tcW w:w="4281" w:type="dxa"/>
                </w:tcPr>
                <w:p w:rsidR="00A44ABF" w:rsidRPr="00E10347" w:rsidRDefault="00A44ABF" w:rsidP="00FC1DF6">
                  <w:pPr>
                    <w:framePr w:hSpace="141" w:wrap="around" w:vAnchor="text" w:hAnchor="page" w:x="1573" w:y="-1654"/>
                    <w:rPr>
                      <w:rFonts w:ascii="Palatino Linotype" w:hAnsi="Palatino Linotype"/>
                      <w:sz w:val="21"/>
                      <w:szCs w:val="21"/>
                    </w:rPr>
                  </w:pPr>
                  <w:r w:rsidRPr="00E10347">
                    <w:rPr>
                      <w:rFonts w:ascii="Palatino Linotype" w:hAnsi="Palatino Linotype"/>
                      <w:sz w:val="21"/>
                      <w:szCs w:val="21"/>
                    </w:rPr>
                    <w:t>15) Interrogatorio indirecto</w:t>
                  </w:r>
                </w:p>
              </w:tc>
              <w:tc>
                <w:tcPr>
                  <w:tcW w:w="4282" w:type="dxa"/>
                </w:tcPr>
                <w:p w:rsidR="00A44ABF" w:rsidRPr="00E10347" w:rsidRDefault="00A44ABF" w:rsidP="00FC1DF6">
                  <w:pPr>
                    <w:framePr w:hSpace="141" w:wrap="around" w:vAnchor="text" w:hAnchor="page" w:x="1573" w:y="-1654"/>
                    <w:rPr>
                      <w:rFonts w:ascii="Palatino Linotype" w:hAnsi="Palatino Linotype"/>
                      <w:sz w:val="21"/>
                      <w:szCs w:val="21"/>
                    </w:rPr>
                  </w:pPr>
                  <w:r w:rsidRPr="00E10347">
                    <w:rPr>
                      <w:rFonts w:ascii="Palatino Linotype" w:hAnsi="Palatino Linotype"/>
                      <w:sz w:val="21"/>
                      <w:szCs w:val="21"/>
                    </w:rPr>
                    <w:t>15) Interrogatorio directo, sin intermediación del juez -41.4.5-.</w:t>
                  </w:r>
                </w:p>
              </w:tc>
            </w:tr>
            <w:tr w:rsidR="00A44ABF" w:rsidTr="008A479A">
              <w:tc>
                <w:tcPr>
                  <w:tcW w:w="4281" w:type="dxa"/>
                </w:tcPr>
                <w:p w:rsidR="00A44ABF" w:rsidRPr="00E10347" w:rsidRDefault="00A44ABF" w:rsidP="00FC1DF6">
                  <w:pPr>
                    <w:framePr w:hSpace="141" w:wrap="around" w:vAnchor="text" w:hAnchor="page" w:x="1573" w:y="-1654"/>
                    <w:rPr>
                      <w:rFonts w:ascii="Palatino Linotype" w:hAnsi="Palatino Linotype"/>
                      <w:sz w:val="21"/>
                      <w:szCs w:val="21"/>
                    </w:rPr>
                  </w:pPr>
                  <w:r w:rsidRPr="00E10347">
                    <w:rPr>
                      <w:rFonts w:ascii="Palatino Linotype" w:hAnsi="Palatino Linotype"/>
                      <w:sz w:val="21"/>
                      <w:szCs w:val="21"/>
                    </w:rPr>
                    <w:t>16) En el interrogatorio se pueden leer las preguntas.</w:t>
                  </w:r>
                </w:p>
              </w:tc>
              <w:tc>
                <w:tcPr>
                  <w:tcW w:w="4282" w:type="dxa"/>
                </w:tcPr>
                <w:p w:rsidR="00A44ABF" w:rsidRPr="00E10347" w:rsidRDefault="00A44ABF" w:rsidP="00FC1DF6">
                  <w:pPr>
                    <w:framePr w:hSpace="141" w:wrap="around" w:vAnchor="text" w:hAnchor="page" w:x="1573" w:y="-1654"/>
                    <w:rPr>
                      <w:rFonts w:ascii="Palatino Linotype" w:hAnsi="Palatino Linotype"/>
                      <w:sz w:val="21"/>
                      <w:szCs w:val="21"/>
                    </w:rPr>
                  </w:pPr>
                  <w:r w:rsidRPr="00E10347">
                    <w:rPr>
                      <w:rFonts w:ascii="Palatino Linotype" w:hAnsi="Palatino Linotype"/>
                      <w:sz w:val="21"/>
                      <w:szCs w:val="21"/>
                    </w:rPr>
                    <w:t>16) No se pueden leer las preguntas pues es oral -41.4.5-.</w:t>
                  </w:r>
                </w:p>
              </w:tc>
            </w:tr>
            <w:tr w:rsidR="00A44ABF" w:rsidTr="008A479A">
              <w:tc>
                <w:tcPr>
                  <w:tcW w:w="4281" w:type="dxa"/>
                </w:tcPr>
                <w:p w:rsidR="00A44ABF" w:rsidRPr="00E10347" w:rsidRDefault="00A44ABF" w:rsidP="00FC1DF6">
                  <w:pPr>
                    <w:framePr w:hSpace="141" w:wrap="around" w:vAnchor="text" w:hAnchor="page" w:x="1573" w:y="-1654"/>
                    <w:rPr>
                      <w:rFonts w:ascii="Palatino Linotype" w:hAnsi="Palatino Linotype"/>
                      <w:sz w:val="21"/>
                      <w:szCs w:val="21"/>
                    </w:rPr>
                  </w:pPr>
                  <w:r w:rsidRPr="00E10347">
                    <w:rPr>
                      <w:rFonts w:ascii="Palatino Linotype" w:hAnsi="Palatino Linotype"/>
                      <w:sz w:val="21"/>
                      <w:szCs w:val="21"/>
                    </w:rPr>
                    <w:t>17) El control de las preguntas inadmisibles las tiene el juez, concurriendo con la parte.</w:t>
                  </w:r>
                </w:p>
              </w:tc>
              <w:tc>
                <w:tcPr>
                  <w:tcW w:w="4282" w:type="dxa"/>
                </w:tcPr>
                <w:p w:rsidR="00A44ABF" w:rsidRPr="00E10347" w:rsidRDefault="00A44ABF" w:rsidP="00FC1DF6">
                  <w:pPr>
                    <w:framePr w:hSpace="141" w:wrap="around" w:vAnchor="text" w:hAnchor="page" w:x="1573" w:y="-1654"/>
                    <w:rPr>
                      <w:rFonts w:ascii="Palatino Linotype" w:hAnsi="Palatino Linotype"/>
                      <w:sz w:val="21"/>
                      <w:szCs w:val="21"/>
                    </w:rPr>
                  </w:pPr>
                  <w:r w:rsidRPr="00E10347">
                    <w:rPr>
                      <w:rFonts w:ascii="Palatino Linotype" w:hAnsi="Palatino Linotype"/>
                      <w:sz w:val="21"/>
                      <w:szCs w:val="21"/>
                    </w:rPr>
                    <w:t>17) El control de las preguntas la tiene el abogado contrario. (Excepción: pregunta muy inapropiada para que el juez tenga la iniciativa de intervenir y reprobarla).</w:t>
                  </w:r>
                </w:p>
              </w:tc>
            </w:tr>
            <w:tr w:rsidR="00A44ABF" w:rsidTr="008A479A">
              <w:tc>
                <w:tcPr>
                  <w:tcW w:w="4281" w:type="dxa"/>
                </w:tcPr>
                <w:p w:rsidR="00A44ABF" w:rsidRPr="00E10347" w:rsidRDefault="00A44ABF" w:rsidP="00FC1DF6">
                  <w:pPr>
                    <w:framePr w:hSpace="141" w:wrap="around" w:vAnchor="text" w:hAnchor="page" w:x="1573" w:y="-1654"/>
                    <w:rPr>
                      <w:rFonts w:ascii="Palatino Linotype" w:hAnsi="Palatino Linotype"/>
                      <w:sz w:val="21"/>
                      <w:szCs w:val="21"/>
                    </w:rPr>
                  </w:pPr>
                  <w:r w:rsidRPr="00E10347">
                    <w:rPr>
                      <w:rFonts w:ascii="Palatino Linotype" w:hAnsi="Palatino Linotype"/>
                      <w:sz w:val="21"/>
                      <w:szCs w:val="21"/>
                    </w:rPr>
                    <w:t>18) Las declaraciones son de espalda a las partes, frente al juez.</w:t>
                  </w:r>
                </w:p>
              </w:tc>
              <w:tc>
                <w:tcPr>
                  <w:tcW w:w="4282" w:type="dxa"/>
                </w:tcPr>
                <w:p w:rsidR="00A44ABF" w:rsidRPr="00E10347" w:rsidRDefault="00A44ABF" w:rsidP="00FC1DF6">
                  <w:pPr>
                    <w:framePr w:hSpace="141" w:wrap="around" w:vAnchor="text" w:hAnchor="page" w:x="1573" w:y="-1654"/>
                    <w:rPr>
                      <w:rFonts w:ascii="Palatino Linotype" w:hAnsi="Palatino Linotype"/>
                      <w:sz w:val="21"/>
                      <w:szCs w:val="21"/>
                    </w:rPr>
                  </w:pPr>
                  <w:r w:rsidRPr="00E10347">
                    <w:rPr>
                      <w:rFonts w:ascii="Palatino Linotype" w:hAnsi="Palatino Linotype"/>
                      <w:sz w:val="21"/>
                      <w:szCs w:val="21"/>
                    </w:rPr>
                    <w:t>18) Las declaraciones son al lado de las partes y frente al juez: físicamente el declarante está en medio de las dos partes.</w:t>
                  </w:r>
                </w:p>
              </w:tc>
            </w:tr>
          </w:tbl>
          <w:p w:rsidR="008A479A" w:rsidRDefault="008A479A" w:rsidP="008A479A">
            <w:pPr>
              <w:rPr>
                <w:rFonts w:ascii="Palatino Linotype" w:hAnsi="Palatino Linotype"/>
                <w:b/>
                <w:sz w:val="21"/>
                <w:szCs w:val="21"/>
              </w:rPr>
            </w:pPr>
          </w:p>
          <w:p w:rsidR="002014CA" w:rsidRPr="00E10347" w:rsidRDefault="002014CA" w:rsidP="008A479A">
            <w:pPr>
              <w:rPr>
                <w:rFonts w:ascii="Palatino Linotype" w:hAnsi="Palatino Linotype"/>
                <w:b/>
                <w:sz w:val="21"/>
                <w:szCs w:val="21"/>
              </w:rPr>
            </w:pPr>
          </w:p>
        </w:tc>
      </w:tr>
    </w:tbl>
    <w:p w:rsidR="00A44ABF" w:rsidRDefault="00A44ABF" w:rsidP="00E10347">
      <w:pPr>
        <w:jc w:val="both"/>
        <w:rPr>
          <w:rFonts w:ascii="Palatino Linotype" w:hAnsi="Palatino Linotype"/>
          <w:b/>
          <w:sz w:val="21"/>
          <w:szCs w:val="21"/>
        </w:rPr>
      </w:pPr>
    </w:p>
    <w:p w:rsidR="00A44ABF" w:rsidRDefault="00A44ABF" w:rsidP="00A44ABF">
      <w:r>
        <w:br w:type="page"/>
      </w:r>
    </w:p>
    <w:p w:rsidR="002014CA" w:rsidRPr="00E10347" w:rsidRDefault="00A44ABF" w:rsidP="00E10347">
      <w:pPr>
        <w:jc w:val="both"/>
        <w:rPr>
          <w:rFonts w:ascii="Palatino Linotype" w:hAnsi="Palatino Linotype"/>
          <w:b/>
          <w:sz w:val="21"/>
          <w:szCs w:val="21"/>
        </w:rPr>
      </w:pPr>
      <w:r>
        <w:rPr>
          <w:rFonts w:ascii="Palatino Linotype" w:hAnsi="Palatino Linotype"/>
          <w:b/>
          <w:sz w:val="21"/>
          <w:szCs w:val="21"/>
        </w:rPr>
        <w:lastRenderedPageBreak/>
        <w:t xml:space="preserve">b.-  Un cambio de </w:t>
      </w:r>
      <w:r w:rsidR="002014CA" w:rsidRPr="00E10347">
        <w:rPr>
          <w:rFonts w:ascii="Palatino Linotype" w:hAnsi="Palatino Linotype"/>
          <w:b/>
          <w:sz w:val="21"/>
          <w:szCs w:val="21"/>
        </w:rPr>
        <w:t>paradigma. La oralidad en las pruebas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En recientes reformas el legislador no se preocupó por desarrollar un tema tan delicado como es la forma oral en los interrogatorios y el cambio de paradigmas que ello significa respecto de un sistema escrito</w:t>
      </w:r>
      <w:r w:rsidRPr="00E10347">
        <w:rPr>
          <w:rStyle w:val="Refdenotaalpie"/>
          <w:rFonts w:ascii="Palatino Linotype" w:hAnsi="Palatino Linotype"/>
          <w:sz w:val="21"/>
          <w:szCs w:val="21"/>
        </w:rPr>
        <w:footnoteReference w:id="213"/>
      </w:r>
      <w:r w:rsidRPr="00E10347">
        <w:rPr>
          <w:rFonts w:ascii="Palatino Linotype" w:hAnsi="Palatino Linotype"/>
          <w:sz w:val="21"/>
          <w:szCs w:val="21"/>
        </w:rPr>
        <w:t xml:space="preserve">.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La Comisión Redactora Original –Artavia-Zeledón-Montenegro, se dio la tarea de investigar y con base en la experiencia en materia arbitral y de la presencia en otros sistemas –Alemania, Puerto Rico, Uruguay, Italia, España, Estados Unidos, redactaron diversas normas que posibilitaran un sistema oral en la evacuación de las pruebas, que fuera congruente con el sistema por audiencias que adoptara el Código; y por supuesto, con los principios de inmediación y oral que lo inspiraban</w:t>
      </w:r>
      <w:r w:rsidRPr="00E10347">
        <w:rPr>
          <w:rStyle w:val="Refdenotaalpie"/>
          <w:rFonts w:ascii="Palatino Linotype" w:hAnsi="Palatino Linotype"/>
          <w:sz w:val="21"/>
          <w:szCs w:val="21"/>
        </w:rPr>
        <w:footnoteReference w:id="214"/>
      </w:r>
      <w:r w:rsidRPr="00E10347">
        <w:rPr>
          <w:rFonts w:ascii="Palatino Linotype" w:hAnsi="Palatino Linotype"/>
          <w:sz w:val="21"/>
          <w:szCs w:val="21"/>
        </w:rPr>
        <w:t xml:space="preserve">.  Pero especialmente tuvo como norma el devolver a las partes, como es debido en un sistema oral, la iniciativa probatoria en tema a la forma de interrogar y conducir el interrogatorio, siempre por iniciativa de la parte, con el control prudente del juez.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La estructura oral del proceso conduce necesariamente a un cambio de paradigma en la forma en que se interroga y en general se evacúa la prueba en los procesos por audiencias.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pacing w:val="-3"/>
          <w:sz w:val="21"/>
          <w:szCs w:val="21"/>
        </w:rPr>
        <w:t xml:space="preserve">El rostro, la sinceridad, la psicología y pensamiento en general del abogado, </w:t>
      </w:r>
      <w:r w:rsidRPr="00E10347">
        <w:rPr>
          <w:rFonts w:ascii="Palatino Linotype" w:hAnsi="Palatino Linotype"/>
          <w:spacing w:val="-3"/>
          <w:sz w:val="21"/>
          <w:szCs w:val="21"/>
        </w:rPr>
        <w:lastRenderedPageBreak/>
        <w:t xml:space="preserve">debe cambiar, ya señala Nietzsche “la boca puede mentir, pero la mueca que se hace en ese momento revela, sin embargo, la verdad”.  Como afirmara Calamandrei </w:t>
      </w:r>
      <w:r w:rsidRPr="00E10347">
        <w:rPr>
          <w:rFonts w:ascii="Palatino Linotype" w:hAnsi="Palatino Linotype"/>
          <w:sz w:val="21"/>
          <w:szCs w:val="21"/>
        </w:rPr>
        <w:t>“...la oralidad es la expresión de la confianza ( “me basta tu palabra” ), mientras la escritura es la expresión de la cautela desconfiada …( “las palabras vuelan, los escritos quedan”) …desconfianza del juez hacia el abogado, desconfianza del abogado hacia el abogado contrario” y agrega “hay otra razón que explica por qué con frecuencia los abogados prefieren escribir y no hablar: por escrito se pueden presentar, sin rubor, tesis que no se tendría el valor de sostener delante del juez (el papel no se sonroja)”</w:t>
      </w:r>
      <w:r w:rsidRPr="00E10347">
        <w:rPr>
          <w:rStyle w:val="Refdenotaalpie"/>
          <w:rFonts w:ascii="Palatino Linotype" w:hAnsi="Palatino Linotype"/>
          <w:sz w:val="21"/>
          <w:szCs w:val="21"/>
        </w:rPr>
        <w:footnoteReference w:id="215"/>
      </w:r>
      <w:r w:rsidRPr="00E10347">
        <w:rPr>
          <w:rFonts w:ascii="Palatino Linotype" w:hAnsi="Palatino Linotype"/>
          <w:sz w:val="21"/>
          <w:szCs w:val="21"/>
        </w:rPr>
        <w:t>.</w:t>
      </w:r>
    </w:p>
    <w:p w:rsidR="009A5379" w:rsidRDefault="009A5379" w:rsidP="00E10347">
      <w:pPr>
        <w:jc w:val="both"/>
        <w:rPr>
          <w:rFonts w:ascii="Palatino Linotype" w:hAnsi="Palatino Linotype"/>
          <w:b/>
          <w:sz w:val="21"/>
          <w:szCs w:val="21"/>
        </w:rPr>
      </w:pP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c.- La evacuación de la prueba se hace de manera oral</w:t>
      </w:r>
    </w:p>
    <w:p w:rsidR="002014CA" w:rsidRPr="00E10347" w:rsidRDefault="002014CA" w:rsidP="00E10347">
      <w:pPr>
        <w:ind w:firstLine="709"/>
        <w:jc w:val="both"/>
        <w:rPr>
          <w:rFonts w:ascii="Palatino Linotype" w:hAnsi="Palatino Linotype"/>
          <w:spacing w:val="-3"/>
          <w:sz w:val="21"/>
          <w:szCs w:val="21"/>
        </w:rPr>
      </w:pPr>
      <w:r w:rsidRPr="00E10347">
        <w:rPr>
          <w:rFonts w:ascii="Palatino Linotype" w:hAnsi="Palatino Linotype"/>
          <w:sz w:val="21"/>
          <w:szCs w:val="21"/>
        </w:rPr>
        <w:t xml:space="preserve">El primer principio o </w:t>
      </w:r>
      <w:r w:rsidRPr="00E10347">
        <w:rPr>
          <w:rFonts w:ascii="Palatino Linotype" w:hAnsi="Palatino Linotype"/>
          <w:spacing w:val="-3"/>
          <w:sz w:val="21"/>
          <w:szCs w:val="21"/>
        </w:rPr>
        <w:t xml:space="preserve">regla que debe seguirse, en la evacuación de la prueba, en un sistema por audiencia, es que esta debe hacerse de manera oral.  La forma oral significa, como se verá, que los testigos declaran a viva a voz, sin trascripción de su declaración, sino simplemente el tribunal oyendo y grabando tal declaración.   El sistema oral significa la inexistencia de secretarios o de jueces que transcriban. No se interpone el papel entre la declaración y el diálogo de los declarantes, partes y el tribunal.  Si es un sistema oral, igual debe ser las declaraciones, no transcritas.  Al ser oral los interrogatorios, no se permite leer las declaraciones, menos incorporar declaraciones escritas tipo </w:t>
      </w:r>
      <w:r w:rsidRPr="00E10347">
        <w:rPr>
          <w:rFonts w:ascii="Palatino Linotype" w:hAnsi="Palatino Linotype"/>
          <w:i/>
          <w:spacing w:val="-3"/>
          <w:sz w:val="21"/>
          <w:szCs w:val="21"/>
        </w:rPr>
        <w:t>affideveit</w:t>
      </w:r>
      <w:r w:rsidRPr="00E10347">
        <w:rPr>
          <w:rFonts w:ascii="Palatino Linotype" w:hAnsi="Palatino Linotype"/>
          <w:spacing w:val="-3"/>
          <w:sz w:val="21"/>
          <w:szCs w:val="21"/>
        </w:rPr>
        <w:t xml:space="preserve"> americanos que se han ido introduciendo al arbitraje</w:t>
      </w:r>
      <w:r w:rsidRPr="00E10347">
        <w:rPr>
          <w:rStyle w:val="Refdenotaalpie"/>
          <w:rFonts w:ascii="Palatino Linotype" w:hAnsi="Palatino Linotype"/>
          <w:spacing w:val="-3"/>
          <w:sz w:val="21"/>
          <w:szCs w:val="21"/>
        </w:rPr>
        <w:footnoteReference w:id="216"/>
      </w:r>
      <w:r w:rsidRPr="00E10347">
        <w:rPr>
          <w:rFonts w:ascii="Palatino Linotype" w:hAnsi="Palatino Linotype"/>
          <w:spacing w:val="-3"/>
          <w:sz w:val="21"/>
          <w:szCs w:val="21"/>
        </w:rPr>
        <w:t>.</w:t>
      </w:r>
    </w:p>
    <w:p w:rsidR="009A5379" w:rsidRDefault="009A5379" w:rsidP="00E10347">
      <w:pPr>
        <w:jc w:val="both"/>
        <w:rPr>
          <w:rFonts w:ascii="Palatino Linotype" w:hAnsi="Palatino Linotype"/>
          <w:b/>
          <w:spacing w:val="-3"/>
          <w:sz w:val="21"/>
          <w:szCs w:val="21"/>
        </w:rPr>
      </w:pPr>
    </w:p>
    <w:p w:rsidR="002014CA" w:rsidRPr="00E10347" w:rsidRDefault="002014CA" w:rsidP="00E10347">
      <w:pPr>
        <w:jc w:val="both"/>
        <w:rPr>
          <w:rFonts w:ascii="Palatino Linotype" w:hAnsi="Palatino Linotype"/>
          <w:b/>
          <w:spacing w:val="-3"/>
          <w:sz w:val="21"/>
          <w:szCs w:val="21"/>
        </w:rPr>
      </w:pPr>
      <w:r w:rsidRPr="00E10347">
        <w:rPr>
          <w:rFonts w:ascii="Palatino Linotype" w:hAnsi="Palatino Linotype"/>
          <w:b/>
          <w:spacing w:val="-3"/>
          <w:sz w:val="21"/>
          <w:szCs w:val="21"/>
        </w:rPr>
        <w:t>d.- La inmediación de la prueba</w:t>
      </w:r>
    </w:p>
    <w:p w:rsidR="002014CA" w:rsidRPr="00E10347" w:rsidRDefault="002014CA" w:rsidP="00E10347">
      <w:pPr>
        <w:ind w:firstLine="709"/>
        <w:jc w:val="both"/>
        <w:rPr>
          <w:rFonts w:ascii="Palatino Linotype" w:hAnsi="Palatino Linotype"/>
          <w:spacing w:val="-3"/>
          <w:sz w:val="21"/>
          <w:szCs w:val="21"/>
        </w:rPr>
      </w:pPr>
      <w:r w:rsidRPr="00E10347">
        <w:rPr>
          <w:rFonts w:ascii="Palatino Linotype" w:hAnsi="Palatino Linotype"/>
          <w:spacing w:val="-3"/>
          <w:sz w:val="21"/>
          <w:szCs w:val="21"/>
        </w:rPr>
        <w:t xml:space="preserve">La segunda regla a seguir, en la evacuación de la prueba es la de la “inmediación”.  La inmediación de las pruebas, en un proceso de audiencias orales, supone un contacto de las partes con el material probatorio, en todo sentido y supone también un nuevo paradigma en la forma de cómo se evacúa, cómo se pregunta, cómo se opone y cuáles son las funciones y potestades del tribunal.   </w:t>
      </w:r>
    </w:p>
    <w:p w:rsidR="002014CA" w:rsidRPr="00E10347" w:rsidRDefault="002014CA" w:rsidP="00E10347">
      <w:pPr>
        <w:ind w:firstLine="709"/>
        <w:jc w:val="both"/>
        <w:rPr>
          <w:rFonts w:ascii="Palatino Linotype" w:hAnsi="Palatino Linotype"/>
          <w:spacing w:val="-3"/>
          <w:sz w:val="21"/>
          <w:szCs w:val="21"/>
        </w:rPr>
      </w:pPr>
      <w:r w:rsidRPr="00E10347">
        <w:rPr>
          <w:rFonts w:ascii="Palatino Linotype" w:hAnsi="Palatino Linotype"/>
          <w:spacing w:val="-3"/>
          <w:sz w:val="21"/>
          <w:szCs w:val="21"/>
        </w:rPr>
        <w:t xml:space="preserve">El sistema oral de las pruebas, el verdadero examen de las pruebas en audiencia diríamos, elimina el interrogatorio indirecto, de preguntas escritas, la intermediación del tribunal, de transcripción exacta del acta o la declaración.  Tampoco el sistema oral permite que el abogado lea las preguntas al declarante, ni que se </w:t>
      </w:r>
      <w:r w:rsidRPr="00E10347">
        <w:rPr>
          <w:rFonts w:ascii="Palatino Linotype" w:hAnsi="Palatino Linotype"/>
          <w:spacing w:val="-3"/>
          <w:sz w:val="21"/>
          <w:szCs w:val="21"/>
        </w:rPr>
        <w:lastRenderedPageBreak/>
        <w:t xml:space="preserve">presenten interrogatorios por escrito, salvo la declaración de parte en caso de ausencia. Nada obsta para que el abogado lleve una guía –conocida como línea de interrogatorio- para llevar un perfil de preguntas, pero no para leer, pues en la oralidad las preguntas son orales. </w:t>
      </w:r>
    </w:p>
    <w:p w:rsidR="009A5379" w:rsidRDefault="009A5379" w:rsidP="00E10347">
      <w:pPr>
        <w:jc w:val="both"/>
        <w:rPr>
          <w:rFonts w:ascii="Palatino Linotype" w:hAnsi="Palatino Linotype"/>
          <w:b/>
          <w:spacing w:val="-3"/>
          <w:sz w:val="21"/>
          <w:szCs w:val="21"/>
        </w:rPr>
      </w:pPr>
    </w:p>
    <w:p w:rsidR="002014CA" w:rsidRPr="00E10347" w:rsidRDefault="002014CA" w:rsidP="00E10347">
      <w:pPr>
        <w:jc w:val="both"/>
        <w:rPr>
          <w:rFonts w:ascii="Palatino Linotype" w:hAnsi="Palatino Linotype"/>
          <w:b/>
          <w:spacing w:val="-3"/>
          <w:sz w:val="21"/>
          <w:szCs w:val="21"/>
        </w:rPr>
      </w:pPr>
      <w:r w:rsidRPr="00E10347">
        <w:rPr>
          <w:rFonts w:ascii="Palatino Linotype" w:hAnsi="Palatino Linotype"/>
          <w:b/>
          <w:spacing w:val="-3"/>
          <w:sz w:val="21"/>
          <w:szCs w:val="21"/>
        </w:rPr>
        <w:t>e.- La iniciativa probatoria y de interrogatorios lo tienen las partes</w:t>
      </w:r>
    </w:p>
    <w:p w:rsidR="002014CA" w:rsidRPr="00E10347" w:rsidRDefault="002014CA" w:rsidP="00E10347">
      <w:pPr>
        <w:suppressAutoHyphens/>
        <w:ind w:firstLine="709"/>
        <w:jc w:val="both"/>
        <w:rPr>
          <w:rFonts w:ascii="Palatino Linotype" w:hAnsi="Palatino Linotype"/>
          <w:spacing w:val="-3"/>
          <w:sz w:val="21"/>
          <w:szCs w:val="21"/>
        </w:rPr>
      </w:pPr>
      <w:r w:rsidRPr="00E10347">
        <w:rPr>
          <w:rFonts w:ascii="Palatino Linotype" w:hAnsi="Palatino Linotype"/>
          <w:spacing w:val="-3"/>
          <w:sz w:val="21"/>
          <w:szCs w:val="21"/>
        </w:rPr>
        <w:t xml:space="preserve">En un sistema por audiencias orales, son las partes quienes tienen la iniciativa de interrogatorio. Son las partes las que interrogan directamente de manera oral, luego lo hace el tribunal si tiene alguna duda. De manera que, en este tránsito de la escritura a la oralidad en las pruebas, se pasa de un sistema de “repreguntas” –porque en el sistema escrito el tribunal era el que preguntaba y las partes solo repreguntaban de lo que habían contestado los declarantes al tribunal- a un sistema de preguntas directas, orales, naturales del proponente, esto es por los abogados.  </w:t>
      </w:r>
    </w:p>
    <w:p w:rsidR="002014CA" w:rsidRPr="00E10347" w:rsidRDefault="002014CA" w:rsidP="00E10347">
      <w:pPr>
        <w:suppressAutoHyphens/>
        <w:ind w:firstLine="709"/>
        <w:jc w:val="both"/>
        <w:rPr>
          <w:rFonts w:ascii="Palatino Linotype" w:hAnsi="Palatino Linotype"/>
          <w:spacing w:val="-3"/>
          <w:sz w:val="21"/>
          <w:szCs w:val="21"/>
        </w:rPr>
      </w:pPr>
      <w:r w:rsidRPr="00E10347">
        <w:rPr>
          <w:rFonts w:ascii="Palatino Linotype" w:hAnsi="Palatino Linotype"/>
          <w:spacing w:val="-3"/>
          <w:sz w:val="21"/>
          <w:szCs w:val="21"/>
        </w:rPr>
        <w:t>Se pasa de una iniciativa de diálogo controlada por el tribunal, a un diálogo directo entre abogado y declarante, donde el abogado no depende de lo que ya el tribunal haya o no preguntado, pues ahora el tribunal pregunta al final. Los declarantes son abordados primeros por el abogado que los ofreció. Luego por la contraria -</w:t>
      </w:r>
      <w:r w:rsidRPr="00E10347">
        <w:rPr>
          <w:rFonts w:ascii="Palatino Linotype" w:hAnsi="Palatino Linotype"/>
          <w:i/>
          <w:sz w:val="21"/>
          <w:szCs w:val="21"/>
        </w:rPr>
        <w:t>cross examination</w:t>
      </w:r>
      <w:r w:rsidRPr="00E10347">
        <w:rPr>
          <w:rFonts w:ascii="Palatino Linotype" w:hAnsi="Palatino Linotype"/>
          <w:sz w:val="21"/>
          <w:szCs w:val="21"/>
        </w:rPr>
        <w:t xml:space="preserve"> inglés</w:t>
      </w:r>
      <w:r w:rsidRPr="00E10347">
        <w:rPr>
          <w:rStyle w:val="Refdenotaalpie"/>
          <w:rFonts w:ascii="Palatino Linotype" w:hAnsi="Palatino Linotype"/>
          <w:sz w:val="21"/>
          <w:szCs w:val="21"/>
        </w:rPr>
        <w:footnoteReference w:id="217"/>
      </w:r>
      <w:r w:rsidRPr="00E10347">
        <w:rPr>
          <w:rFonts w:ascii="Palatino Linotype" w:hAnsi="Palatino Linotype"/>
          <w:sz w:val="21"/>
          <w:szCs w:val="21"/>
        </w:rPr>
        <w:t>-</w:t>
      </w:r>
      <w:r w:rsidRPr="00E10347">
        <w:rPr>
          <w:rFonts w:ascii="Palatino Linotype" w:hAnsi="Palatino Linotype"/>
          <w:spacing w:val="-3"/>
          <w:sz w:val="21"/>
          <w:szCs w:val="21"/>
        </w:rPr>
        <w:t>, finalmente por el tribunal.</w:t>
      </w:r>
    </w:p>
    <w:p w:rsidR="002014CA" w:rsidRPr="00E10347" w:rsidRDefault="002014CA" w:rsidP="00E10347">
      <w:pPr>
        <w:suppressAutoHyphens/>
        <w:ind w:firstLine="709"/>
        <w:jc w:val="both"/>
        <w:rPr>
          <w:rFonts w:ascii="Palatino Linotype" w:hAnsi="Palatino Linotype"/>
          <w:spacing w:val="-3"/>
          <w:sz w:val="21"/>
          <w:szCs w:val="21"/>
        </w:rPr>
      </w:pPr>
      <w:r w:rsidRPr="00E10347">
        <w:rPr>
          <w:rFonts w:ascii="Palatino Linotype" w:hAnsi="Palatino Linotype"/>
          <w:spacing w:val="-3"/>
          <w:sz w:val="21"/>
          <w:szCs w:val="21"/>
        </w:rPr>
        <w:t>Este cambio en el sistema, para un examen directo de los declarantes tiene especial relevancia para la teoría del caso, pues como sostienen Bayterlan y Duce</w:t>
      </w:r>
      <w:r w:rsidRPr="00E10347">
        <w:rPr>
          <w:rStyle w:val="Refdenotaalpie"/>
          <w:rFonts w:ascii="Palatino Linotype" w:hAnsi="Palatino Linotype"/>
          <w:spacing w:val="-3"/>
          <w:sz w:val="21"/>
          <w:szCs w:val="21"/>
        </w:rPr>
        <w:footnoteReference w:id="218"/>
      </w:r>
      <w:r w:rsidRPr="00E10347">
        <w:rPr>
          <w:rFonts w:ascii="Palatino Linotype" w:hAnsi="Palatino Linotype"/>
          <w:spacing w:val="-3"/>
          <w:sz w:val="21"/>
          <w:szCs w:val="21"/>
        </w:rPr>
        <w:t>, el examen directo tiene como objetivos solventar la credibilidad del testigo, acreditar las proposiciones fácticas de nuestra teoría del caso, acreditar e introducir al juicio prueba material -objetos y documentos- por medio de sus declaraciones y obtener información relevante para el análisis de otra prueba, que no necesariamente se vincula al relato de los hechos que constituyen el caso de fondo, pero sí la información contextual que pueda servir para fortalecer mi propia teoría del caso o desacreditar al adversario.  Bergman</w:t>
      </w:r>
      <w:r w:rsidRPr="00E10347">
        <w:rPr>
          <w:rStyle w:val="Refdenotaalpie"/>
          <w:rFonts w:ascii="Palatino Linotype" w:hAnsi="Palatino Linotype"/>
          <w:spacing w:val="-3"/>
          <w:sz w:val="21"/>
          <w:szCs w:val="21"/>
        </w:rPr>
        <w:footnoteReference w:id="219"/>
      </w:r>
      <w:r w:rsidRPr="00E10347">
        <w:rPr>
          <w:rFonts w:ascii="Palatino Linotype" w:hAnsi="Palatino Linotype"/>
          <w:spacing w:val="-3"/>
          <w:sz w:val="21"/>
          <w:szCs w:val="21"/>
        </w:rPr>
        <w:t xml:space="preserve"> señala que un examen directo eficaz persuade al juzgado de que la declaración de un testigo es exacta, y ayuda al juzgador a identificar la evidencia </w:t>
      </w:r>
      <w:r w:rsidRPr="00E10347">
        <w:rPr>
          <w:rFonts w:ascii="Palatino Linotype" w:hAnsi="Palatino Linotype"/>
          <w:spacing w:val="-3"/>
          <w:sz w:val="21"/>
          <w:szCs w:val="21"/>
        </w:rPr>
        <w:lastRenderedPageBreak/>
        <w:t>importante que demuestra las proposiciones fácticas.  Un examen directo efectivo debe ser persuasivo y convincente.</w:t>
      </w:r>
    </w:p>
    <w:p w:rsidR="009A5379" w:rsidRDefault="009A5379" w:rsidP="00E10347">
      <w:pPr>
        <w:suppressAutoHyphens/>
        <w:jc w:val="both"/>
        <w:rPr>
          <w:rFonts w:ascii="Palatino Linotype" w:hAnsi="Palatino Linotype"/>
          <w:b/>
          <w:spacing w:val="-3"/>
          <w:sz w:val="21"/>
          <w:szCs w:val="21"/>
        </w:rPr>
      </w:pPr>
    </w:p>
    <w:p w:rsidR="002014CA" w:rsidRPr="00E10347" w:rsidRDefault="002014CA" w:rsidP="00E10347">
      <w:pPr>
        <w:suppressAutoHyphens/>
        <w:jc w:val="both"/>
        <w:rPr>
          <w:rFonts w:ascii="Palatino Linotype" w:hAnsi="Palatino Linotype"/>
          <w:b/>
          <w:spacing w:val="-3"/>
          <w:sz w:val="21"/>
          <w:szCs w:val="21"/>
        </w:rPr>
      </w:pPr>
      <w:r w:rsidRPr="00E10347">
        <w:rPr>
          <w:rFonts w:ascii="Palatino Linotype" w:hAnsi="Palatino Linotype"/>
          <w:b/>
          <w:spacing w:val="-3"/>
          <w:sz w:val="21"/>
          <w:szCs w:val="21"/>
        </w:rPr>
        <w:t>f.- El tribunal ya no califica previamente las preguntas</w:t>
      </w:r>
    </w:p>
    <w:p w:rsidR="002014CA" w:rsidRPr="00E10347" w:rsidRDefault="002014CA" w:rsidP="00E10347">
      <w:pPr>
        <w:suppressAutoHyphens/>
        <w:ind w:firstLine="709"/>
        <w:jc w:val="both"/>
        <w:rPr>
          <w:rFonts w:ascii="Palatino Linotype" w:hAnsi="Palatino Linotype"/>
          <w:sz w:val="21"/>
          <w:szCs w:val="21"/>
        </w:rPr>
      </w:pPr>
      <w:r w:rsidRPr="00E10347">
        <w:rPr>
          <w:rFonts w:ascii="Palatino Linotype" w:hAnsi="Palatino Linotype"/>
          <w:spacing w:val="-3"/>
          <w:sz w:val="21"/>
          <w:szCs w:val="21"/>
        </w:rPr>
        <w:t>En el sistema oral de pruebas, el tribunal no admite o califica previamente las preguntas, solo puede rechazar las impertinentes o abusivas</w:t>
      </w:r>
      <w:r w:rsidRPr="00E10347">
        <w:rPr>
          <w:rStyle w:val="Refdenotaalpie"/>
          <w:rFonts w:ascii="Palatino Linotype" w:hAnsi="Palatino Linotype"/>
          <w:spacing w:val="-3"/>
          <w:sz w:val="21"/>
          <w:szCs w:val="21"/>
        </w:rPr>
        <w:footnoteReference w:id="220"/>
      </w:r>
      <w:r w:rsidRPr="00E10347">
        <w:rPr>
          <w:rFonts w:ascii="Palatino Linotype" w:hAnsi="Palatino Linotype"/>
          <w:spacing w:val="-3"/>
          <w:sz w:val="21"/>
          <w:szCs w:val="21"/>
        </w:rPr>
        <w:t xml:space="preserve">. Tal técnica de interrogatorio directo se aplica a la prueba de testigos, interrogatorio de parte y pericial.  En efecto, </w:t>
      </w:r>
      <w:r w:rsidRPr="00E10347">
        <w:rPr>
          <w:rFonts w:ascii="Palatino Linotype" w:hAnsi="Palatino Linotype"/>
          <w:sz w:val="21"/>
          <w:szCs w:val="21"/>
        </w:rPr>
        <w:t xml:space="preserve">todas las pruebas de declaración se evacúa de manera oral, sin interrogatorio previo o formal, sin transcripciones porque se graban y lo que es mejor, el interrogatorio lo realizan directamente las partes, llevando los abogados la estrategia y el rol del interrogatorio, por supuesto que el tribunal puede controlar las preguntas impertinentes e inadmisibles.  </w:t>
      </w:r>
    </w:p>
    <w:p w:rsidR="002014CA" w:rsidRPr="00E10347" w:rsidRDefault="002014CA" w:rsidP="00E10347">
      <w:pPr>
        <w:suppressAutoHyphens/>
        <w:ind w:firstLine="709"/>
        <w:jc w:val="both"/>
        <w:rPr>
          <w:rFonts w:ascii="Palatino Linotype" w:hAnsi="Palatino Linotype"/>
          <w:sz w:val="21"/>
          <w:szCs w:val="21"/>
        </w:rPr>
      </w:pPr>
      <w:r w:rsidRPr="00E10347">
        <w:rPr>
          <w:rFonts w:ascii="Palatino Linotype" w:hAnsi="Palatino Linotype"/>
          <w:sz w:val="21"/>
          <w:szCs w:val="21"/>
        </w:rPr>
        <w:t xml:space="preserve">El tribunal al finalizar el interrogatorio por las partes, solo hasta ese momento podrá hacer preguntas, no antes, menos estar interrumpiendo o sustituir el orden o el rol que el NCPC ha concedido a los actores –no al director- del debate.   Eso es como el directo de una película se ponga a interrumpir y actuar en vez de los actores. </w:t>
      </w:r>
    </w:p>
    <w:p w:rsidR="002014CA" w:rsidRPr="00E10347" w:rsidRDefault="002014CA" w:rsidP="00E10347">
      <w:pPr>
        <w:suppressAutoHyphens/>
        <w:ind w:firstLine="709"/>
        <w:jc w:val="both"/>
        <w:rPr>
          <w:rFonts w:ascii="Palatino Linotype" w:hAnsi="Palatino Linotype"/>
          <w:sz w:val="21"/>
          <w:szCs w:val="21"/>
        </w:rPr>
      </w:pPr>
      <w:r w:rsidRPr="00E10347">
        <w:rPr>
          <w:rFonts w:ascii="Palatino Linotype" w:hAnsi="Palatino Linotype"/>
          <w:sz w:val="21"/>
          <w:szCs w:val="21"/>
        </w:rPr>
        <w:t xml:space="preserve">En el sistema oral de evacuación de las pruebas, el tribunal ya no aprueba las preguntas, ni califica el interrogatorio, ni homologa preguntas, no podrá exigir interrogatorio escrito,  previo, ni examinar las preguntas que se formularán, ni interrumpir la deposición del declarante, simplemente escucha el interrogatorio que hace el abogado directo al declarante, las admite de manera presunta o silenciosa, sin interrupción y solo en el caso de que la pregunta sea claramente impertinente, sugestiva o capciosa la rechazará; o bien, cuando la parte contraria se oponga, examinará la procedencia o no de la pregunta.  </w:t>
      </w:r>
    </w:p>
    <w:p w:rsidR="002014CA" w:rsidRPr="00E10347" w:rsidRDefault="002014CA" w:rsidP="00E10347">
      <w:pPr>
        <w:suppressAutoHyphens/>
        <w:ind w:firstLine="709"/>
        <w:jc w:val="both"/>
        <w:rPr>
          <w:rFonts w:ascii="Palatino Linotype" w:hAnsi="Palatino Linotype"/>
          <w:sz w:val="21"/>
          <w:szCs w:val="21"/>
        </w:rPr>
      </w:pPr>
      <w:r w:rsidRPr="00E10347">
        <w:rPr>
          <w:rFonts w:ascii="Palatino Linotype" w:hAnsi="Palatino Linotype"/>
          <w:sz w:val="21"/>
          <w:szCs w:val="21"/>
        </w:rPr>
        <w:t>Como es debido, ahora sí, en ambos sistemas –oral y escrito-, el tribunal moderará el interrogatorio, y por ello evitará y rechazará preguntas capciosas, sugestivas o impertinentes y procurará que el interrogatorio se conduzca sin presiones indebidas y sin ofender la dignidad de las personas.</w:t>
      </w:r>
    </w:p>
    <w:p w:rsidR="009A5379" w:rsidRDefault="009A5379" w:rsidP="00E10347">
      <w:pPr>
        <w:suppressAutoHyphens/>
        <w:jc w:val="both"/>
        <w:rPr>
          <w:rFonts w:ascii="Palatino Linotype" w:hAnsi="Palatino Linotype"/>
          <w:b/>
          <w:sz w:val="21"/>
          <w:szCs w:val="21"/>
        </w:rPr>
      </w:pPr>
    </w:p>
    <w:p w:rsidR="002014CA" w:rsidRPr="00E10347" w:rsidRDefault="002014CA" w:rsidP="00E10347">
      <w:pPr>
        <w:suppressAutoHyphens/>
        <w:jc w:val="both"/>
        <w:rPr>
          <w:rFonts w:ascii="Palatino Linotype" w:hAnsi="Palatino Linotype"/>
          <w:sz w:val="21"/>
          <w:szCs w:val="21"/>
        </w:rPr>
      </w:pPr>
      <w:r w:rsidRPr="00E10347">
        <w:rPr>
          <w:rFonts w:ascii="Palatino Linotype" w:hAnsi="Palatino Linotype"/>
          <w:b/>
          <w:sz w:val="21"/>
          <w:szCs w:val="21"/>
        </w:rPr>
        <w:lastRenderedPageBreak/>
        <w:t>g.- Quién pregunta primero en los interrogatorios orales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En un sistema oral de interrogatorios, primero preguntará la parte que la propuso, luego la contraria, y, finalmente, el tribunal. Esto viene justificado por la preparación que ha debido realizar el abogado del interrogatorio y la línea de ese interrogatorio, por temas y declarantes, pero especialmente por su teoría del caso que ha formulado y preparado.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En sistemas orales, es inaceptable que primero pregunte el tribunal, menos que el declarante –testigo o perito por ejp- declaren inicialmente sin la iniciativa del interrogatorio de la parte que los ofreció</w:t>
      </w:r>
      <w:r w:rsidRPr="00E10347">
        <w:rPr>
          <w:rStyle w:val="Refdenotaalpie"/>
          <w:rFonts w:ascii="Palatino Linotype" w:hAnsi="Palatino Linotype"/>
          <w:sz w:val="21"/>
          <w:szCs w:val="21"/>
        </w:rPr>
        <w:footnoteReference w:id="221"/>
      </w:r>
      <w:r w:rsidRPr="00E10347">
        <w:rPr>
          <w:rFonts w:ascii="Palatino Linotype" w:hAnsi="Palatino Linotype"/>
          <w:sz w:val="21"/>
          <w:szCs w:val="21"/>
        </w:rPr>
        <w:t xml:space="preserve">.  Esto puede agotar o “quemar” el impacto que se pretende con tal o cual prueba, lo que solo sabe el abogado proponente y no el declarante, que muchas veces no es experto en el tema.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El tema también tiene que ver con todo un tema teórico profundo, como es lo referente a las técnicas de interrogatorio en la oralidad, que se supone el abogado conoce, ha estudiado y se ha preparado.  Quitarle al abogado la iniciativa de preguntar de primero, para encomendarle al tribunal hacerlo o al declarante que lo haga libremente y sin interrogatorio, es quitarle la inspiración y preparación que trae el litigante y con el que quiere cautivar al tribunal y alguna que otra vez a su cliente, quien podrá constatar la preparación y profesionalismo del abogado y la dedicación que ha puesto en la preparación de la audiencia.</w:t>
      </w:r>
    </w:p>
    <w:p w:rsidR="009A5379" w:rsidRDefault="009A5379" w:rsidP="00E10347">
      <w:pPr>
        <w:jc w:val="both"/>
        <w:rPr>
          <w:rFonts w:ascii="Palatino Linotype" w:hAnsi="Palatino Linotype"/>
          <w:b/>
          <w:sz w:val="21"/>
          <w:szCs w:val="21"/>
        </w:rPr>
      </w:pP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h.- Las declaraciones ya no son de espaldas</w:t>
      </w:r>
    </w:p>
    <w:p w:rsidR="002014CA" w:rsidRPr="00E10347" w:rsidRDefault="002014CA" w:rsidP="00E10347">
      <w:pPr>
        <w:pStyle w:val="Textoindependiente"/>
        <w:tabs>
          <w:tab w:val="left" w:pos="0"/>
        </w:tabs>
        <w:spacing w:after="0"/>
        <w:ind w:firstLine="709"/>
        <w:jc w:val="both"/>
        <w:rPr>
          <w:rFonts w:ascii="Palatino Linotype" w:hAnsi="Palatino Linotype"/>
          <w:sz w:val="21"/>
          <w:szCs w:val="21"/>
        </w:rPr>
      </w:pPr>
      <w:r w:rsidRPr="00E10347">
        <w:rPr>
          <w:rFonts w:ascii="Palatino Linotype" w:hAnsi="Palatino Linotype"/>
          <w:sz w:val="21"/>
          <w:szCs w:val="21"/>
        </w:rPr>
        <w:t xml:space="preserve">Otro paradigma que cae en el sistema de interrogatorios orales, en un proceso por audiencias, es el mito de que las declarantes deben dar la espalda a los abogados, forma de declarar que contenían nuestros sistemas procesales, a excepción del penal y contencioso.   Esta forma de declarar, de espaldas a las partes y los abogados es una vieja influencia de la iglesia, en la edad media, pues de no hacerlo así se corría el peligro de contaminar al testigo o declarante, manteniendo esa tradición el CPCD y las normativas que se suplen de él, por ello el testigo o </w:t>
      </w:r>
      <w:r w:rsidRPr="00E10347">
        <w:rPr>
          <w:rFonts w:ascii="Palatino Linotype" w:hAnsi="Palatino Linotype"/>
          <w:sz w:val="21"/>
          <w:szCs w:val="21"/>
        </w:rPr>
        <w:lastRenderedPageBreak/>
        <w:t xml:space="preserve">confesante, declaraban de frente al tribunal, sin ver a las partes o sus abogados.  En cambio, en el sistema oral, o el testigo o declarante debe declarar de frente o al lado de las partes y sus abogados.  </w:t>
      </w:r>
    </w:p>
    <w:p w:rsidR="002014CA" w:rsidRPr="00E10347" w:rsidRDefault="002014CA" w:rsidP="00E10347">
      <w:pPr>
        <w:pStyle w:val="Textoindependiente"/>
        <w:tabs>
          <w:tab w:val="left" w:pos="0"/>
        </w:tabs>
        <w:spacing w:after="0"/>
        <w:ind w:firstLine="709"/>
        <w:jc w:val="both"/>
        <w:rPr>
          <w:rFonts w:ascii="Palatino Linotype" w:hAnsi="Palatino Linotype"/>
          <w:sz w:val="21"/>
          <w:szCs w:val="21"/>
        </w:rPr>
      </w:pPr>
      <w:r w:rsidRPr="00E10347">
        <w:rPr>
          <w:rFonts w:ascii="Palatino Linotype" w:hAnsi="Palatino Linotype"/>
          <w:sz w:val="21"/>
          <w:szCs w:val="21"/>
        </w:rPr>
        <w:t xml:space="preserve">En el sistema anglosajón y como vemos en las películas, los declarantes son situados al lado del tribunal, pero de frente a las partes y sus abogados, es decir dan la cara a las partes. Eso se justifica, pues al haberse desarrollado toda una ciencia del comportamiento de los sujetos declarantes, apoyados por la psicología y las conductas de comportamiento, parece obvio que esa labor de examinar esas conductas, se le encargue al abogado que en su turno está interrogando.  Nuestros países y sistemas, han optado por un sistema intermedio: no de espalda al juez como en norteamericana o los sistemas de </w:t>
      </w:r>
      <w:r w:rsidRPr="00E10347">
        <w:rPr>
          <w:rFonts w:ascii="Palatino Linotype" w:hAnsi="Palatino Linotype"/>
          <w:i/>
          <w:sz w:val="21"/>
          <w:szCs w:val="21"/>
        </w:rPr>
        <w:t>common law</w:t>
      </w:r>
      <w:r w:rsidRPr="00E10347">
        <w:rPr>
          <w:rFonts w:ascii="Palatino Linotype" w:hAnsi="Palatino Linotype"/>
          <w:sz w:val="21"/>
          <w:szCs w:val="21"/>
        </w:rPr>
        <w:t>, ni de espaldas a las partes, como los procesos de influencia española, ahora los declarantes se sientan frente al juez y las partes a ambos lados del declarantes, un especie de “E”, esto permite al tribunal controlar al declarante, ver sus gestos, oír mejor sus respuesta, y a las partes, les permite un mejor contacto para lograr el interrogatorio directo que señala la norma.</w:t>
      </w:r>
    </w:p>
    <w:p w:rsidR="009A5379" w:rsidRDefault="009A5379" w:rsidP="00E10347">
      <w:pPr>
        <w:jc w:val="both"/>
        <w:rPr>
          <w:rFonts w:ascii="Palatino Linotype" w:hAnsi="Palatino Linotype"/>
          <w:b/>
          <w:sz w:val="21"/>
          <w:szCs w:val="21"/>
        </w:rPr>
      </w:pP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i.- En caso de oposición no se saca a los declarantes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En el sistema derogado, en caso de oposición a preguntas, tanto en la testimonial como la “confesión”, debía retirarse al declarante del recinto donde se evacuaba la prueba</w:t>
      </w:r>
      <w:r w:rsidRPr="00E10347">
        <w:rPr>
          <w:rStyle w:val="Refdenotaalpie"/>
          <w:rFonts w:ascii="Palatino Linotype" w:hAnsi="Palatino Linotype"/>
          <w:sz w:val="21"/>
          <w:szCs w:val="21"/>
        </w:rPr>
        <w:footnoteReference w:id="222"/>
      </w:r>
      <w:r w:rsidRPr="00E10347">
        <w:rPr>
          <w:rFonts w:ascii="Palatino Linotype" w:hAnsi="Palatino Linotype"/>
          <w:sz w:val="21"/>
          <w:szCs w:val="21"/>
        </w:rPr>
        <w:t xml:space="preserve">, ello para que no oyera la discusión de la pregunta, pero en el fondo era la desconfianza del sistema para evitar que el abogado de alguna forma insinuara al declarante el punto por el que se oponía o tratara de “soplarle” la respuesta.  Ahora no se saca el declarante, en caso de oposición, dice la norma “Cuando surja controversia sobre la forma y el contenido de alguna pregunta, en el </w:t>
      </w:r>
      <w:r w:rsidRPr="00E10347">
        <w:rPr>
          <w:rFonts w:ascii="Palatino Linotype" w:hAnsi="Palatino Linotype"/>
          <w:sz w:val="21"/>
          <w:szCs w:val="21"/>
        </w:rPr>
        <w:lastRenderedPageBreak/>
        <w:t>mismo acto se discutirá el asunto sucintamente, sin sugerir o insinuar respuestas, sin necesidad de suspender el acto o retirar al declarante de la sala, salvo en casos muy calificados” -art. 41.4.5-.</w:t>
      </w:r>
    </w:p>
    <w:p w:rsidR="009A5379" w:rsidRDefault="009A5379" w:rsidP="00E10347">
      <w:pPr>
        <w:pStyle w:val="Textoindependiente"/>
        <w:spacing w:after="0"/>
        <w:rPr>
          <w:rFonts w:ascii="Palatino Linotype" w:hAnsi="Palatino Linotype"/>
          <w:b/>
          <w:sz w:val="21"/>
          <w:szCs w:val="21"/>
        </w:rPr>
      </w:pPr>
    </w:p>
    <w:p w:rsidR="002014CA" w:rsidRPr="00E10347" w:rsidRDefault="002014CA" w:rsidP="00E10347">
      <w:pPr>
        <w:pStyle w:val="Textoindependiente"/>
        <w:spacing w:after="0"/>
        <w:rPr>
          <w:rFonts w:ascii="Palatino Linotype" w:hAnsi="Palatino Linotype"/>
          <w:b/>
          <w:sz w:val="21"/>
          <w:szCs w:val="21"/>
        </w:rPr>
      </w:pPr>
      <w:r w:rsidRPr="00E10347">
        <w:rPr>
          <w:rFonts w:ascii="Palatino Linotype" w:hAnsi="Palatino Linotype"/>
          <w:b/>
          <w:sz w:val="21"/>
          <w:szCs w:val="21"/>
        </w:rPr>
        <w:t>j.- Los interrogatorios son directos</w:t>
      </w:r>
    </w:p>
    <w:p w:rsidR="002014CA" w:rsidRPr="00E10347" w:rsidRDefault="002014CA" w:rsidP="00E10347">
      <w:pPr>
        <w:pStyle w:val="Textoindependiente"/>
        <w:spacing w:after="0"/>
        <w:ind w:firstLine="709"/>
        <w:rPr>
          <w:rFonts w:ascii="Palatino Linotype" w:hAnsi="Palatino Linotype"/>
          <w:sz w:val="21"/>
          <w:szCs w:val="21"/>
        </w:rPr>
      </w:pPr>
      <w:r w:rsidRPr="00E10347">
        <w:rPr>
          <w:rFonts w:ascii="Palatino Linotype" w:hAnsi="Palatino Linotype"/>
          <w:sz w:val="21"/>
          <w:szCs w:val="21"/>
        </w:rPr>
        <w:t>La parte formulará las preguntas al declarante sin intermediación del tribunal. Hoy la norma es clara “El interrogatorio será oral y directo. La parte formulará las preguntas al declarante sin intermediación del tribunal” -art. 41.4.5-.  De manera que el tribunal ya no “autoriza” las preguntas, ni deben ser aprobadas previamente, como sucedía en el sistema derogado</w:t>
      </w:r>
      <w:r w:rsidRPr="00E10347">
        <w:rPr>
          <w:rStyle w:val="Refdenotaalpie"/>
          <w:rFonts w:ascii="Palatino Linotype" w:hAnsi="Palatino Linotype"/>
          <w:sz w:val="21"/>
          <w:szCs w:val="21"/>
        </w:rPr>
        <w:footnoteReference w:id="223"/>
      </w:r>
      <w:r w:rsidRPr="00E10347">
        <w:rPr>
          <w:rFonts w:ascii="Palatino Linotype" w:hAnsi="Palatino Linotype"/>
          <w:sz w:val="21"/>
          <w:szCs w:val="21"/>
        </w:rPr>
        <w:t>.  Se forma una especie de diálogo entre el interrogador y el declarante –sea testigo, parte o perito-.  El juez conserva la facultad de controlar el interrogatorio, para el rechazo de preguntas inadmisibles, según se verá.</w:t>
      </w:r>
    </w:p>
    <w:p w:rsidR="002014CA" w:rsidRPr="00E10347" w:rsidRDefault="002014CA" w:rsidP="00E10347">
      <w:pPr>
        <w:pStyle w:val="Textoindependiente"/>
        <w:spacing w:after="0"/>
        <w:ind w:firstLine="709"/>
        <w:rPr>
          <w:rFonts w:ascii="Palatino Linotype" w:hAnsi="Palatino Linotype"/>
          <w:sz w:val="21"/>
          <w:szCs w:val="21"/>
        </w:rPr>
      </w:pPr>
      <w:r w:rsidRPr="00E10347">
        <w:rPr>
          <w:rFonts w:ascii="Palatino Linotype" w:hAnsi="Palatino Linotype"/>
          <w:sz w:val="21"/>
          <w:szCs w:val="21"/>
        </w:rPr>
        <w:t>El arte de interrogar, es esencia, el alma, el espíritu y la substancia del abogado litigante, sea en arbitraje, civil, contencioso, penal u otras ramas. El abogado litigante que no sabe interrogar, es como el cirujano que no tiene buena mano para operar. De allí que escribiera el escritor y pensador búlgaro, Elías Canetti</w:t>
      </w:r>
      <w:r w:rsidRPr="00E10347">
        <w:rPr>
          <w:rStyle w:val="Refdenotaalpie"/>
          <w:rFonts w:ascii="Palatino Linotype" w:hAnsi="Palatino Linotype"/>
          <w:spacing w:val="-3"/>
          <w:sz w:val="21"/>
          <w:szCs w:val="21"/>
        </w:rPr>
        <w:footnoteReference w:id="224"/>
      </w:r>
      <w:r w:rsidRPr="00E10347">
        <w:rPr>
          <w:rFonts w:ascii="Palatino Linotype" w:hAnsi="Palatino Linotype"/>
          <w:sz w:val="21"/>
          <w:szCs w:val="21"/>
        </w:rPr>
        <w:t xml:space="preserve"> “Todo preguntar es incursionar.  Cuando la pregunta se practica como medio de poder, corta como una navaja el cuerpo del interrogado… porque el efecto de las preguntas es realizar el sentimiento de poder del interrogador, le dan ganas de hacer más y más.  Quien responde se somete tanto más, cuanto más cede a las preguntas.  La libertad de la persona reside, en buena parte, en defenderse de las preguntas”.</w:t>
      </w:r>
    </w:p>
    <w:p w:rsidR="009A5379" w:rsidRDefault="009A5379" w:rsidP="00E10347">
      <w:pPr>
        <w:jc w:val="both"/>
        <w:rPr>
          <w:rFonts w:ascii="Palatino Linotype" w:hAnsi="Palatino Linotype"/>
          <w:b/>
          <w:sz w:val="21"/>
          <w:szCs w:val="21"/>
        </w:rPr>
      </w:pP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k.-  Principio de inmediación y su efecto en la fase probatoria</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La inmediación, como principio general del proceso –art. 2.7 NCPC- y ahora como principio en las pruebas de un proceso por audiencias orales –arts. 41.4.6; 50.3, 60.3., implica un contacto directo y personal con los elementos probatorios, pero además directo y recíproco de los sujetos entre sí y frente al Tribunal -inmediación </w:t>
      </w:r>
      <w:r w:rsidRPr="00E10347">
        <w:rPr>
          <w:rFonts w:ascii="Palatino Linotype" w:hAnsi="Palatino Linotype"/>
          <w:sz w:val="21"/>
          <w:szCs w:val="21"/>
        </w:rPr>
        <w:lastRenderedPageBreak/>
        <w:t xml:space="preserve">subjetiva en el decir de Goldschmidt y Devis Echandía-, y contacto con los hechos y todo el material del proceso -inmediación objetiva-.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Hemos dicho que el principio de inmediación "procura asegurar que el Tribunal se halle en permanente e íntima vinculación personal con los sujetos y elementos que intervienen en el proceso, recibiendo directamente las alegaciones de las partes y las aportaciones probatorias, afín de que pueda conocer en toda su significación el material de la causa, desde el principio de ella, quien a su término ha de pronunciar la sentencia que la defina"</w:t>
      </w:r>
      <w:r w:rsidRPr="00E10347">
        <w:rPr>
          <w:rStyle w:val="Refdenotaalpie"/>
          <w:rFonts w:ascii="Palatino Linotype" w:hAnsi="Palatino Linotype"/>
          <w:sz w:val="21"/>
          <w:szCs w:val="21"/>
        </w:rPr>
        <w:footnoteReference w:id="225"/>
      </w:r>
      <w:r w:rsidRPr="00E10347">
        <w:rPr>
          <w:rFonts w:ascii="Palatino Linotype" w:hAnsi="Palatino Linotype"/>
          <w:sz w:val="21"/>
          <w:szCs w:val="21"/>
        </w:rPr>
        <w:t>, es regla y principio que el tribunal que evacuó la prueba y por ello participó en la audiencia de prueba, es quien dicta la sentencia.   El principio de inmediación en general y en las pruebas en particular, exige el contacto directo y personal del tribunal con las partes y con todo el material del proceso, excluyendo cualquier medio indirecto de conocimiento judicial (escritos, informes de terceros, etc.)</w:t>
      </w:r>
      <w:r w:rsidRPr="00E10347">
        <w:rPr>
          <w:rStyle w:val="Refdenotaalpie"/>
          <w:rFonts w:ascii="Palatino Linotype" w:hAnsi="Palatino Linotype"/>
          <w:sz w:val="21"/>
          <w:szCs w:val="21"/>
        </w:rPr>
        <w:footnoteReference w:id="226"/>
      </w:r>
      <w:r w:rsidRPr="00E10347">
        <w:rPr>
          <w:rFonts w:ascii="Palatino Linotype" w:hAnsi="Palatino Linotype"/>
          <w:sz w:val="21"/>
          <w:szCs w:val="21"/>
        </w:rPr>
        <w:t xml:space="preserve">.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Passi Lanza</w:t>
      </w:r>
      <w:r w:rsidRPr="00E10347">
        <w:rPr>
          <w:rStyle w:val="Refdenotaalpie"/>
          <w:rFonts w:ascii="Palatino Linotype" w:hAnsi="Palatino Linotype"/>
          <w:sz w:val="21"/>
          <w:szCs w:val="21"/>
        </w:rPr>
        <w:footnoteReference w:id="227"/>
      </w:r>
      <w:r w:rsidRPr="00E10347">
        <w:rPr>
          <w:rFonts w:ascii="Palatino Linotype" w:hAnsi="Palatino Linotype"/>
          <w:sz w:val="21"/>
          <w:szCs w:val="21"/>
        </w:rPr>
        <w:t xml:space="preserve"> afirma con gran tino que no se puede admitir buena justicia sin ver</w:t>
      </w:r>
      <w:r w:rsidRPr="00E10347">
        <w:rPr>
          <w:rFonts w:ascii="Palatino Linotype" w:hAnsi="Palatino Linotype"/>
          <w:i/>
          <w:sz w:val="21"/>
          <w:szCs w:val="21"/>
        </w:rPr>
        <w:t>,</w:t>
      </w:r>
      <w:r w:rsidRPr="00E10347">
        <w:rPr>
          <w:rFonts w:ascii="Palatino Linotype" w:hAnsi="Palatino Linotype"/>
          <w:sz w:val="21"/>
          <w:szCs w:val="21"/>
        </w:rPr>
        <w:t xml:space="preserve"> presenciar y tomar parte activa en el desarrollo del proceso, fundamentalmente en la producción de pruebas. “Juzgar sobre testimonios y confesiones trasladados al papel, es en cierto modo juzgar a ciegas, porque solo el examen personal hecho por magistrado torna veraces las declaraciones, y permite poner en evidencia al testigo mendaz o reticente … el testigo que miente, omite o exagera cuando depone frente a un empleado –porque las facultades de control de la parte contraria no son por lo general lo suficientemente eficaces para evitarlo-, no es capaz de tal ante el tribunal, en cuya presencia se expresa casi siempre con veracidad; y cuando así no ocurre, ha de quedar en evidencia; o bien, los magistrados procedan a examinarlo, de acuerdo con las facultades que la ley les atribuye, y, de más está decirlo, la sagacidad que les presta la experiencia acumulada en el ejercicio de su función”.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Fernández</w:t>
      </w:r>
      <w:r w:rsidRPr="00E10347">
        <w:rPr>
          <w:rStyle w:val="Refdenotaalpie"/>
          <w:rFonts w:ascii="Palatino Linotype" w:hAnsi="Palatino Linotype"/>
          <w:sz w:val="21"/>
          <w:szCs w:val="21"/>
        </w:rPr>
        <w:footnoteReference w:id="228"/>
      </w:r>
      <w:r w:rsidRPr="00E10347">
        <w:rPr>
          <w:rFonts w:ascii="Palatino Linotype" w:hAnsi="Palatino Linotype"/>
          <w:sz w:val="21"/>
          <w:szCs w:val="21"/>
        </w:rPr>
        <w:t xml:space="preserve"> afirma: “piensan algunos que tomando taquigráficamente o con procedimientos mecánicos las audiencias, no se requeriría que el tribunal estuviera presente en ellas, pero tal procedimiento desnaturalizaría por completo el </w:t>
      </w:r>
      <w:r w:rsidRPr="00E10347">
        <w:rPr>
          <w:rFonts w:ascii="Palatino Linotype" w:hAnsi="Palatino Linotype"/>
          <w:sz w:val="21"/>
          <w:szCs w:val="21"/>
        </w:rPr>
        <w:lastRenderedPageBreak/>
        <w:t>juicio oral, ya que el juzgador no debe solo escuchar las palabras de los testigos y de las partes sino observarlos para apreciar el grado de verosimilitud con que se expiden”.</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La oralidad implica inmediación</w:t>
      </w:r>
      <w:r w:rsidRPr="00E10347">
        <w:rPr>
          <w:rStyle w:val="Refdenotaalpie"/>
          <w:rFonts w:ascii="Palatino Linotype" w:hAnsi="Palatino Linotype"/>
          <w:sz w:val="21"/>
          <w:szCs w:val="21"/>
        </w:rPr>
        <w:footnoteReference w:id="229"/>
      </w:r>
      <w:r w:rsidRPr="00E10347">
        <w:rPr>
          <w:rFonts w:ascii="Palatino Linotype" w:hAnsi="Palatino Linotype"/>
          <w:sz w:val="21"/>
          <w:szCs w:val="21"/>
        </w:rPr>
        <w:t>, la consagración de reglas claras que obliguen al tribunal, a las partes y a los sujetos de prueba, a un contacto directo, sin intermediarios, a viva voz, permitiendo un mejor desarrollo del proceso, un conocimiento más exacto de los elementos fácticos y probatorios, pero en especial, una justicia más humana, al ser los propios tribunales que sentenciarán los que evacuarán las pruebas,  oirán a las partes en sus alegatos y conclusiones y ellos quienes emitan la sentencia, de hecho los únicos que puedan emitir la sentencia –con la salvedad del art. 60.1  NCPC  imposibilidad  de  uno de los jueces de fallar-.</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El tribunal puede realizar los actos de adquisición del material que ingresa en dicho proceso de dos formas posibles: a) directa y personalmente, sin intervención de otra persona; b) indirectamente, por la intervención de un delegado</w:t>
      </w:r>
      <w:r w:rsidRPr="00E10347">
        <w:rPr>
          <w:rFonts w:ascii="Palatino Linotype" w:hAnsi="Palatino Linotype"/>
          <w:i/>
          <w:sz w:val="21"/>
          <w:szCs w:val="21"/>
        </w:rPr>
        <w:t>,</w:t>
      </w:r>
      <w:r w:rsidRPr="00E10347">
        <w:rPr>
          <w:rFonts w:ascii="Palatino Linotype" w:hAnsi="Palatino Linotype"/>
          <w:sz w:val="21"/>
          <w:szCs w:val="21"/>
        </w:rPr>
        <w:t xml:space="preserve"> que, interponiéndose entre el tribunal y el acto de adquisición, suministra al primero una revisión de éste.  El principio -regla o máxima- de inmediación procesal, en el sistema oral, implica la comunicación personal del tribunal con las partes y el contacto directo de aquél con los actos de adquisición, fundamental de las pruebas, como instrumento para llegar a una íntima compenetración de los intereses en juego a través del proceso y de su objeto litigio. Con base en estos caracteres de la inmediación en el elemento probatorio</w:t>
      </w:r>
      <w:r w:rsidRPr="00E10347">
        <w:rPr>
          <w:rStyle w:val="Refdenotaalpie"/>
          <w:rFonts w:ascii="Palatino Linotype" w:hAnsi="Palatino Linotype"/>
          <w:sz w:val="21"/>
          <w:szCs w:val="21"/>
        </w:rPr>
        <w:footnoteReference w:id="230"/>
      </w:r>
      <w:r w:rsidRPr="00E10347">
        <w:rPr>
          <w:rFonts w:ascii="Palatino Linotype" w:hAnsi="Palatino Linotype"/>
          <w:sz w:val="21"/>
          <w:szCs w:val="21"/>
        </w:rPr>
        <w:t xml:space="preserve">, un sistema por audiencias implica: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a)</w:t>
      </w:r>
      <w:r w:rsidRPr="00E10347">
        <w:rPr>
          <w:rFonts w:ascii="Palatino Linotype" w:hAnsi="Palatino Linotype"/>
          <w:sz w:val="21"/>
          <w:szCs w:val="21"/>
        </w:rPr>
        <w:t xml:space="preserve"> La presencia de los sujetos procesales, cara a cara, ante el tribunal que juzga,</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b)</w:t>
      </w:r>
      <w:r w:rsidRPr="00E10347">
        <w:rPr>
          <w:rFonts w:ascii="Palatino Linotype" w:hAnsi="Palatino Linotype"/>
          <w:sz w:val="21"/>
          <w:szCs w:val="21"/>
        </w:rPr>
        <w:t xml:space="preserve"> La falta de un intermediario entre las cosas y personas del proceso y el tribunal,</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c)</w:t>
      </w:r>
      <w:r w:rsidRPr="00E10347">
        <w:rPr>
          <w:rFonts w:ascii="Palatino Linotype" w:hAnsi="Palatino Linotype"/>
          <w:sz w:val="21"/>
          <w:szCs w:val="21"/>
        </w:rPr>
        <w:t xml:space="preserve"> Solo el tribunal que dictará la sentencia puede evacuar la prueba –arts. 2.7, 9.2, 29.4, 41.4.6 y en especial arts. 59 y 60.1 NCPC-.</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 xml:space="preserve">d) </w:t>
      </w:r>
      <w:r w:rsidRPr="00E10347">
        <w:rPr>
          <w:rFonts w:ascii="Palatino Linotype" w:hAnsi="Palatino Linotype"/>
          <w:sz w:val="21"/>
          <w:szCs w:val="21"/>
        </w:rPr>
        <w:t>La identidad física entre el tribunal que tuvo contacto con las partes y el que dictará la sentencia. Este punto es fundamental para evitar que el tribunal que dicte sentencia lo haga en base a una versión mediata de la realidad que le proporcione otro tribunal</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lastRenderedPageBreak/>
        <w:t xml:space="preserve">e) </w:t>
      </w:r>
      <w:r w:rsidRPr="00E10347">
        <w:rPr>
          <w:rFonts w:ascii="Palatino Linotype" w:hAnsi="Palatino Linotype"/>
          <w:sz w:val="21"/>
          <w:szCs w:val="21"/>
        </w:rPr>
        <w:t xml:space="preserve">En caso de imposibilidad absoluta de que la prueba se evacúe delante del tribunal que sentenciará, la posibilidad de realizar la prueba por medio de sistema de videoconferencia o similar –arts. 41.4.5 y 41.4.7 garantizando siempre la inmediación, dice la norma-.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Resulta evidente que existe una relación directamente inescindible entre las posibilidades para que el tribunal tome contacto con las partes y las pruebas y la justicia de la sentencia que se dicte. La justicia intrínseca del fallo está casi inexorablemente predeterminada por el alcance y medida de lo que el juzgador pueda percibir en forma inmediata a través de sus sentidos. Inversamente, en cuanto más mediata y lejana sea la visión de las circunstancias de hecho que motivan la decisión, como también de las partes, letrados y demás personas que intervengan en el proceso, más se ha de alejar la factibilidad de una decisión ajustada a derecho.  Por eso es que el art. 69.2.2 NCPC sanciona con nulidad, en casación, por “vulneración del principio de inmediación por ausencia de jueces en la audiencia de prueba, conclusiones o deliberación”. </w:t>
      </w:r>
    </w:p>
    <w:p w:rsidR="009A5379" w:rsidRDefault="009A5379" w:rsidP="00E10347">
      <w:pPr>
        <w:jc w:val="both"/>
        <w:rPr>
          <w:rFonts w:ascii="Palatino Linotype" w:hAnsi="Palatino Linotype"/>
          <w:b/>
          <w:sz w:val="21"/>
          <w:szCs w:val="21"/>
        </w:rPr>
      </w:pP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l.- El principio de concentración de la prueba</w:t>
      </w:r>
    </w:p>
    <w:p w:rsidR="002014CA" w:rsidRPr="00E10347" w:rsidRDefault="002014CA" w:rsidP="00E10347">
      <w:pPr>
        <w:ind w:firstLine="709"/>
        <w:jc w:val="both"/>
        <w:rPr>
          <w:rFonts w:ascii="Palatino Linotype" w:hAnsi="Palatino Linotype"/>
          <w:b/>
          <w:sz w:val="21"/>
          <w:szCs w:val="21"/>
        </w:rPr>
      </w:pPr>
      <w:r w:rsidRPr="00E10347">
        <w:rPr>
          <w:rFonts w:ascii="Palatino Linotype" w:hAnsi="Palatino Linotype"/>
          <w:sz w:val="21"/>
          <w:szCs w:val="21"/>
        </w:rPr>
        <w:t>El artículo 41 de la Constitución Política establece que "ocurriendo en las leyes todos deben encontrar obtener justicia pronta y cumplida"</w:t>
      </w:r>
      <w:r w:rsidRPr="00E10347">
        <w:rPr>
          <w:rStyle w:val="Refdenotaalpie"/>
          <w:rFonts w:ascii="Palatino Linotype" w:hAnsi="Palatino Linotype"/>
          <w:sz w:val="21"/>
          <w:szCs w:val="21"/>
        </w:rPr>
        <w:footnoteReference w:id="231"/>
      </w:r>
      <w:r w:rsidRPr="00E10347">
        <w:rPr>
          <w:rFonts w:ascii="Palatino Linotype" w:hAnsi="Palatino Linotype"/>
          <w:sz w:val="21"/>
          <w:szCs w:val="21"/>
        </w:rPr>
        <w:t xml:space="preserve">, justificación constitucional que pretende la tutela jurisdiccional ágil y capaz de dirimir con acierto y rapidez las controversias e intereses; es entonces un problema de ideas, pues la justicia lenta no es justicia es injusticia; o como ya lo decía Couture "en el proceso el tiempo es algo más que oro: es justicia. Quién dispone de él tiene en la mano las cartas de triunfo.  Quien no puede esperar, se sabe de antemano derrotado. Quién especula con el tiempo para preparar su insolvencia, para desalentar a su adversario, para desinteresar a los jueces, ganar en la ley de fraude lo que no podría </w:t>
      </w:r>
      <w:r w:rsidRPr="00E10347">
        <w:rPr>
          <w:rFonts w:ascii="Palatino Linotype" w:hAnsi="Palatino Linotype"/>
          <w:sz w:val="21"/>
          <w:szCs w:val="21"/>
        </w:rPr>
        <w:lastRenderedPageBreak/>
        <w:t>ganar en ley de debate"</w:t>
      </w:r>
      <w:r w:rsidRPr="00E10347">
        <w:rPr>
          <w:rStyle w:val="Refdenotaalpie"/>
          <w:rFonts w:ascii="Palatino Linotype" w:hAnsi="Palatino Linotype"/>
          <w:sz w:val="21"/>
          <w:szCs w:val="21"/>
        </w:rPr>
        <w:footnoteReference w:id="232"/>
      </w:r>
      <w:r w:rsidRPr="00E10347">
        <w:rPr>
          <w:rFonts w:ascii="Palatino Linotype" w:hAnsi="Palatino Linotype"/>
          <w:sz w:val="21"/>
          <w:szCs w:val="21"/>
        </w:rPr>
        <w:t>.  Shakespeare en su clásico Hamlet nos enseña, que no se puede tolerar "...las insolencias del poder, las tardanzas de la justicia y las vejaciones que el pareciente mérito recibe del hombre injusto (¿o indigno?, no sé)".</w:t>
      </w:r>
    </w:p>
    <w:p w:rsidR="002014CA" w:rsidRPr="00E10347" w:rsidRDefault="002014CA" w:rsidP="00E10347">
      <w:pPr>
        <w:ind w:firstLine="709"/>
        <w:jc w:val="both"/>
        <w:rPr>
          <w:rFonts w:ascii="Palatino Linotype" w:hAnsi="Palatino Linotype"/>
          <w:bCs/>
          <w:sz w:val="21"/>
          <w:szCs w:val="21"/>
        </w:rPr>
      </w:pPr>
      <w:r w:rsidRPr="00E10347">
        <w:rPr>
          <w:rFonts w:ascii="Palatino Linotype" w:hAnsi="Palatino Linotype"/>
          <w:bCs/>
          <w:sz w:val="21"/>
          <w:szCs w:val="21"/>
        </w:rPr>
        <w:t>El principio de concentración de las pruebas lo regula el art. 41.4.3 NCPC -y lo complementa el 2.8-, dice el primero “</w:t>
      </w:r>
      <w:r w:rsidRPr="00E10347">
        <w:rPr>
          <w:rFonts w:ascii="Palatino Linotype" w:hAnsi="Palatino Linotype"/>
          <w:sz w:val="21"/>
          <w:szCs w:val="21"/>
        </w:rPr>
        <w:t>La prueba se practicará en una sola audiencia. Cuando ello no fuera posible en un solo día, se prorrogará la audiencia en días inmediatos y consecutivos. Se procurará recibir la mayor cantidad de prueba por día, estableciendo cuál habrá de practicarse en cada señalamiento. Las partes podrán disponer el orden de la declaración de sus testigos”.  L</w:t>
      </w:r>
      <w:r w:rsidRPr="00E10347">
        <w:rPr>
          <w:rFonts w:ascii="Palatino Linotype" w:hAnsi="Palatino Linotype"/>
          <w:bCs/>
          <w:sz w:val="21"/>
          <w:szCs w:val="21"/>
        </w:rPr>
        <w:t>as audiencias podrán verificarse en una o varias sesiones separadas por recesos e incluso continuarse el día siguiente como una misma unidad procesal”</w:t>
      </w:r>
      <w:r w:rsidRPr="00E10347">
        <w:rPr>
          <w:rStyle w:val="Refdenotaalpie"/>
          <w:rFonts w:ascii="Palatino Linotype" w:hAnsi="Palatino Linotype"/>
          <w:sz w:val="21"/>
          <w:szCs w:val="21"/>
        </w:rPr>
        <w:footnoteReference w:id="233"/>
      </w:r>
      <w:r w:rsidRPr="00E10347">
        <w:rPr>
          <w:rFonts w:ascii="Palatino Linotype" w:hAnsi="Palatino Linotype"/>
          <w:bCs/>
          <w:sz w:val="21"/>
          <w:szCs w:val="21"/>
        </w:rPr>
        <w:t xml:space="preserve">.  </w:t>
      </w:r>
    </w:p>
    <w:p w:rsidR="002014CA" w:rsidRPr="00E10347" w:rsidRDefault="002014CA" w:rsidP="00E10347">
      <w:pPr>
        <w:ind w:firstLine="709"/>
        <w:jc w:val="both"/>
        <w:rPr>
          <w:rFonts w:ascii="Palatino Linotype" w:hAnsi="Palatino Linotype"/>
          <w:bCs/>
          <w:sz w:val="21"/>
          <w:szCs w:val="21"/>
        </w:rPr>
      </w:pPr>
      <w:r w:rsidRPr="00E10347">
        <w:rPr>
          <w:rFonts w:ascii="Palatino Linotype" w:hAnsi="Palatino Linotype"/>
          <w:bCs/>
          <w:sz w:val="21"/>
          <w:szCs w:val="21"/>
        </w:rPr>
        <w:t xml:space="preserve">Si hacemos una radiografía al proceso preexistente, que se tramitaba, mediante un devenir de etapas preclusivas, como exclusas de un canal, donde no se avanzaba a la siguiente etapa, si no se había agotado la precedente y donde la posibilidad recursiva volvía aún más lento el avance, era de esperar que ese modelo estaba llamado al fracaso, por desconcentrado, lento, burocrático y desesperadamente escrito.   El modelo de proceso por audiencia oral, del NCPC, a diferencia de aquel vetusto derogado del CPC, si consagra efectivamente el principio de concentración de las audiencias.  </w:t>
      </w:r>
    </w:p>
    <w:p w:rsidR="002014CA" w:rsidRPr="00E10347" w:rsidRDefault="002014CA" w:rsidP="00E10347">
      <w:pPr>
        <w:ind w:firstLine="709"/>
        <w:jc w:val="both"/>
        <w:rPr>
          <w:rFonts w:ascii="Palatino Linotype" w:hAnsi="Palatino Linotype"/>
          <w:bCs/>
          <w:sz w:val="21"/>
          <w:szCs w:val="21"/>
        </w:rPr>
      </w:pPr>
      <w:r w:rsidRPr="00E10347">
        <w:rPr>
          <w:rFonts w:ascii="Palatino Linotype" w:hAnsi="Palatino Linotype"/>
          <w:bCs/>
          <w:sz w:val="21"/>
          <w:szCs w:val="21"/>
        </w:rPr>
        <w:t>El NCPC exalta el principio de concentración en las audiencias de pruebas, al consagrar la nulidad y la repetición de las audiencias de pruebas y en general de la audiencia que se hubiese suspendido en el tiempo –por cualquier causa-, por más de cinco días, esto implica también que además de la exigencia del 41.4.3 entre audiencia y audiencia, entre prueba y prueba, no puede haber un lapsus temporal de más de 5 días, bajo pena de nulidad y tener que volver a señalar para dicha audiencia –art. 50.3 y el propio 41.4.3 NCPC-.</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El objeto de la concentración de los actos procesales es evitar la dispersión, señala Peyrano</w:t>
      </w:r>
      <w:r w:rsidRPr="00E10347">
        <w:rPr>
          <w:rStyle w:val="Refdenotaalpie"/>
          <w:rFonts w:ascii="Palatino Linotype" w:hAnsi="Palatino Linotype"/>
          <w:sz w:val="21"/>
          <w:szCs w:val="21"/>
        </w:rPr>
        <w:footnoteReference w:id="234"/>
      </w:r>
      <w:r w:rsidRPr="00E10347">
        <w:rPr>
          <w:rFonts w:ascii="Palatino Linotype" w:hAnsi="Palatino Linotype"/>
          <w:sz w:val="21"/>
          <w:szCs w:val="21"/>
        </w:rPr>
        <w:t xml:space="preserve">, y la consiguiente dilapidación de la actividad procesal. No consiste en reducir a la unidad las etapas procesales, transformando el proceso en </w:t>
      </w:r>
      <w:r w:rsidRPr="00E10347">
        <w:rPr>
          <w:rFonts w:ascii="Palatino Linotype" w:hAnsi="Palatino Linotype"/>
          <w:sz w:val="21"/>
          <w:szCs w:val="21"/>
        </w:rPr>
        <w:lastRenderedPageBreak/>
        <w:t>un caos, sino que, reconociendo los límites infranqueables de las etapas procesales, procura, dentro de cada una de ellas, reducir el desgaste de la actividad y energía procesal, esto es, uniendo, casando, juntando o poniendo en una misma audiencia o acto, varios sub-actos o pruebas.  Por otra parte, este principio propugna que la consumación de los distintos actos y diligencias procesales sean próximos entre sí, por eso se impone que la audiencia se celebre de seguido, si fuera necesario y por lo extenso de la prueba o el debate, en dos o más días continuos.</w:t>
      </w:r>
    </w:p>
    <w:p w:rsidR="009A5379" w:rsidRDefault="009A5379" w:rsidP="00E10347">
      <w:pPr>
        <w:pStyle w:val="Textoindependiente"/>
        <w:tabs>
          <w:tab w:val="left" w:pos="284"/>
        </w:tabs>
        <w:spacing w:after="0"/>
        <w:rPr>
          <w:rFonts w:ascii="Palatino Linotype" w:hAnsi="Palatino Linotype"/>
          <w:b/>
          <w:sz w:val="21"/>
          <w:szCs w:val="21"/>
        </w:rPr>
      </w:pPr>
    </w:p>
    <w:p w:rsidR="002014CA" w:rsidRPr="00E10347" w:rsidRDefault="002014CA" w:rsidP="00E10347">
      <w:pPr>
        <w:pStyle w:val="Textoindependiente"/>
        <w:tabs>
          <w:tab w:val="left" w:pos="284"/>
        </w:tabs>
        <w:spacing w:after="0"/>
        <w:rPr>
          <w:rFonts w:ascii="Palatino Linotype" w:hAnsi="Palatino Linotype"/>
          <w:b/>
          <w:bCs/>
          <w:sz w:val="21"/>
          <w:szCs w:val="21"/>
        </w:rPr>
      </w:pPr>
      <w:r w:rsidRPr="00E10347">
        <w:rPr>
          <w:rFonts w:ascii="Palatino Linotype" w:hAnsi="Palatino Linotype"/>
          <w:b/>
          <w:sz w:val="21"/>
          <w:szCs w:val="21"/>
        </w:rPr>
        <w:t>m</w:t>
      </w:r>
      <w:r w:rsidRPr="00E10347">
        <w:rPr>
          <w:rFonts w:ascii="Palatino Linotype" w:hAnsi="Palatino Linotype"/>
          <w:b/>
          <w:bCs/>
          <w:sz w:val="21"/>
          <w:szCs w:val="21"/>
        </w:rPr>
        <w:t>.- Principio de unidad de la audiencia. Suspensión e interrupción de las audiencias de prueba</w:t>
      </w:r>
    </w:p>
    <w:p w:rsidR="002014CA" w:rsidRPr="00E10347" w:rsidRDefault="002014CA" w:rsidP="00E10347">
      <w:pPr>
        <w:pStyle w:val="Textoindependiente"/>
        <w:tabs>
          <w:tab w:val="left" w:pos="284"/>
        </w:tabs>
        <w:spacing w:after="0"/>
        <w:ind w:firstLine="709"/>
        <w:jc w:val="both"/>
        <w:rPr>
          <w:rFonts w:ascii="Palatino Linotype" w:hAnsi="Palatino Linotype"/>
          <w:sz w:val="21"/>
          <w:szCs w:val="21"/>
        </w:rPr>
      </w:pPr>
      <w:r w:rsidRPr="00E10347">
        <w:rPr>
          <w:rFonts w:ascii="Palatino Linotype" w:hAnsi="Palatino Linotype"/>
          <w:bCs/>
          <w:sz w:val="21"/>
          <w:szCs w:val="21"/>
        </w:rPr>
        <w:t>Ya hemos analizado el principio de concentración de la prueba.  Según este principio “</w:t>
      </w:r>
      <w:r w:rsidRPr="00E10347">
        <w:rPr>
          <w:rFonts w:ascii="Palatino Linotype" w:hAnsi="Palatino Linotype"/>
          <w:sz w:val="21"/>
          <w:szCs w:val="21"/>
        </w:rPr>
        <w:t>La prueba se practicará en una sola audiencia. Cuando ello no fuera posible en un solo día, se prorrogará la audiencia en días inmediatos y consecutivos. Se procurará recibir la mayor cantidad de prueba por día, estableciendo cuál habrá de practicarse en cada señalamiento. Las partes podrán disponer el orden de la declaración de sus testigos” –arts. 41.4.3 y 50.1 NCPC-.  Este también es conocido como el principio de unidad de la audiencia, contenido en el art. 50.1 NCPC</w:t>
      </w:r>
      <w:r w:rsidRPr="00E10347">
        <w:rPr>
          <w:rStyle w:val="Refdenotaalpie"/>
          <w:rFonts w:ascii="Palatino Linotype" w:hAnsi="Palatino Linotype"/>
          <w:sz w:val="21"/>
          <w:szCs w:val="21"/>
        </w:rPr>
        <w:footnoteReference w:id="235"/>
      </w:r>
      <w:r w:rsidRPr="00E10347">
        <w:rPr>
          <w:rFonts w:ascii="Palatino Linotype" w:hAnsi="Palatino Linotype"/>
          <w:sz w:val="21"/>
          <w:szCs w:val="21"/>
        </w:rPr>
        <w:t xml:space="preserve">. </w:t>
      </w:r>
    </w:p>
    <w:p w:rsidR="002014CA" w:rsidRPr="00E10347" w:rsidRDefault="002014CA" w:rsidP="00E10347">
      <w:pPr>
        <w:pStyle w:val="Textoindependiente"/>
        <w:tabs>
          <w:tab w:val="left" w:pos="142"/>
        </w:tabs>
        <w:spacing w:after="0"/>
        <w:ind w:firstLine="709"/>
        <w:jc w:val="both"/>
        <w:rPr>
          <w:rFonts w:ascii="Palatino Linotype" w:hAnsi="Palatino Linotype"/>
          <w:sz w:val="21"/>
          <w:szCs w:val="21"/>
        </w:rPr>
      </w:pPr>
      <w:r w:rsidRPr="00E10347">
        <w:rPr>
          <w:rFonts w:ascii="Palatino Linotype" w:hAnsi="Palatino Linotype"/>
          <w:sz w:val="21"/>
          <w:szCs w:val="21"/>
        </w:rPr>
        <w:t xml:space="preserve">Conforme al art. 50.3 </w:t>
      </w:r>
      <w:r w:rsidRPr="00E10347">
        <w:rPr>
          <w:rFonts w:ascii="Palatino Linotype" w:hAnsi="Palatino Linotype"/>
          <w:bCs/>
          <w:sz w:val="21"/>
          <w:szCs w:val="21"/>
        </w:rPr>
        <w:t>“l</w:t>
      </w:r>
      <w:r w:rsidRPr="00E10347">
        <w:rPr>
          <w:rFonts w:ascii="Palatino Linotype" w:hAnsi="Palatino Linotype"/>
          <w:sz w:val="21"/>
          <w:szCs w:val="21"/>
        </w:rPr>
        <w:t xml:space="preserve">a posposición y suspensión de audiencias solo se admitirá por caso fortuito o fuerza mayor, debidamente comprobados.  Iniciado el acto podrá suspenderse en casos muy calificados, cuando sea necesario para la buena marcha del proceso, para deliberar sobre aspectos complejos o a petición de parte, para instar un acuerdo conciliatorio. La suspensión deberá ser breve y al decretarla se hará el señalamiento de hora y fecha, dentro del plazo máximo de diez días, para la reanudación. </w:t>
      </w:r>
      <w:r w:rsidRPr="00E10347">
        <w:rPr>
          <w:rFonts w:ascii="Palatino Linotype" w:hAnsi="Palatino Linotype"/>
          <w:sz w:val="21"/>
          <w:szCs w:val="21"/>
        </w:rPr>
        <w:tab/>
        <w:t>Cuando la suspensión de la audiencia supere los cinco días y se afecte el principio de inmediación no podrá reanudarse y será necesario citar una nueva, sin perjuicio de la responsabilidad que corresponda.  Las audiencias no se pospondrán ni suspenderán por la ausencia de los abogados” -ver además arts. 2.8 -principio concentración- y 41.4.3 -concentración pruebas-.</w:t>
      </w:r>
    </w:p>
    <w:p w:rsidR="009A5379" w:rsidRPr="005F65BE" w:rsidRDefault="002014CA" w:rsidP="005F65BE">
      <w:pPr>
        <w:pStyle w:val="Textoindependiente"/>
        <w:tabs>
          <w:tab w:val="left" w:pos="284"/>
        </w:tabs>
        <w:spacing w:after="0"/>
        <w:ind w:firstLine="709"/>
        <w:jc w:val="both"/>
        <w:rPr>
          <w:rFonts w:ascii="Palatino Linotype" w:hAnsi="Palatino Linotype"/>
          <w:sz w:val="21"/>
          <w:szCs w:val="21"/>
        </w:rPr>
      </w:pPr>
      <w:r w:rsidRPr="00E10347">
        <w:rPr>
          <w:rFonts w:ascii="Palatino Linotype" w:hAnsi="Palatino Linotype"/>
          <w:sz w:val="21"/>
          <w:szCs w:val="21"/>
        </w:rPr>
        <w:t>Hay que recordar que las audiencias de prueba no se deben suspender por un plazo mayor de 5 días. La violación al principio de concentración de las audiencias puede originar un recurso de casación por forma.</w:t>
      </w:r>
    </w:p>
    <w:p w:rsidR="002014CA" w:rsidRPr="00E10347" w:rsidRDefault="002014CA" w:rsidP="00E10347">
      <w:pPr>
        <w:pStyle w:val="Textoindependiente"/>
        <w:tabs>
          <w:tab w:val="left" w:pos="709"/>
        </w:tabs>
        <w:spacing w:after="0"/>
        <w:jc w:val="both"/>
        <w:rPr>
          <w:rFonts w:ascii="Palatino Linotype" w:hAnsi="Palatino Linotype"/>
          <w:b/>
          <w:sz w:val="21"/>
          <w:szCs w:val="21"/>
        </w:rPr>
      </w:pPr>
      <w:r w:rsidRPr="00E10347">
        <w:rPr>
          <w:rFonts w:ascii="Palatino Linotype" w:hAnsi="Palatino Linotype"/>
          <w:b/>
          <w:sz w:val="21"/>
          <w:szCs w:val="21"/>
        </w:rPr>
        <w:lastRenderedPageBreak/>
        <w:t>n.-  Principio de la defensa técnica en las audiencias</w:t>
      </w:r>
    </w:p>
    <w:p w:rsidR="002014CA" w:rsidRPr="00E10347" w:rsidRDefault="002014CA" w:rsidP="00E10347">
      <w:pPr>
        <w:pStyle w:val="Textoindependiente"/>
        <w:tabs>
          <w:tab w:val="left" w:pos="709"/>
        </w:tabs>
        <w:spacing w:after="0"/>
        <w:ind w:firstLine="709"/>
        <w:jc w:val="both"/>
        <w:rPr>
          <w:rFonts w:ascii="Palatino Linotype" w:hAnsi="Palatino Linotype"/>
          <w:sz w:val="21"/>
          <w:szCs w:val="21"/>
          <w:lang w:val="es-ES_tradnl"/>
        </w:rPr>
      </w:pPr>
      <w:r w:rsidRPr="00E10347">
        <w:rPr>
          <w:rFonts w:ascii="Palatino Linotype" w:hAnsi="Palatino Linotype"/>
          <w:sz w:val="21"/>
          <w:szCs w:val="21"/>
        </w:rPr>
        <w:t>Uno de los principios que rigen las audiencias orales es la necesaria participación de los abogados y el derecho de la parte a que lo asista uno, aun cuando no tenga poder para ello, puesto que ahora el Código presume la representación -art. 20.2 NCPC</w:t>
      </w:r>
      <w:r w:rsidRPr="00E10347">
        <w:rPr>
          <w:rStyle w:val="Refdenotaalpie"/>
          <w:rFonts w:ascii="Palatino Linotype" w:hAnsi="Palatino Linotype"/>
          <w:sz w:val="21"/>
          <w:szCs w:val="21"/>
        </w:rPr>
        <w:footnoteReference w:id="236"/>
      </w:r>
      <w:r w:rsidRPr="00E10347">
        <w:rPr>
          <w:rFonts w:ascii="Palatino Linotype" w:hAnsi="Palatino Linotype"/>
          <w:sz w:val="21"/>
          <w:szCs w:val="21"/>
        </w:rPr>
        <w:t>-, de manera que por la garantía de la defensa técnica y el principio de contradicción n</w:t>
      </w:r>
      <w:r w:rsidRPr="00E10347">
        <w:rPr>
          <w:rFonts w:ascii="Palatino Linotype" w:hAnsi="Palatino Linotype"/>
          <w:sz w:val="21"/>
          <w:szCs w:val="21"/>
          <w:lang w:val="es-ES_tradnl"/>
        </w:rPr>
        <w:t>o es permitido impedir a la parte que concurra con su abogado, ni al juez designar o rechazar un abogado determinado, pues la asistencia letrada es parte integrante del debido proceso y no se puede limitar tal derecho a la parte.  También puede concurrir un abogado sin poder o representación y pues éste formular el interrogatorio, que haya autenticado algún escrito, aun cuando la parte no esté presente</w:t>
      </w:r>
      <w:r w:rsidRPr="00E10347">
        <w:rPr>
          <w:rStyle w:val="Refdenotaalpie"/>
          <w:rFonts w:ascii="Palatino Linotype" w:hAnsi="Palatino Linotype"/>
          <w:sz w:val="21"/>
          <w:szCs w:val="21"/>
          <w:lang w:val="es-ES_tradnl"/>
        </w:rPr>
        <w:footnoteReference w:id="237"/>
      </w:r>
      <w:r w:rsidRPr="00E10347">
        <w:rPr>
          <w:rFonts w:ascii="Palatino Linotype" w:hAnsi="Palatino Linotype"/>
          <w:sz w:val="21"/>
          <w:szCs w:val="21"/>
          <w:lang w:val="es-ES_tradnl"/>
        </w:rPr>
        <w:t>.</w:t>
      </w:r>
    </w:p>
    <w:p w:rsidR="002014CA" w:rsidRPr="00E10347" w:rsidRDefault="002014CA" w:rsidP="00E10347">
      <w:pPr>
        <w:pStyle w:val="Textonotapie"/>
        <w:ind w:firstLine="709"/>
        <w:jc w:val="both"/>
        <w:rPr>
          <w:rFonts w:ascii="Palatino Linotype" w:hAnsi="Palatino Linotype"/>
          <w:sz w:val="21"/>
          <w:szCs w:val="21"/>
        </w:rPr>
        <w:sectPr w:rsidR="002014CA" w:rsidRPr="00E10347" w:rsidSect="00FC1DF6">
          <w:headerReference w:type="even" r:id="rId26"/>
          <w:headerReference w:type="default" r:id="rId27"/>
          <w:type w:val="oddPage"/>
          <w:pgSz w:w="12240" w:h="15840" w:code="1"/>
          <w:pgMar w:top="1667" w:right="851" w:bottom="4253" w:left="3686" w:header="1021" w:footer="3005" w:gutter="0"/>
          <w:cols w:space="708"/>
          <w:titlePg/>
          <w:docGrid w:linePitch="360"/>
        </w:sectPr>
      </w:pPr>
      <w:r w:rsidRPr="00E10347">
        <w:rPr>
          <w:rFonts w:ascii="Palatino Linotype" w:hAnsi="Palatino Linotype"/>
          <w:sz w:val="21"/>
          <w:szCs w:val="21"/>
          <w:lang w:val="es-ES_tradnl"/>
        </w:rPr>
        <w:t>Conforme al art. 20.1 NCPC “</w:t>
      </w:r>
      <w:r w:rsidRPr="00E10347">
        <w:rPr>
          <w:rFonts w:ascii="Palatino Linotype" w:hAnsi="Palatino Linotype"/>
          <w:sz w:val="21"/>
          <w:szCs w:val="21"/>
        </w:rPr>
        <w:t>En las audiencias las partes deberán actuar asistidas por un abogado, salvo que sean profesionales en derecho”, de manera que, si solo parte asiste y no asiste su abogado, ningún abogado en su nombre, la parte no podrá interrogar a los testigos en la audiencia, salvo que la parte sea abogada en ejercicio</w:t>
      </w:r>
      <w:r w:rsidRPr="00E10347">
        <w:rPr>
          <w:rStyle w:val="Refdenotaalpie"/>
          <w:rFonts w:ascii="Palatino Linotype" w:hAnsi="Palatino Linotype"/>
          <w:sz w:val="21"/>
          <w:szCs w:val="21"/>
        </w:rPr>
        <w:footnoteReference w:id="238"/>
      </w:r>
      <w:r w:rsidRPr="00E10347">
        <w:rPr>
          <w:rFonts w:ascii="Palatino Linotype" w:hAnsi="Palatino Linotype"/>
          <w:sz w:val="21"/>
          <w:szCs w:val="21"/>
        </w:rPr>
        <w:t>.</w:t>
      </w:r>
    </w:p>
    <w:p w:rsidR="002014CA" w:rsidRPr="00E10347" w:rsidRDefault="002014CA" w:rsidP="00E10347">
      <w:pPr>
        <w:pStyle w:val="Predeterminado"/>
        <w:spacing w:after="0" w:line="240" w:lineRule="auto"/>
        <w:ind w:firstLine="709"/>
        <w:jc w:val="center"/>
        <w:rPr>
          <w:rFonts w:ascii="Palatino Linotype" w:hAnsi="Palatino Linotype" w:cs="Arial"/>
          <w:b/>
          <w:color w:val="auto"/>
          <w:sz w:val="21"/>
          <w:szCs w:val="21"/>
        </w:rPr>
      </w:pPr>
      <w:bookmarkStart w:id="25" w:name="_Hlk479196475"/>
      <w:r w:rsidRPr="00E10347">
        <w:rPr>
          <w:rFonts w:ascii="Palatino Linotype" w:hAnsi="Palatino Linotype" w:cs="Arial"/>
          <w:b/>
          <w:color w:val="auto"/>
          <w:sz w:val="21"/>
          <w:szCs w:val="21"/>
        </w:rPr>
        <w:lastRenderedPageBreak/>
        <w:t>LA APLICACIÓN DE LA TEORÍA DE LA “CARGA DINÁMICA DE LA  PRUEBA” EN LA RESPONSABILIDAD CIVIL</w:t>
      </w:r>
    </w:p>
    <w:p w:rsidR="002014CA" w:rsidRPr="00E10347" w:rsidRDefault="002014CA" w:rsidP="00E10347">
      <w:pPr>
        <w:pStyle w:val="Predeterminado"/>
        <w:spacing w:after="0" w:line="240" w:lineRule="auto"/>
        <w:ind w:firstLine="709"/>
        <w:jc w:val="center"/>
        <w:rPr>
          <w:rFonts w:ascii="Palatino Linotype" w:hAnsi="Palatino Linotype" w:cs="Arial"/>
          <w:b/>
          <w:color w:val="auto"/>
          <w:sz w:val="21"/>
          <w:szCs w:val="21"/>
        </w:rPr>
      </w:pPr>
      <w:r w:rsidRPr="00E10347">
        <w:rPr>
          <w:rFonts w:ascii="Palatino Linotype" w:hAnsi="Palatino Linotype" w:cs="Arial"/>
          <w:b/>
          <w:color w:val="auto"/>
          <w:sz w:val="21"/>
          <w:szCs w:val="21"/>
        </w:rPr>
        <w:t>POR PRODUCTOS DEFECTUOSOS</w:t>
      </w:r>
    </w:p>
    <w:p w:rsidR="002014CA" w:rsidRPr="00E10347" w:rsidRDefault="002014CA" w:rsidP="00E10347">
      <w:pPr>
        <w:pStyle w:val="Predeterminado"/>
        <w:spacing w:after="0" w:line="240" w:lineRule="auto"/>
        <w:ind w:firstLine="709"/>
        <w:jc w:val="center"/>
        <w:rPr>
          <w:rFonts w:ascii="Palatino Linotype" w:hAnsi="Palatino Linotype" w:cs="Arial"/>
          <w:b/>
          <w:color w:val="auto"/>
          <w:sz w:val="21"/>
          <w:szCs w:val="21"/>
        </w:rPr>
      </w:pPr>
    </w:p>
    <w:p w:rsidR="002014CA" w:rsidRPr="00E10347" w:rsidRDefault="002014CA" w:rsidP="00E10347">
      <w:pPr>
        <w:ind w:firstLine="709"/>
        <w:jc w:val="right"/>
        <w:rPr>
          <w:rFonts w:ascii="Palatino Linotype" w:hAnsi="Palatino Linotype"/>
          <w:b/>
          <w:sz w:val="21"/>
          <w:szCs w:val="21"/>
        </w:rPr>
      </w:pPr>
      <w:r w:rsidRPr="00E10347">
        <w:rPr>
          <w:rFonts w:ascii="Palatino Linotype" w:hAnsi="Palatino Linotype"/>
          <w:b/>
          <w:sz w:val="21"/>
          <w:szCs w:val="21"/>
        </w:rPr>
        <w:t xml:space="preserve"> Yuri López Casal</w:t>
      </w:r>
      <w:bookmarkEnd w:id="25"/>
      <w:r w:rsidRPr="00E10347">
        <w:rPr>
          <w:rStyle w:val="Refdenotaalpie"/>
          <w:rFonts w:ascii="Palatino Linotype" w:hAnsi="Palatino Linotype"/>
          <w:b/>
          <w:sz w:val="21"/>
          <w:szCs w:val="21"/>
        </w:rPr>
        <w:footnoteReference w:customMarkFollows="1" w:id="239"/>
        <w:sym w:font="Symbol" w:char="002A"/>
      </w:r>
    </w:p>
    <w:p w:rsidR="002014CA" w:rsidRPr="00E10347" w:rsidRDefault="002014CA" w:rsidP="00F35C2F">
      <w:pPr>
        <w:jc w:val="both"/>
        <w:rPr>
          <w:rFonts w:ascii="Palatino Linotype" w:hAnsi="Palatino Linotype"/>
          <w:sz w:val="21"/>
          <w:szCs w:val="21"/>
        </w:rPr>
      </w:pPr>
      <w:r w:rsidRPr="00E10347">
        <w:rPr>
          <w:rFonts w:ascii="Palatino Linotype" w:hAnsi="Palatino Linotype"/>
          <w:b/>
          <w:sz w:val="21"/>
          <w:szCs w:val="21"/>
        </w:rPr>
        <w:t xml:space="preserve">SUMARIO: </w:t>
      </w:r>
      <w:r w:rsidRPr="00E10347">
        <w:rPr>
          <w:rFonts w:ascii="Palatino Linotype" w:hAnsi="Palatino Linotype"/>
          <w:sz w:val="21"/>
          <w:szCs w:val="21"/>
        </w:rPr>
        <w:t>1.</w:t>
      </w:r>
      <w:r w:rsidRPr="00E10347">
        <w:rPr>
          <w:rFonts w:ascii="Palatino Linotype" w:hAnsi="Palatino Linotype"/>
          <w:b/>
          <w:sz w:val="21"/>
          <w:szCs w:val="21"/>
        </w:rPr>
        <w:t xml:space="preserve"> </w:t>
      </w:r>
      <w:r w:rsidRPr="00E10347">
        <w:rPr>
          <w:rFonts w:ascii="Palatino Linotype" w:hAnsi="Palatino Linotype"/>
          <w:sz w:val="21"/>
          <w:szCs w:val="21"/>
        </w:rPr>
        <w:t>Introducción. 2. Capítulo Primero: Generalidades de la responsabilidad civil causada por productos defectuosos. 2.1. Antecedentes históricos. 2.2. Alternativas jurídicas para obtener el resarcimiento de los daños causados por el producto defectuoso. 2.2.1. Pretensiones deducibles en el marco del contrato de compraventa. 2.2.2. La responsabilidad civil del fabricante y de otros sujetos, según el Código Civil alemán. 2.2.3. La responsabilidad civil del fabricante y de otros sujetos en el marco de la ley especial alemana de responsabilidad civil por productos defectuosos (Produkthaftungsgesetz). 2.2.4. Otros regímenes jurídicos de responsabilidad civil por productos defectuosos. 2.2.5. El concurso de pretensiones (Anspruchskonkurrenz) en materia de responsabilidad civil por productos defectuosos. 3. Capítulo Segundo: Carga de la prueba y carga dinámica de la prueba en el campo de la responsabilidad civil por productos defectuosos. 3.1. Delimitación de los conceptos de carga de la prueba y carga dinámica de la prueba. 3.1.1. Carga de la prueba. 3.1.2. Carga dinámica de la prueba. 3.2. La relevancia del precedente denominado “Hühnerpesturteil” en materia de carga de la prueba en la responsabilidad civil por productos defectuosos. 4. Carga de la prueba y carga dinámica de la prueba en la responsabilidad civil por productos basada en el Código Civil alemán. 5. Carga de la prueba y carga dinámica de la prueba basada en la ley especial alemana de responsabilidad civil por productos defectuosos (Produkthaftungsgesetz). Conclusiones. Bibliografía.</w:t>
      </w:r>
    </w:p>
    <w:p w:rsidR="009A5379" w:rsidRDefault="009A5379" w:rsidP="00E10347">
      <w:pPr>
        <w:jc w:val="both"/>
        <w:rPr>
          <w:rFonts w:ascii="Palatino Linotype" w:hAnsi="Palatino Linotype"/>
          <w:b/>
          <w:sz w:val="21"/>
          <w:szCs w:val="21"/>
        </w:rPr>
      </w:pP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1. Introducción</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Una de las novedades más sobresalientes del nuevo Código Procesal Civil de Costa Rica es la incorporación de lo que en la doctrina procesal extranjera se conoce como teoría de “la carga dinámica de la prueba”. El Derecho de Daños es uno de los campos más fértiles en los cuales tiene aplicación esa teoría, sobre todo en temas y sectores específicos de esa área del Derecho de Obligaciones, como </w:t>
      </w:r>
      <w:r w:rsidRPr="00E10347">
        <w:rPr>
          <w:rFonts w:ascii="Palatino Linotype" w:hAnsi="Palatino Linotype"/>
          <w:sz w:val="21"/>
          <w:szCs w:val="21"/>
        </w:rPr>
        <w:lastRenderedPageBreak/>
        <w:t>sucede, por ejemplo, cuando se aborda el tema de la incertidumbre causal, la responsabilidad civil médica y la responsabilidad civil causada por productos defectuosos.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La presente investigación persigue explicar las razones por las cuales es válido y justo aplicar la teoría de la carga dinámica de la prueba en el subsector de la responsabilidad civil por productos defectuosos y, más importante todavía, analizar la manera concreta mediante la cual, dependiendo del régimen jurídico invocado para el resarcimiento de los daños y perjuicios causados por el producto defectuoso, el defecto concreto que presente el producto y el sujeto contra quien se deduce la pretensión resarcitoria, opera la inversión de la carga de la prueba, lo cual, en nuestro criterio, es el aporte más significativo de la teoría de la carga dinámica de la prueba.</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Con base en esos objetivos, este trabajo se divide en dos partes o capítulos claramente delimitados: en el primer capítulo se desarrollarán aspectos básicos o fundamentales de la responsabilidad civil por productos defectuosos y en el segundo capítulo se abordará todo lo atinente al funcionamiento de la teoría de la carga dinámica de la prueba en ese sector específico del Derecho de Daños.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Finalmente, se aclara, al amable lector, que se utilizará, como marco de referencia, primordialmente el Derecho positivo, la doctrina y la jurisprudencia alemanas, no solamente por el exiguo desarrollo del tema en cuestión en Costa Rica, sino también porque en ese país europeo ha habido, desde hace décadas, un prolijo desarrollo de la responsabilidad civil por productos defectuosos, dado que la economía alemana es una de las más vitales y desarrolladas del mundo y basa su éxito en la fabricación de productos que luego exporta al mundo entero.</w:t>
      </w:r>
    </w:p>
    <w:p w:rsidR="009A5379" w:rsidRDefault="009A5379" w:rsidP="00E10347">
      <w:pPr>
        <w:jc w:val="both"/>
        <w:rPr>
          <w:rFonts w:ascii="Palatino Linotype" w:hAnsi="Palatino Linotype"/>
          <w:b/>
          <w:sz w:val="21"/>
          <w:szCs w:val="21"/>
        </w:rPr>
      </w:pP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2. Capítulo Primero: Generalidades de la responsabilidad civil causada por productos defectuosos.</w:t>
      </w: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2.1. Antecedentes históricos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De acuerdo con el autor alemán Eisenberg</w:t>
      </w:r>
      <w:r w:rsidRPr="00E10347">
        <w:rPr>
          <w:rStyle w:val="Refdenotaalpie"/>
          <w:rFonts w:ascii="Palatino Linotype" w:hAnsi="Palatino Linotype"/>
          <w:sz w:val="21"/>
          <w:szCs w:val="21"/>
        </w:rPr>
        <w:footnoteReference w:id="240"/>
      </w:r>
      <w:r w:rsidRPr="00E10347">
        <w:rPr>
          <w:rFonts w:ascii="Palatino Linotype" w:hAnsi="Palatino Linotype"/>
          <w:sz w:val="21"/>
          <w:szCs w:val="21"/>
        </w:rPr>
        <w:t>, la responsabilidad civil por productos defectuosos surge a principios del siglo XX.</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Ese mismo autor reseña algunas sentencias importantes que, en su criterio, contribuyeron a desarrollar lo que podría denominarse la teoría general de la responsabilidad civil por productos defectuosos. Tales sentencias son las siguientes:</w:t>
      </w:r>
    </w:p>
    <w:p w:rsidR="002014CA" w:rsidRPr="00E10347" w:rsidRDefault="002014CA" w:rsidP="00E10347">
      <w:pPr>
        <w:jc w:val="both"/>
        <w:rPr>
          <w:rFonts w:ascii="Palatino Linotype" w:hAnsi="Palatino Linotype"/>
          <w:sz w:val="21"/>
          <w:szCs w:val="21"/>
        </w:rPr>
      </w:pPr>
      <w:r w:rsidRPr="00E10347">
        <w:rPr>
          <w:rFonts w:ascii="Palatino Linotype" w:hAnsi="Palatino Linotype"/>
          <w:b/>
          <w:sz w:val="21"/>
          <w:szCs w:val="21"/>
        </w:rPr>
        <w:lastRenderedPageBreak/>
        <w:t>2.1.1.</w:t>
      </w:r>
      <w:r w:rsidRPr="00E10347">
        <w:rPr>
          <w:rFonts w:ascii="Palatino Linotype" w:hAnsi="Palatino Linotype"/>
          <w:sz w:val="21"/>
          <w:szCs w:val="21"/>
        </w:rPr>
        <w:t xml:space="preserve"> La llamada sentencia “Brunnensalz-Entscheidung”</w:t>
      </w:r>
      <w:r w:rsidRPr="00E10347">
        <w:rPr>
          <w:rStyle w:val="Refdenotaalpie"/>
          <w:rFonts w:ascii="Palatino Linotype" w:hAnsi="Palatino Linotype"/>
          <w:sz w:val="21"/>
          <w:szCs w:val="21"/>
        </w:rPr>
        <w:footnoteReference w:id="241"/>
      </w:r>
      <w:r w:rsidRPr="00E10347">
        <w:rPr>
          <w:rFonts w:ascii="Palatino Linotype" w:hAnsi="Palatino Linotype"/>
          <w:sz w:val="21"/>
          <w:szCs w:val="21"/>
        </w:rPr>
        <w:t>, de 1915, dictada por el antiguo Reichsgericht.</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Se trató de un caso en el cual un cliente adquirió un paquete de sal en una farmacia. Como consecuencia de su consumo, el cliente se enfermó, debido a que la sal contenía finos residuos de vidrio, a causa de un error en el proceso de producción de la sal.</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El fabricante de la sal fue condenado al pago de los daños y perjuicios causados al consumidor y particularmente interesante de esta sentencia fue que la obligación resarcitoria fue sustentada, por parte del Reichsgericht, en el § 823 párrafo primero del Código Civil alemán (conocido por sus siglas BGB (Bürgerliches Gesetzbuch)), que es la norma esencial de la responsabilidad civil extracontractual subjetiva, muy similar al artículo 1045 del Código Civil de Costa Rica.</w:t>
      </w:r>
    </w:p>
    <w:p w:rsidR="002014CA" w:rsidRPr="00E10347" w:rsidRDefault="002014CA" w:rsidP="00E10347">
      <w:pPr>
        <w:jc w:val="both"/>
        <w:rPr>
          <w:rFonts w:ascii="Palatino Linotype" w:hAnsi="Palatino Linotype"/>
          <w:sz w:val="21"/>
          <w:szCs w:val="21"/>
        </w:rPr>
      </w:pPr>
      <w:r w:rsidRPr="00E10347">
        <w:rPr>
          <w:rFonts w:ascii="Palatino Linotype" w:hAnsi="Palatino Linotype"/>
          <w:b/>
          <w:sz w:val="21"/>
          <w:szCs w:val="21"/>
        </w:rPr>
        <w:t>2.1.2.</w:t>
      </w:r>
      <w:r w:rsidRPr="00E10347">
        <w:rPr>
          <w:rFonts w:ascii="Palatino Linotype" w:hAnsi="Palatino Linotype"/>
          <w:sz w:val="21"/>
          <w:szCs w:val="21"/>
        </w:rPr>
        <w:t xml:space="preserve"> El llamado caso MacPherson v. Buick</w:t>
      </w:r>
      <w:r w:rsidRPr="00E10347">
        <w:rPr>
          <w:rStyle w:val="Refdenotaalpie"/>
          <w:rFonts w:ascii="Palatino Linotype" w:hAnsi="Palatino Linotype"/>
          <w:sz w:val="21"/>
          <w:szCs w:val="21"/>
        </w:rPr>
        <w:footnoteReference w:id="242"/>
      </w:r>
      <w:r w:rsidRPr="00E10347">
        <w:rPr>
          <w:rFonts w:ascii="Palatino Linotype" w:hAnsi="Palatino Linotype"/>
          <w:sz w:val="21"/>
          <w:szCs w:val="21"/>
        </w:rPr>
        <w:t>, sentenciado por el Tribunal de Apelaciones de Nueva York (Estados Unidos), en 1916.</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En este caso la empresa Buick era una empresa constructora de carros que, en ese tiempo, utilizaban ruedas de madera con radios. Dichas ruedas eran construidas y suministradas a la empresa Buick por parte de otra empresa y fueron instaladas en los vehículos sin haber sido revisadas por parte de trabajadores de Buick. Los radios de una de las ruedas se rompieron como consecuencia del uso del vehículo y el señor MacPherson resultó lesionado.</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La Corte de Apelaciones de Nueva York dispuso, en la fundamentación de su veredicto, que todo aquél que introduce, en el tráfico jurídico, un producto que pueda causar daños al cuerpo o la salud, debe tomar las medidas razonables y necesarias para evitar la producción de tales daños. Indicó también que si el peligro es previsible y evitable, el fabricante puede ser demandado por haber actuado de manera culposa (Negligence).</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Esta sentencia se asemeja a la anteriormente indicada, del Reichsgericht alemán, en el sentido de que la obligación de indemnizar los daños y perjuicios se sustentó en el régimen jurídico de la responsabilidad civil extracontractual y no en las acciones de ejecución de garantía que, en el marco del contrato de compraventa, le asisten al comprador frente al vendedor.</w:t>
      </w:r>
    </w:p>
    <w:p w:rsidR="002014CA" w:rsidRPr="00E10347" w:rsidRDefault="002014CA" w:rsidP="00E10347">
      <w:pPr>
        <w:jc w:val="both"/>
        <w:rPr>
          <w:rFonts w:ascii="Palatino Linotype" w:hAnsi="Palatino Linotype"/>
          <w:sz w:val="21"/>
          <w:szCs w:val="21"/>
        </w:rPr>
      </w:pPr>
      <w:r w:rsidRPr="00E10347">
        <w:rPr>
          <w:rFonts w:ascii="Palatino Linotype" w:hAnsi="Palatino Linotype"/>
          <w:b/>
          <w:sz w:val="21"/>
          <w:szCs w:val="21"/>
        </w:rPr>
        <w:lastRenderedPageBreak/>
        <w:t>2.1.3.</w:t>
      </w:r>
      <w:r w:rsidRPr="00E10347">
        <w:rPr>
          <w:rFonts w:ascii="Palatino Linotype" w:hAnsi="Palatino Linotype"/>
          <w:sz w:val="21"/>
          <w:szCs w:val="21"/>
        </w:rPr>
        <w:t xml:space="preserve"> El paradigmático caso, conocido en el Derecho alemán, como “Hühnerpesturteil”</w:t>
      </w:r>
      <w:r w:rsidRPr="00E10347">
        <w:rPr>
          <w:rStyle w:val="Refdenotaalpie"/>
          <w:rFonts w:ascii="Palatino Linotype" w:hAnsi="Palatino Linotype"/>
          <w:sz w:val="21"/>
          <w:szCs w:val="21"/>
        </w:rPr>
        <w:footnoteReference w:id="243"/>
      </w:r>
      <w:r w:rsidRPr="00E10347">
        <w:rPr>
          <w:rFonts w:ascii="Palatino Linotype" w:hAnsi="Palatino Linotype"/>
          <w:sz w:val="21"/>
          <w:szCs w:val="21"/>
        </w:rPr>
        <w:t>.</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Un agricultor había vacunado sus gallinas contra la peste. Días después, las gallinas murieron como consecuencia de una peste. La vacuna aplicada había sido correctamente construida, pero estaba contaminada con bacterias. No se pudo aclarar si la contaminación de la vacuna sucedió durante el proceso de fabricación o si sucedió después de la entrega de la vacuna y quién fue el responsable.</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Al igual que en los precedentes anteriores, el Bundesgerichtshof (conocido en Alemania por sus siglas BGH) le impuso al fabricante la obligación de resarcir los daños y perjuicios con base en el § 823 párrafo primero del Código Civil alemán (conocido por sus siglas BGB (Bürgerliches Gesetzbuch)), que es la norma esencial de la responsabilidad civil extracontractual subjetiva, muy similar al artículo 1045 del Código Civil de Costa Rica.</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Este caso se retomará en el capítulo segundo de esta investigación, ya que marcó un punto de inflexión en lo que al tema de la inversión de la carga de la prueba, en materia de responsabilidad civil por productos defectuosos, se refiere.</w:t>
      </w:r>
    </w:p>
    <w:p w:rsidR="002014CA" w:rsidRPr="00E10347" w:rsidRDefault="002014CA" w:rsidP="00E10347">
      <w:pPr>
        <w:jc w:val="both"/>
        <w:rPr>
          <w:rFonts w:ascii="Palatino Linotype" w:hAnsi="Palatino Linotype"/>
          <w:sz w:val="21"/>
          <w:szCs w:val="21"/>
          <w:lang w:val="en-US"/>
        </w:rPr>
      </w:pPr>
      <w:r w:rsidRPr="00E10347">
        <w:rPr>
          <w:rFonts w:ascii="Palatino Linotype" w:hAnsi="Palatino Linotype"/>
          <w:b/>
          <w:sz w:val="21"/>
          <w:szCs w:val="21"/>
          <w:lang w:val="en-US"/>
        </w:rPr>
        <w:t>2.1.4.</w:t>
      </w:r>
      <w:r w:rsidRPr="00E10347">
        <w:rPr>
          <w:rFonts w:ascii="Palatino Linotype" w:hAnsi="Palatino Linotype"/>
          <w:sz w:val="21"/>
          <w:szCs w:val="21"/>
          <w:lang w:val="en-US"/>
        </w:rPr>
        <w:t xml:space="preserve"> Caso Greeman v. Yuba Power Products Inc.</w:t>
      </w:r>
      <w:r w:rsidRPr="00E10347">
        <w:rPr>
          <w:rStyle w:val="Refdenotaalpie"/>
          <w:rFonts w:ascii="Palatino Linotype" w:hAnsi="Palatino Linotype"/>
          <w:sz w:val="21"/>
          <w:szCs w:val="21"/>
        </w:rPr>
        <w:footnoteReference w:id="244"/>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La Corte Suprema de California indicó, en este caso, que el fabricante de un producto está obligado al pago de daños y perjuicios causados por su producto, independientemente de si actuó con culpa o sin ella.</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Como puede colegirse, este precedente del Derecho estadounidense determinó que al fabricante de productos defectuosos le correspondía una responsabilidad civil objetiva (strict liability in tort), a diferencia de sus antecesores, que sustentaban la obligación de resarcir daños y perjuicios con base en el régimen de la responsabilidad civil extracontractual subjetiva.</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b/>
          <w:sz w:val="21"/>
          <w:szCs w:val="21"/>
        </w:rPr>
        <w:t>2.1.5.</w:t>
      </w:r>
      <w:r w:rsidRPr="00E10347">
        <w:rPr>
          <w:rFonts w:ascii="Palatino Linotype" w:hAnsi="Palatino Linotype"/>
          <w:sz w:val="21"/>
          <w:szCs w:val="21"/>
        </w:rPr>
        <w:t xml:space="preserve"> La Directiva comunitaria número 85/374 EWG de la antigua Comunidad Económica Europea (EWG), ahora denominada Unión Europea (Europäische Union, EU) sobre la armonización de las normas jurídicas y disposiciones administrativas de los Estados miembros sobre la responsabilidad por productos defectuosos del 27 de julio de 1985 (EG-Richtlinie des Rates zur Ausgleichung des Rechts― und Verwaltungsvorschriften der Mitgliedsstaaten über die Haftung für fehlerhafte Produkte (85/374 EWG) vom 25.7.1985), la cual entró en </w:t>
      </w:r>
      <w:r w:rsidRPr="00E10347">
        <w:rPr>
          <w:rFonts w:ascii="Palatino Linotype" w:hAnsi="Palatino Linotype"/>
          <w:sz w:val="21"/>
          <w:szCs w:val="21"/>
        </w:rPr>
        <w:lastRenderedPageBreak/>
        <w:t>vigencia y con carácter vinculante para los Estados miembros de la Unión Europea, a partir del 30 de julio de 1985</w:t>
      </w:r>
      <w:r w:rsidRPr="00E10347">
        <w:rPr>
          <w:rStyle w:val="Refdenotaalpie"/>
          <w:rFonts w:ascii="Palatino Linotype" w:hAnsi="Palatino Linotype"/>
          <w:sz w:val="21"/>
          <w:szCs w:val="21"/>
        </w:rPr>
        <w:footnoteReference w:id="245"/>
      </w:r>
      <w:r w:rsidRPr="00E10347">
        <w:rPr>
          <w:rFonts w:ascii="Palatino Linotype" w:hAnsi="Palatino Linotype"/>
          <w:sz w:val="21"/>
          <w:szCs w:val="21"/>
        </w:rPr>
        <w:t>.</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La finalidad de esta directiva comunitaria (Richtlinie) era, precisamente, unificar y armonizar los diferentes regímenes jurídicos que a esa fecha existían a lo interno de cada uno de los Estados miembros de la Unión Europea sobre la responsabilidad civil por productos defectuosos, así como impedir la adulteración de la competencia y los perjuicios del libre tráfico de mercancías dentro de la Eurozona y unificar la protección de los consumidores (Verbraucherschutz) en la Unión Europea</w:t>
      </w:r>
      <w:r w:rsidRPr="00E10347">
        <w:rPr>
          <w:rStyle w:val="Refdenotaalpie"/>
          <w:rFonts w:ascii="Palatino Linotype" w:hAnsi="Palatino Linotype"/>
          <w:sz w:val="21"/>
          <w:szCs w:val="21"/>
        </w:rPr>
        <w:footnoteReference w:id="246"/>
      </w:r>
      <w:r w:rsidRPr="00E10347">
        <w:rPr>
          <w:rFonts w:ascii="Palatino Linotype" w:hAnsi="Palatino Linotype"/>
          <w:sz w:val="21"/>
          <w:szCs w:val="21"/>
        </w:rPr>
        <w:t>.</w:t>
      </w:r>
    </w:p>
    <w:p w:rsidR="002014CA" w:rsidRPr="00E10347" w:rsidRDefault="002014CA" w:rsidP="00E10347">
      <w:pPr>
        <w:pStyle w:val="Textonotapie"/>
        <w:ind w:firstLine="709"/>
        <w:jc w:val="both"/>
        <w:rPr>
          <w:rFonts w:ascii="Palatino Linotype" w:hAnsi="Palatino Linotype"/>
          <w:sz w:val="21"/>
          <w:szCs w:val="21"/>
          <w:lang w:val="de-DE"/>
        </w:rPr>
      </w:pPr>
      <w:r w:rsidRPr="00E10347">
        <w:rPr>
          <w:rFonts w:ascii="Palatino Linotype" w:hAnsi="Palatino Linotype"/>
          <w:sz w:val="21"/>
          <w:szCs w:val="21"/>
          <w:lang w:val="de-DE"/>
        </w:rPr>
        <w:t>La Directiva comunitaria en cuestión, basada en la influencia decisiva de la jurisprudencia estadounidense en materia de responsabilidad civil por productos defectuosos, estableció un régimen de responsabilidad civil objetiva en cabeza del fabricante y de otros sujetos involucrados en su posterior distribución y comercialización, por los daños causados por los productos defectuosos.</w:t>
      </w:r>
    </w:p>
    <w:p w:rsidR="009A5379" w:rsidRDefault="009A5379" w:rsidP="00E10347">
      <w:pPr>
        <w:pStyle w:val="Textonotapie"/>
        <w:jc w:val="both"/>
        <w:rPr>
          <w:rFonts w:ascii="Palatino Linotype" w:hAnsi="Palatino Linotype"/>
          <w:b/>
          <w:sz w:val="21"/>
          <w:szCs w:val="21"/>
          <w:lang w:val="de-DE"/>
        </w:rPr>
      </w:pPr>
    </w:p>
    <w:p w:rsidR="002014CA" w:rsidRPr="00E10347" w:rsidRDefault="002014CA" w:rsidP="00E10347">
      <w:pPr>
        <w:pStyle w:val="Textonotapie"/>
        <w:jc w:val="both"/>
        <w:rPr>
          <w:rFonts w:ascii="Palatino Linotype" w:hAnsi="Palatino Linotype"/>
          <w:sz w:val="21"/>
          <w:szCs w:val="21"/>
          <w:lang w:val="de-DE"/>
        </w:rPr>
      </w:pPr>
      <w:r w:rsidRPr="00E10347">
        <w:rPr>
          <w:rFonts w:ascii="Palatino Linotype" w:hAnsi="Palatino Linotype"/>
          <w:b/>
          <w:sz w:val="21"/>
          <w:szCs w:val="21"/>
          <w:lang w:val="de-DE"/>
        </w:rPr>
        <w:t>2.2.</w:t>
      </w:r>
      <w:r w:rsidRPr="00E10347">
        <w:rPr>
          <w:rFonts w:ascii="Palatino Linotype" w:hAnsi="Palatino Linotype"/>
          <w:sz w:val="21"/>
          <w:szCs w:val="21"/>
          <w:lang w:val="de-DE"/>
        </w:rPr>
        <w:t xml:space="preserve"> </w:t>
      </w:r>
      <w:r w:rsidRPr="00E10347">
        <w:rPr>
          <w:rFonts w:ascii="Palatino Linotype" w:hAnsi="Palatino Linotype"/>
          <w:b/>
          <w:sz w:val="21"/>
          <w:szCs w:val="21"/>
          <w:lang w:val="de-DE"/>
        </w:rPr>
        <w:t>Alternativas jurídicas para obtener el resarcimiento de los daños causados por el producto defectuoso.</w:t>
      </w:r>
    </w:p>
    <w:p w:rsidR="002014CA" w:rsidRPr="00E10347" w:rsidRDefault="002014CA" w:rsidP="00E10347">
      <w:pPr>
        <w:pStyle w:val="Textonotapie"/>
        <w:jc w:val="both"/>
        <w:rPr>
          <w:rFonts w:ascii="Palatino Linotype" w:hAnsi="Palatino Linotype"/>
          <w:sz w:val="21"/>
          <w:szCs w:val="21"/>
          <w:lang w:val="de-DE"/>
        </w:rPr>
      </w:pPr>
      <w:r w:rsidRPr="00E10347">
        <w:rPr>
          <w:rFonts w:ascii="Palatino Linotype" w:hAnsi="Palatino Linotype"/>
          <w:b/>
          <w:sz w:val="21"/>
          <w:szCs w:val="21"/>
          <w:lang w:val="de-DE"/>
        </w:rPr>
        <w:t>2.2.1.</w:t>
      </w:r>
      <w:r w:rsidRPr="00E10347">
        <w:rPr>
          <w:rFonts w:ascii="Palatino Linotype" w:hAnsi="Palatino Linotype"/>
          <w:sz w:val="21"/>
          <w:szCs w:val="21"/>
          <w:lang w:val="de-DE"/>
        </w:rPr>
        <w:t xml:space="preserve"> </w:t>
      </w:r>
      <w:r w:rsidRPr="00E10347">
        <w:rPr>
          <w:rFonts w:ascii="Palatino Linotype" w:hAnsi="Palatino Linotype"/>
          <w:b/>
          <w:sz w:val="21"/>
          <w:szCs w:val="21"/>
          <w:lang w:val="de-DE"/>
        </w:rPr>
        <w:t>Pretensiones deducibles en el marco del contrato de compraventa</w:t>
      </w:r>
    </w:p>
    <w:p w:rsidR="002014CA" w:rsidRPr="00E10347" w:rsidRDefault="002014CA" w:rsidP="00E10347">
      <w:pPr>
        <w:pStyle w:val="Textonotapie"/>
        <w:ind w:firstLine="709"/>
        <w:jc w:val="both"/>
        <w:rPr>
          <w:rFonts w:ascii="Palatino Linotype" w:hAnsi="Palatino Linotype"/>
          <w:sz w:val="21"/>
          <w:szCs w:val="21"/>
          <w:lang w:val="de-DE"/>
        </w:rPr>
      </w:pPr>
      <w:r w:rsidRPr="00E10347">
        <w:rPr>
          <w:rFonts w:ascii="Palatino Linotype" w:hAnsi="Palatino Linotype"/>
          <w:sz w:val="21"/>
          <w:szCs w:val="21"/>
          <w:lang w:val="de-DE"/>
        </w:rPr>
        <w:t>En el Derecho Civil alemán, si el objeto vendido es defectuoso, el comprador puede ejercer, frente al vendedor</w:t>
      </w:r>
      <w:r w:rsidRPr="00E10347">
        <w:rPr>
          <w:rStyle w:val="Refdenotaalpie"/>
          <w:rFonts w:ascii="Palatino Linotype" w:hAnsi="Palatino Linotype"/>
          <w:sz w:val="21"/>
          <w:szCs w:val="21"/>
          <w:lang w:val="de-DE"/>
        </w:rPr>
        <w:footnoteReference w:id="247"/>
      </w:r>
      <w:r w:rsidRPr="00E10347">
        <w:rPr>
          <w:rFonts w:ascii="Palatino Linotype" w:hAnsi="Palatino Linotype"/>
          <w:sz w:val="21"/>
          <w:szCs w:val="21"/>
          <w:lang w:val="de-DE"/>
        </w:rPr>
        <w:t>, las siguientes pretensiones, todas ellas derivadas de la obligación, que le corresponde al vendedor, consistente en vender objetos sin vicios o defectos</w:t>
      </w:r>
      <w:r w:rsidRPr="00E10347">
        <w:rPr>
          <w:rStyle w:val="Refdenotaalpie"/>
          <w:rFonts w:ascii="Palatino Linotype" w:hAnsi="Palatino Linotype"/>
          <w:sz w:val="21"/>
          <w:szCs w:val="21"/>
          <w:lang w:val="de-DE"/>
        </w:rPr>
        <w:footnoteReference w:id="248"/>
      </w:r>
      <w:r w:rsidRPr="00E10347">
        <w:rPr>
          <w:rFonts w:ascii="Palatino Linotype" w:hAnsi="Palatino Linotype"/>
          <w:sz w:val="21"/>
          <w:szCs w:val="21"/>
          <w:lang w:val="de-DE"/>
        </w:rPr>
        <w:t>:</w:t>
      </w:r>
    </w:p>
    <w:p w:rsidR="002014CA" w:rsidRPr="00E10347" w:rsidRDefault="002014CA" w:rsidP="00E10347">
      <w:pPr>
        <w:pStyle w:val="Textonotapie"/>
        <w:jc w:val="both"/>
        <w:rPr>
          <w:rFonts w:ascii="Palatino Linotype" w:hAnsi="Palatino Linotype"/>
          <w:sz w:val="21"/>
          <w:szCs w:val="21"/>
          <w:lang w:val="de-DE"/>
        </w:rPr>
      </w:pPr>
      <w:r w:rsidRPr="00E10347">
        <w:rPr>
          <w:rFonts w:ascii="Palatino Linotype" w:hAnsi="Palatino Linotype"/>
          <w:b/>
          <w:sz w:val="21"/>
          <w:szCs w:val="21"/>
          <w:lang w:val="de-DE"/>
        </w:rPr>
        <w:t>2.2.1.1.</w:t>
      </w:r>
      <w:r w:rsidRPr="00E10347">
        <w:rPr>
          <w:rFonts w:ascii="Palatino Linotype" w:hAnsi="Palatino Linotype"/>
          <w:sz w:val="21"/>
          <w:szCs w:val="21"/>
          <w:lang w:val="de-DE"/>
        </w:rPr>
        <w:t xml:space="preserve"> Nacherfüllung (reparación de la cosa vendida o entrega de una nueva cosa en sustitución de la originalmente vendida), de conformidad con los §§ 437 Nr. 1 y 439 del Código Civil alemán;</w:t>
      </w:r>
    </w:p>
    <w:p w:rsidR="002014CA" w:rsidRPr="00E10347" w:rsidRDefault="002014CA" w:rsidP="00E10347">
      <w:pPr>
        <w:pStyle w:val="Textonotapie"/>
        <w:jc w:val="both"/>
        <w:rPr>
          <w:rFonts w:ascii="Palatino Linotype" w:hAnsi="Palatino Linotype"/>
          <w:sz w:val="21"/>
          <w:szCs w:val="21"/>
          <w:lang w:val="de-DE"/>
        </w:rPr>
      </w:pPr>
      <w:r w:rsidRPr="00E10347">
        <w:rPr>
          <w:rFonts w:ascii="Palatino Linotype" w:hAnsi="Palatino Linotype"/>
          <w:b/>
          <w:sz w:val="21"/>
          <w:szCs w:val="21"/>
          <w:lang w:val="de-DE"/>
        </w:rPr>
        <w:t>2.2.1.2.</w:t>
      </w:r>
      <w:r w:rsidRPr="00E10347">
        <w:rPr>
          <w:rFonts w:ascii="Palatino Linotype" w:hAnsi="Palatino Linotype"/>
          <w:sz w:val="21"/>
          <w:szCs w:val="21"/>
          <w:lang w:val="de-DE"/>
        </w:rPr>
        <w:t xml:space="preserve"> Rücktritt (resolución contractual), según los §§ 437 Nr. 2 Alt. 1, 440, 323 y 326 Abs. 5 del Código Civil alemán.</w:t>
      </w:r>
    </w:p>
    <w:p w:rsidR="002014CA" w:rsidRPr="00E10347" w:rsidRDefault="002014CA" w:rsidP="00E10347">
      <w:pPr>
        <w:pStyle w:val="Textonotapie"/>
        <w:jc w:val="both"/>
        <w:rPr>
          <w:rFonts w:ascii="Palatino Linotype" w:hAnsi="Palatino Linotype"/>
          <w:sz w:val="21"/>
          <w:szCs w:val="21"/>
          <w:lang w:val="de-DE"/>
        </w:rPr>
      </w:pPr>
      <w:r w:rsidRPr="00E10347">
        <w:rPr>
          <w:rFonts w:ascii="Palatino Linotype" w:hAnsi="Palatino Linotype"/>
          <w:b/>
          <w:sz w:val="21"/>
          <w:szCs w:val="21"/>
          <w:lang w:val="de-DE"/>
        </w:rPr>
        <w:t>2.2.1.3.</w:t>
      </w:r>
      <w:r w:rsidRPr="00E10347">
        <w:rPr>
          <w:rFonts w:ascii="Palatino Linotype" w:hAnsi="Palatino Linotype"/>
          <w:sz w:val="21"/>
          <w:szCs w:val="21"/>
          <w:lang w:val="de-DE"/>
        </w:rPr>
        <w:t xml:space="preserve"> Minderung (reducción del precio), a tenor de lo dispuesto en los §§ 437 Nr. </w:t>
      </w:r>
      <w:r w:rsidRPr="00E10347">
        <w:rPr>
          <w:rFonts w:ascii="Palatino Linotype" w:hAnsi="Palatino Linotype"/>
          <w:sz w:val="21"/>
          <w:szCs w:val="21"/>
          <w:lang w:val="de-DE"/>
        </w:rPr>
        <w:lastRenderedPageBreak/>
        <w:t>2 Alt. 2 y 441 del Código Civil alemán;</w:t>
      </w:r>
    </w:p>
    <w:p w:rsidR="002014CA" w:rsidRPr="00E10347" w:rsidRDefault="002014CA" w:rsidP="00E10347">
      <w:pPr>
        <w:pStyle w:val="Textonotapie"/>
        <w:jc w:val="both"/>
        <w:rPr>
          <w:rFonts w:ascii="Palatino Linotype" w:hAnsi="Palatino Linotype"/>
          <w:sz w:val="21"/>
          <w:szCs w:val="21"/>
          <w:lang w:val="de-DE"/>
        </w:rPr>
      </w:pPr>
      <w:r w:rsidRPr="00E10347">
        <w:rPr>
          <w:rFonts w:ascii="Palatino Linotype" w:hAnsi="Palatino Linotype"/>
          <w:b/>
          <w:sz w:val="21"/>
          <w:szCs w:val="21"/>
          <w:lang w:val="de-DE"/>
        </w:rPr>
        <w:t>2.2.1.4.</w:t>
      </w:r>
      <w:r w:rsidRPr="00E10347">
        <w:rPr>
          <w:rFonts w:ascii="Palatino Linotype" w:hAnsi="Palatino Linotype"/>
          <w:sz w:val="21"/>
          <w:szCs w:val="21"/>
          <w:lang w:val="de-DE"/>
        </w:rPr>
        <w:t xml:space="preserve"> Schadensersatz (daños y perjuicios), de conformidad con los §§ 437 Nr. 3 Alt. 1, 440, 280, 281, 283 y 311 a del Código Civil alemán.</w:t>
      </w:r>
    </w:p>
    <w:p w:rsidR="002014CA" w:rsidRPr="00E10347" w:rsidRDefault="002014CA" w:rsidP="00E10347">
      <w:pPr>
        <w:pStyle w:val="Textonotapie"/>
        <w:ind w:firstLine="709"/>
        <w:jc w:val="both"/>
        <w:rPr>
          <w:rFonts w:ascii="Palatino Linotype" w:hAnsi="Palatino Linotype"/>
          <w:sz w:val="21"/>
          <w:szCs w:val="21"/>
          <w:lang w:val="de-DE"/>
        </w:rPr>
      </w:pPr>
      <w:r w:rsidRPr="00E10347">
        <w:rPr>
          <w:rFonts w:ascii="Palatino Linotype" w:hAnsi="Palatino Linotype"/>
          <w:sz w:val="21"/>
          <w:szCs w:val="21"/>
          <w:lang w:val="de-DE"/>
        </w:rPr>
        <w:t>En relación con ésta útlima pretensión, es menester indicar que el vendedor está obligado a indemnizar los daños y perjuicios, en la medida en que el defecto de la cosa vendida le pueda ser imputado, sea a título de culpa (Fahrlässigkeit) o de dolo (Vorsatz), con base en lo dispuesto en el § 276 Abs. 1 S.1 Hs. 1 del Código Civil alemán).</w:t>
      </w:r>
    </w:p>
    <w:p w:rsidR="002014CA" w:rsidRPr="00E10347" w:rsidRDefault="002014CA" w:rsidP="00E10347">
      <w:pPr>
        <w:pStyle w:val="Textonotapie"/>
        <w:ind w:firstLine="709"/>
        <w:jc w:val="both"/>
        <w:rPr>
          <w:rFonts w:ascii="Palatino Linotype" w:hAnsi="Palatino Linotype"/>
          <w:sz w:val="21"/>
          <w:szCs w:val="21"/>
          <w:lang w:val="de-DE"/>
        </w:rPr>
      </w:pPr>
      <w:r w:rsidRPr="00E10347">
        <w:rPr>
          <w:rFonts w:ascii="Palatino Linotype" w:hAnsi="Palatino Linotype"/>
          <w:sz w:val="21"/>
          <w:szCs w:val="21"/>
          <w:lang w:val="de-DE"/>
        </w:rPr>
        <w:t>Le corresponde al vendedor la carga de la prueba de que él no actuó culposamente. (§ 280 Abs. 1 S. 2 del Código Civil alemán).</w:t>
      </w:r>
    </w:p>
    <w:p w:rsidR="002014CA" w:rsidRPr="00E10347" w:rsidRDefault="002014CA" w:rsidP="00E10347">
      <w:pPr>
        <w:pStyle w:val="Textonotapie"/>
        <w:ind w:firstLine="709"/>
        <w:jc w:val="both"/>
        <w:rPr>
          <w:rFonts w:ascii="Palatino Linotype" w:hAnsi="Palatino Linotype"/>
          <w:sz w:val="21"/>
          <w:szCs w:val="21"/>
          <w:lang w:val="de-DE"/>
        </w:rPr>
      </w:pPr>
      <w:r w:rsidRPr="00E10347">
        <w:rPr>
          <w:rFonts w:ascii="Palatino Linotype" w:hAnsi="Palatino Linotype"/>
          <w:sz w:val="21"/>
          <w:szCs w:val="21"/>
          <w:lang w:val="de-DE"/>
        </w:rPr>
        <w:t>En el Derecho Civil alemán, si el vendedor de la cosa defectuosa es un comerciante, entendiendo, bajo este concepto, aquella persona que se dedica a vender cosas al público con el ánimo de obtener una ganancia o lucro y si la cosa vendida era un producto con empaque original, sellado o hermético, la jurisprudencia de ese país ha dicho que no le asiste, al vendedor que se dedica a la reventa de productos con esas características, ninguna obligación de inspección con respecto a la mercancía vendida (keine Untersuchungspflicht)</w:t>
      </w:r>
      <w:r w:rsidRPr="00E10347">
        <w:rPr>
          <w:rStyle w:val="Refdenotaalpie"/>
          <w:rFonts w:ascii="Palatino Linotype" w:hAnsi="Palatino Linotype"/>
          <w:sz w:val="21"/>
          <w:szCs w:val="21"/>
          <w:lang w:val="de-DE"/>
        </w:rPr>
        <w:footnoteReference w:id="249"/>
      </w:r>
      <w:r w:rsidRPr="00E10347">
        <w:rPr>
          <w:rFonts w:ascii="Palatino Linotype" w:hAnsi="Palatino Linotype"/>
          <w:sz w:val="21"/>
          <w:szCs w:val="21"/>
          <w:lang w:val="de-DE"/>
        </w:rPr>
        <w:t>. De acuerdo con esto, el vendedor fácilmente puede alegar y probar que él no actuó culposamente.</w:t>
      </w:r>
    </w:p>
    <w:p w:rsidR="009A5379" w:rsidRDefault="009A5379" w:rsidP="00E10347">
      <w:pPr>
        <w:pStyle w:val="Textonotapie"/>
        <w:jc w:val="both"/>
        <w:rPr>
          <w:rFonts w:ascii="Palatino Linotype" w:hAnsi="Palatino Linotype"/>
          <w:b/>
          <w:sz w:val="21"/>
          <w:szCs w:val="21"/>
          <w:lang w:val="de-DE"/>
        </w:rPr>
      </w:pPr>
    </w:p>
    <w:p w:rsidR="002014CA" w:rsidRPr="00E10347" w:rsidRDefault="002014CA" w:rsidP="00E10347">
      <w:pPr>
        <w:pStyle w:val="Textonotapie"/>
        <w:jc w:val="both"/>
        <w:rPr>
          <w:rFonts w:ascii="Palatino Linotype" w:hAnsi="Palatino Linotype"/>
          <w:sz w:val="21"/>
          <w:szCs w:val="21"/>
          <w:lang w:val="de-DE"/>
        </w:rPr>
      </w:pPr>
      <w:r w:rsidRPr="00E10347">
        <w:rPr>
          <w:rFonts w:ascii="Palatino Linotype" w:hAnsi="Palatino Linotype"/>
          <w:b/>
          <w:sz w:val="21"/>
          <w:szCs w:val="21"/>
          <w:lang w:val="de-DE"/>
        </w:rPr>
        <w:t>2.2.2.</w:t>
      </w:r>
      <w:r w:rsidRPr="00E10347">
        <w:rPr>
          <w:rFonts w:ascii="Palatino Linotype" w:hAnsi="Palatino Linotype"/>
          <w:sz w:val="21"/>
          <w:szCs w:val="21"/>
          <w:lang w:val="de-DE"/>
        </w:rPr>
        <w:t xml:space="preserve"> </w:t>
      </w:r>
      <w:r w:rsidRPr="00E10347">
        <w:rPr>
          <w:rFonts w:ascii="Palatino Linotype" w:hAnsi="Palatino Linotype"/>
          <w:b/>
          <w:sz w:val="21"/>
          <w:szCs w:val="21"/>
          <w:lang w:val="de-DE"/>
        </w:rPr>
        <w:t xml:space="preserve">La responsabilidad civil del fabricante y de otros sujetos, según el </w:t>
      </w:r>
      <w:r w:rsidRPr="00E10347">
        <w:rPr>
          <w:rFonts w:ascii="Palatino Linotype" w:hAnsi="Palatino Linotype"/>
          <w:b/>
          <w:sz w:val="21"/>
          <w:szCs w:val="21"/>
        </w:rPr>
        <w:t>§ 823 párrafo primero</w:t>
      </w:r>
      <w:r w:rsidRPr="00E10347">
        <w:rPr>
          <w:rFonts w:ascii="Palatino Linotype" w:hAnsi="Palatino Linotype"/>
          <w:b/>
          <w:sz w:val="21"/>
          <w:szCs w:val="21"/>
          <w:lang w:val="de-DE"/>
        </w:rPr>
        <w:t xml:space="preserve"> Código Civil alemán.</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En el Derecho Civil alemán, la persona que hubiese sufrido daños y perjuicios como consecuencia de un producto defectuoso</w:t>
      </w:r>
      <w:r w:rsidRPr="00E10347">
        <w:rPr>
          <w:rStyle w:val="Refdenotaalpie"/>
          <w:rFonts w:ascii="Palatino Linotype" w:hAnsi="Palatino Linotype" w:cs="Arial"/>
          <w:color w:val="auto"/>
          <w:sz w:val="21"/>
          <w:szCs w:val="21"/>
        </w:rPr>
        <w:footnoteReference w:id="250"/>
      </w:r>
      <w:r w:rsidRPr="00E10347">
        <w:rPr>
          <w:rFonts w:ascii="Palatino Linotype" w:hAnsi="Palatino Linotype" w:cs="Arial"/>
          <w:color w:val="auto"/>
          <w:sz w:val="21"/>
          <w:szCs w:val="21"/>
        </w:rPr>
        <w:t xml:space="preserve">, puede exigirle </w:t>
      </w:r>
      <w:r w:rsidRPr="00E10347">
        <w:rPr>
          <w:rFonts w:ascii="Palatino Linotype" w:hAnsi="Palatino Linotype" w:cs="Arial"/>
          <w:color w:val="auto"/>
          <w:sz w:val="21"/>
          <w:szCs w:val="21"/>
        </w:rPr>
        <w:lastRenderedPageBreak/>
        <w:t>responsabilidad civil al fabricante y también, en determinadas circunstancias, a otros sujetos involucrados en la cadena de comercialización y distribución del producto, con base en el Código Civil alemán.</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Esta vía o alternativa jurídica se denomina, en la doctrina y en la jurisprudencia alemanas, </w:t>
      </w:r>
      <w:r w:rsidRPr="00E10347">
        <w:rPr>
          <w:rFonts w:ascii="Palatino Linotype" w:hAnsi="Palatino Linotype" w:cs="Arial"/>
          <w:b/>
          <w:color w:val="auto"/>
          <w:sz w:val="21"/>
          <w:szCs w:val="21"/>
        </w:rPr>
        <w:t>“deliktische Produzentenhaftung”</w:t>
      </w:r>
      <w:r w:rsidRPr="00E10347">
        <w:rPr>
          <w:rFonts w:ascii="Palatino Linotype" w:hAnsi="Palatino Linotype" w:cs="Arial"/>
          <w:color w:val="auto"/>
          <w:sz w:val="21"/>
          <w:szCs w:val="21"/>
        </w:rPr>
        <w:t xml:space="preserve"> y se sustenta en el § 823 párrafo primero del Código Civil alemán, el cual prescribe lo siguiente:   </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lang w:val="de-DE"/>
        </w:rPr>
        <w:t xml:space="preserve">„Wer vorsätzlich oder fahrlässig das Leben, den Körper, die Gesundheit, die Freiheit, das Eigentum oder ein sonstiges Recht eines anderen widerrechtlich verletzt, ist dem anderen zum Ersatz des daraus entstehenden Schadens verpflichtet“. </w:t>
      </w:r>
      <w:r w:rsidRPr="00E10347">
        <w:rPr>
          <w:rFonts w:ascii="Palatino Linotype" w:hAnsi="Palatino Linotype" w:cs="Arial"/>
          <w:color w:val="auto"/>
          <w:sz w:val="21"/>
          <w:szCs w:val="21"/>
        </w:rPr>
        <w:t>La traducción española, realizada por el autor de este ensayo con base en sus conocimientos del idioma alemán, sería la siguiente: “Quien dolosa o culposamente dañe la vida, el cuerpo, la salud, la libertad, la propiedad u otro derecho de otra persona en forma antijurídica, está obligado al resarcimiento del daño causado”.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El núcleo de la “deliktische Produzentenhaftung” es el concepto jurídico de </w:t>
      </w:r>
      <w:r w:rsidRPr="00E10347">
        <w:rPr>
          <w:rFonts w:ascii="Palatino Linotype" w:hAnsi="Palatino Linotype" w:cs="Arial"/>
          <w:b/>
          <w:color w:val="auto"/>
          <w:sz w:val="21"/>
          <w:szCs w:val="21"/>
        </w:rPr>
        <w:t>“Verkehrssicherungspflichten”</w:t>
      </w:r>
      <w:r w:rsidRPr="00E10347">
        <w:rPr>
          <w:rStyle w:val="Refdenotaalpie"/>
          <w:rFonts w:ascii="Palatino Linotype" w:hAnsi="Palatino Linotype" w:cs="Arial"/>
          <w:color w:val="auto"/>
          <w:sz w:val="21"/>
          <w:szCs w:val="21"/>
        </w:rPr>
        <w:footnoteReference w:id="251"/>
      </w:r>
      <w:r w:rsidRPr="00E10347">
        <w:rPr>
          <w:rFonts w:ascii="Palatino Linotype" w:hAnsi="Palatino Linotype" w:cs="Arial"/>
          <w:color w:val="auto"/>
          <w:sz w:val="21"/>
          <w:szCs w:val="21"/>
        </w:rPr>
        <w:t xml:space="preserve"> (obligaciones de seguridad del tráfico), según el cual “quien introduzca un bien en el tráfico jurídico, está obligado a adoptar todas las medidas necesarias para que pueda ser utilizado sin peligro o riesgo alguno para el consumidor o usuario”. De esta manera, el criterio de imputación de la responsabilidad civil extracontractual subjetiva, previsto en el § 823 párrafo 1° del Código Civil alemán (BGB= Bürgerliches Gesetzbuch), consiste en la violación o en el incumplimiento, por parte del fabricante, de las obligaciones de seguridad del tráfico en el momento en que el producto es introducido al mercado, o sea, al tráfico jurídico. Este es, pues, el motivo por el cual se le puede atribuir y exigir, principalmente al fabricante del producto defectuoso, responsabilidad civil extracontractual subjetiva.</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lastRenderedPageBreak/>
        <w:t>Este régimen de responsabilidad civil extracontractual para pretender el resarcimiento de los daños causados por un producto defectuoso se caracteriza por ser una responsabilidad subjetiva o por culpa (Verschuldenshaftung), lo cual significa, pues, que el deber de resarcimiento del daño causado obedece al actuar culposo del fabricante del producto defectuoso, el cual, generalmente, consiste en la omisión de las obligaciones de seguridad del tráfico que él debía observar y cumplir.</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La doctrina y la jurisprudencia alemanas crearon una serie de conceptos jurídicos que ayudaron a subsumir la responsabilidad civil del fabricante de productos defectuosos en el contexto de la normativa del Código Civil alemán sobre la responsabilidad civil extracontractual subjetiva, cuya norma central, como se mencionó oportunamente, es el § 823 párrafo primero de ese cuerpo legal.</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Dentro de esa base conceptual se encuentra la trilogía fundamental del producto defectuoso, es decir, el defecto de construcción (Konstruktionsfehler), el defecto de fabricación (Fabrikationsfehler) y el defecto de instrucción (Instruktionsfehler) y, aunado a ella, se encuentra la llamada obligación de observación y vigilancia del producto después de que éste fue introducido en el mercado. Esta obligación se llama Produktbeobachtungspflicht.</w:t>
      </w:r>
    </w:p>
    <w:p w:rsidR="009A5379" w:rsidRDefault="009A5379" w:rsidP="00E10347">
      <w:pPr>
        <w:pStyle w:val="Predeterminado"/>
        <w:spacing w:after="0" w:line="240" w:lineRule="auto"/>
        <w:jc w:val="both"/>
        <w:rPr>
          <w:rFonts w:ascii="Palatino Linotype" w:hAnsi="Palatino Linotype" w:cs="Arial"/>
          <w:b/>
          <w:color w:val="auto"/>
          <w:sz w:val="21"/>
          <w:szCs w:val="21"/>
        </w:rPr>
      </w:pP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b/>
          <w:color w:val="auto"/>
          <w:sz w:val="21"/>
          <w:szCs w:val="21"/>
        </w:rPr>
        <w:t>2.2.2.1. La trilogía de defectos del producto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La doctrina y la jurisprudencia alemanas, a lo largo del desarrollo de la responsabilidad civil por productos defectuosos, han utilizado, para efectos de facilitar la labor de distinción y aplicación del régimen jurídico de la responsabilidad civil por productos defectuosos, una nomenclatura tripartita de tipos de defectos del producto, a saber, defecto de construcción (Konstruktionsfehler), defecto de fabricación (Fabrikationsfehler) y defecto de instrucción (Instruktionsfehler). Esta terminología no se encuentra expresamente contemplada en las normas del BGB (Código Civil alemán). Son, como se dijo, categorías doctrinarias que delimitan y facilitan la adecuación de los efectos jurídicos resarcitorios a las hipótesis de productos defectuosos.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El </w:t>
      </w:r>
      <w:r w:rsidRPr="00E10347">
        <w:rPr>
          <w:rFonts w:ascii="Palatino Linotype" w:hAnsi="Palatino Linotype" w:cs="Arial"/>
          <w:b/>
          <w:color w:val="auto"/>
          <w:sz w:val="21"/>
          <w:szCs w:val="21"/>
        </w:rPr>
        <w:t xml:space="preserve">defecto de construcción (Konstruktionsfehler) </w:t>
      </w:r>
      <w:r w:rsidRPr="00E10347">
        <w:rPr>
          <w:rFonts w:ascii="Palatino Linotype" w:hAnsi="Palatino Linotype" w:cs="Arial"/>
          <w:color w:val="auto"/>
          <w:sz w:val="21"/>
          <w:szCs w:val="21"/>
        </w:rPr>
        <w:t xml:space="preserve">es aquél que surge como consecuencia de una defectuosa o errónea planeación del producto y afecta a todos los ejemplares construidos. Una adecuada observancia de lo que implica la correcta planeación del producto comprende, entre otras medidas, las siguientes: la concepción fundamental del producto, la revisión de las partes suministradas que se utilizarán para construir el producto, así como sus materias primas, la correcta </w:t>
      </w:r>
      <w:r w:rsidRPr="00E10347">
        <w:rPr>
          <w:rFonts w:ascii="Palatino Linotype" w:hAnsi="Palatino Linotype" w:cs="Arial"/>
          <w:color w:val="auto"/>
          <w:sz w:val="21"/>
          <w:szCs w:val="21"/>
        </w:rPr>
        <w:lastRenderedPageBreak/>
        <w:t>escogencia de los materiales que conforman el producto y las indicaciones necesarias para el correcto ensamblaje de las partes integrantes del producto final</w:t>
      </w:r>
      <w:r w:rsidRPr="00E10347">
        <w:rPr>
          <w:rStyle w:val="Refdenotaalpie"/>
          <w:rFonts w:ascii="Palatino Linotype" w:hAnsi="Palatino Linotype" w:cs="Arial"/>
          <w:color w:val="auto"/>
          <w:sz w:val="21"/>
          <w:szCs w:val="21"/>
        </w:rPr>
        <w:footnoteReference w:id="252"/>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El </w:t>
      </w:r>
      <w:r w:rsidRPr="00E10347">
        <w:rPr>
          <w:rFonts w:ascii="Palatino Linotype" w:hAnsi="Palatino Linotype" w:cs="Arial"/>
          <w:b/>
          <w:color w:val="auto"/>
          <w:sz w:val="21"/>
          <w:szCs w:val="21"/>
        </w:rPr>
        <w:t>defecto de fabricación (Fabrikationsfehler)</w:t>
      </w:r>
      <w:r w:rsidRPr="00E10347">
        <w:rPr>
          <w:rStyle w:val="Refdenotaalpie"/>
          <w:rFonts w:ascii="Palatino Linotype" w:hAnsi="Palatino Linotype" w:cs="Arial"/>
          <w:b/>
          <w:color w:val="auto"/>
          <w:sz w:val="21"/>
          <w:szCs w:val="21"/>
        </w:rPr>
        <w:footnoteReference w:id="253"/>
      </w:r>
      <w:r w:rsidRPr="00E10347">
        <w:rPr>
          <w:rFonts w:ascii="Palatino Linotype" w:hAnsi="Palatino Linotype" w:cs="Arial"/>
          <w:b/>
          <w:color w:val="auto"/>
          <w:sz w:val="21"/>
          <w:szCs w:val="21"/>
        </w:rPr>
        <w:t xml:space="preserve"> </w:t>
      </w:r>
      <w:r w:rsidRPr="00E10347">
        <w:rPr>
          <w:rFonts w:ascii="Palatino Linotype" w:hAnsi="Palatino Linotype" w:cs="Arial"/>
          <w:color w:val="auto"/>
          <w:sz w:val="21"/>
          <w:szCs w:val="21"/>
        </w:rPr>
        <w:t>se configura cuando, durante el proceso de producción de un bien que cumple con una correcta planeación y con las medidas que caracterizan a ésta, ocurre, empero, una inobservancia de medidas de seguridad durante la fabricación propiamente dicha o bien en la fase de control final del producto. El defecto de fabricación generalmente se identifica con facilidad cuando un bien es producido en serie y solamente uno o muy pocos ejemplares de dicha serie presentan, posteriormente, un defecto. Dentro del defecto de fabricación se subsumen, por ejemplo, los llamados “Ausreißer”, que son defectos de fabricación que, pese a la más cuidadosa fabricación y control de calidad, surgen y son, realmente, inevitables</w:t>
      </w:r>
      <w:r w:rsidRPr="00E10347">
        <w:rPr>
          <w:rStyle w:val="Refdenotaalpie"/>
          <w:rFonts w:ascii="Palatino Linotype" w:hAnsi="Palatino Linotype" w:cs="Arial"/>
          <w:color w:val="auto"/>
          <w:sz w:val="21"/>
          <w:szCs w:val="21"/>
        </w:rPr>
        <w:footnoteReference w:id="254"/>
      </w:r>
      <w:r w:rsidRPr="00E10347">
        <w:rPr>
          <w:rFonts w:ascii="Palatino Linotype" w:hAnsi="Palatino Linotype" w:cs="Arial"/>
          <w:color w:val="auto"/>
          <w:sz w:val="21"/>
          <w:szCs w:val="21"/>
        </w:rPr>
        <w:t xml:space="preserve">. </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El </w:t>
      </w:r>
      <w:r w:rsidRPr="00E10347">
        <w:rPr>
          <w:rFonts w:ascii="Palatino Linotype" w:hAnsi="Palatino Linotype" w:cs="Arial"/>
          <w:b/>
          <w:color w:val="auto"/>
          <w:sz w:val="21"/>
          <w:szCs w:val="21"/>
        </w:rPr>
        <w:t>defecto de instrucción (Instruktionsfehler)</w:t>
      </w:r>
      <w:r w:rsidRPr="00E10347">
        <w:rPr>
          <w:rStyle w:val="Refdenotaalpie"/>
          <w:rFonts w:ascii="Palatino Linotype" w:hAnsi="Palatino Linotype" w:cs="Arial"/>
          <w:b/>
          <w:color w:val="auto"/>
          <w:sz w:val="21"/>
          <w:szCs w:val="21"/>
        </w:rPr>
        <w:footnoteReference w:id="255"/>
      </w:r>
      <w:r w:rsidRPr="00E10347">
        <w:rPr>
          <w:rFonts w:ascii="Palatino Linotype" w:hAnsi="Palatino Linotype" w:cs="Arial"/>
          <w:color w:val="auto"/>
          <w:sz w:val="21"/>
          <w:szCs w:val="21"/>
        </w:rPr>
        <w:t xml:space="preserve"> se da cuando el fabricante omite o proporciona incorrectamente al consumidor del producto la información sobre las instrucciones para utilizar correctamente el bien, de acuerdo con el fin específico y natural para el cual fue fabricado, así como sobre las advertencias y riesgos que debe conocer el consumidor para usar con seguridad el producto en cuestión</w:t>
      </w:r>
      <w:r w:rsidRPr="00E10347">
        <w:rPr>
          <w:rStyle w:val="Refdenotaalpie"/>
          <w:rFonts w:ascii="Palatino Linotype" w:hAnsi="Palatino Linotype" w:cs="Arial"/>
          <w:color w:val="auto"/>
          <w:sz w:val="21"/>
          <w:szCs w:val="21"/>
        </w:rPr>
        <w:footnoteReference w:id="256"/>
      </w:r>
      <w:r w:rsidRPr="00E10347">
        <w:rPr>
          <w:rFonts w:ascii="Palatino Linotype" w:hAnsi="Palatino Linotype" w:cs="Arial"/>
          <w:color w:val="auto"/>
          <w:sz w:val="21"/>
          <w:szCs w:val="21"/>
        </w:rPr>
        <w:t>.</w:t>
      </w:r>
    </w:p>
    <w:p w:rsidR="009A5379" w:rsidRDefault="009A5379" w:rsidP="00E10347">
      <w:pPr>
        <w:pStyle w:val="Predeterminado"/>
        <w:spacing w:after="0" w:line="240" w:lineRule="auto"/>
        <w:jc w:val="both"/>
        <w:rPr>
          <w:rFonts w:ascii="Palatino Linotype" w:hAnsi="Palatino Linotype" w:cs="Arial"/>
          <w:b/>
          <w:color w:val="auto"/>
          <w:sz w:val="21"/>
          <w:szCs w:val="21"/>
        </w:rPr>
      </w:pP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b/>
          <w:color w:val="auto"/>
          <w:sz w:val="21"/>
          <w:szCs w:val="21"/>
        </w:rPr>
        <w:t>2.2.2.2. La obligación de observación y vigilancia del producto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La obligación de observación y vigilancia del producto (llamada en el Derecho Civil alemán “Produktbeobachtungspflicht”) consiste en el deber que tiene </w:t>
      </w:r>
      <w:r w:rsidRPr="00E10347">
        <w:rPr>
          <w:rFonts w:ascii="Palatino Linotype" w:hAnsi="Palatino Linotype" w:cs="Arial"/>
          <w:color w:val="auto"/>
          <w:sz w:val="21"/>
          <w:szCs w:val="21"/>
        </w:rPr>
        <w:lastRenderedPageBreak/>
        <w:t>el fabricante de observar y vigilar el comportamiento del producto con posterioridad al momento en que lo introdujo en el mercado, con el fin de determinar cuáles riesgos desconocidos puede tener el producto y cómo lo utiliza el consumidor</w:t>
      </w:r>
      <w:r w:rsidRPr="00E10347">
        <w:rPr>
          <w:rStyle w:val="Refdenotaalpie"/>
          <w:rFonts w:ascii="Palatino Linotype" w:hAnsi="Palatino Linotype" w:cs="Arial"/>
          <w:color w:val="auto"/>
          <w:sz w:val="21"/>
          <w:szCs w:val="21"/>
        </w:rPr>
        <w:footnoteReference w:id="257"/>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Jurídicamente el fabricante cumple a cabalidad con la obligación de observación y vigilancia del producto después de su introducción en el mercado y, por consiguiente, no respondería de los daños y perjuicios correspondientes si, dependiendo del tipo de producto, efectúa lo que se conoce como el llamado a revisión (Rückruf) o bien si advierte debidamente a los consumidores sobre los posibles peligros descubiertos</w:t>
      </w:r>
      <w:r w:rsidRPr="00E10347">
        <w:rPr>
          <w:rStyle w:val="Refdenotaalpie"/>
          <w:rFonts w:ascii="Palatino Linotype" w:hAnsi="Palatino Linotype" w:cs="Arial"/>
          <w:color w:val="auto"/>
          <w:sz w:val="21"/>
          <w:szCs w:val="21"/>
        </w:rPr>
        <w:footnoteReference w:id="258"/>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De acuerdo con la jurisprudencia alemana, la Produktbeobachtungspflicht también obliga al fabricante a reaccionar ante aquellos peligros que solamente se producen cuando el producto del fabricante se combina con otros productos y entonces la idoneidad del uso del producto considerado como una unidad se ve perjudicada.</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Por otra parte, la obligación de observación y vigilancia del producto también se hace extensiva a la ineficacia del producto después de su introducción en el mercado, o sea, que si el fabricante llega a darse cuenta que su producto se vuelve ineficaz para solucionar aquello para lo cual fue creado, pues entonces debe advertir al consumidor sobre dicha ineficacia sobrevenida del producto (Wirkungslosigkeit des Produkts).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El momento en el cual el fabricante, en cumplimiento de su obligación de observación y vigilancia, debe advertir al consumidor sobre eventuales daños causados por el producto después de su introducción en el mercado, depende de si el producto puede causar daños a la vida o a la integridad física de la persona o si, por el contrario, solamente puede causar daños materiales: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a) Si el producto es susceptible de causar daños a la vida o a la integridad física del consumidor, entonces el fabricante debe advertir a todos los consumidores a partir del preciso momento en que tengan sospechas serias de la dañosidad o peligrosidad sobrevenida del producto y;</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lastRenderedPageBreak/>
        <w:t>b) Si el producto solamente es capaz de producir daños puramente materiales, entonces el fabricante puede, en un primer momento, limitarse a realizar posteriores investigaciones del producto cuando tenga las primeras sospechas de sus peligros. No obstante, cuando esas investigaciones le confirmen al fabricante que sus sospechas sobre la peligrosidad del producto eran fundadas, entonces, a partir de ese momento, surge su obligación de informar a todos los consumidores del producto sobre los peligros que entraña, a posteriori, el consumo o utilización del producto.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Finalmente, es importante destacar que la doctrina y la jurisprudencia  alemanas han sostenido, reiteradamente, que la llamada “Produktbeobachtungspflicht” está contemplada por el régimen jurídico de la deliktische Produzentenhaftung, de modo que el fabricante del producto perfectamente podría ser responsable por los daños y perjuicios causados por el incumplimiento de dicha obligación.</w:t>
      </w:r>
      <w:r w:rsidRPr="00E10347">
        <w:rPr>
          <w:rFonts w:ascii="Palatino Linotype" w:hAnsi="Palatino Linotype" w:cs="Arial"/>
          <w:color w:val="auto"/>
          <w:sz w:val="21"/>
          <w:szCs w:val="21"/>
        </w:rPr>
        <w:tab/>
      </w:r>
    </w:p>
    <w:p w:rsidR="009A5379" w:rsidRDefault="009A5379" w:rsidP="00E10347">
      <w:pPr>
        <w:pStyle w:val="Predeterminado"/>
        <w:spacing w:after="0" w:line="240" w:lineRule="auto"/>
        <w:jc w:val="both"/>
        <w:rPr>
          <w:rFonts w:ascii="Palatino Linotype" w:hAnsi="Palatino Linotype" w:cs="Arial"/>
          <w:b/>
          <w:color w:val="auto"/>
          <w:sz w:val="21"/>
          <w:szCs w:val="21"/>
        </w:rPr>
      </w:pPr>
    </w:p>
    <w:p w:rsidR="002014CA" w:rsidRPr="00E10347" w:rsidRDefault="002014CA" w:rsidP="00E10347">
      <w:pPr>
        <w:pStyle w:val="Predeterminado"/>
        <w:spacing w:after="0" w:line="240" w:lineRule="auto"/>
        <w:jc w:val="both"/>
        <w:rPr>
          <w:rFonts w:ascii="Palatino Linotype" w:hAnsi="Palatino Linotype" w:cs="Arial"/>
          <w:b/>
          <w:color w:val="auto"/>
          <w:sz w:val="21"/>
          <w:szCs w:val="21"/>
        </w:rPr>
      </w:pPr>
      <w:r w:rsidRPr="00E10347">
        <w:rPr>
          <w:rFonts w:ascii="Palatino Linotype" w:hAnsi="Palatino Linotype" w:cs="Arial"/>
          <w:b/>
          <w:color w:val="auto"/>
          <w:sz w:val="21"/>
          <w:szCs w:val="21"/>
        </w:rPr>
        <w:t>2.2.2.3. Sujetos responsables del resarcimiento de daños y perjuicios en la deliktische Produzentenhaftung</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Son los siguientes: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2.2.2.3.1.</w:t>
      </w:r>
      <w:r w:rsidRPr="00E10347">
        <w:rPr>
          <w:rFonts w:ascii="Palatino Linotype" w:hAnsi="Palatino Linotype" w:cs="Arial"/>
          <w:color w:val="auto"/>
          <w:sz w:val="21"/>
          <w:szCs w:val="21"/>
        </w:rPr>
        <w:t xml:space="preserve"> El fabricante del producto final (Endhersteller).</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2.2.2.3.2.</w:t>
      </w:r>
      <w:r w:rsidRPr="00E10347">
        <w:rPr>
          <w:rFonts w:ascii="Palatino Linotype" w:hAnsi="Palatino Linotype" w:cs="Arial"/>
          <w:color w:val="auto"/>
          <w:sz w:val="21"/>
          <w:szCs w:val="21"/>
        </w:rPr>
        <w:t xml:space="preserve"> Los trabajadores bajo la subordinación jurídica del fabricante (Mitarbeiter des Endherstellers).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2.2.2.3.3.</w:t>
      </w:r>
      <w:r w:rsidRPr="00E10347">
        <w:rPr>
          <w:rFonts w:ascii="Palatino Linotype" w:hAnsi="Palatino Linotype" w:cs="Arial"/>
          <w:color w:val="auto"/>
          <w:sz w:val="21"/>
          <w:szCs w:val="21"/>
        </w:rPr>
        <w:t xml:space="preserve"> Los representantes legales de las personas jurídicas fabricantes de productos. (gesetzliche Vertreter juristischer Personen).</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2.2.2.3.4.</w:t>
      </w:r>
      <w:r w:rsidRPr="00E10347">
        <w:rPr>
          <w:rFonts w:ascii="Palatino Linotype" w:hAnsi="Palatino Linotype" w:cs="Arial"/>
          <w:color w:val="auto"/>
          <w:sz w:val="21"/>
          <w:szCs w:val="21"/>
        </w:rPr>
        <w:t xml:space="preserve"> El fabricante de una parte que compone el producto final o el proveedor de materias primas. (Zulieferer).</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El Zulieferer es responsable por la adecuada construcción y fabricación de la pieza o parte específica o materias primas suministradas por él, en los mismos términos en que responde el fabricante del producto final.</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Por el contrario, cuando el Zulieferer fabrica la pieza con base en los requerimientos e instrucciones del fabricante del producto final (Auftragsfertigung), no responde por los posibles defectos de construcción.</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Con respecto a sus obligaciones de instrucción, el proveedor solamente las tiene con respecto al usuario inmediato de la pieza o parte proveída y lo mismo ocurre con respecto a su obligación de observación y vigilancia.</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lastRenderedPageBreak/>
        <w:t>2.2.2.3.5.</w:t>
      </w:r>
      <w:r w:rsidRPr="00E10347">
        <w:rPr>
          <w:rFonts w:ascii="Palatino Linotype" w:hAnsi="Palatino Linotype" w:cs="Arial"/>
          <w:color w:val="auto"/>
          <w:sz w:val="21"/>
          <w:szCs w:val="21"/>
        </w:rPr>
        <w:t xml:space="preserve"> El cuasi-fabricante (Quasi-Hersteller), que es la persona que no fabrica nada, sino que solamente incorpora su nombre, logo o imagen en el producto, no le asiste, en términos generales, ninguna responsabilidad civil por defectos de construcción o de fabricación del producto. Solamente si influye, de alguna manera, en el proceso de construcción o de fabricación del producto, le podría caber responsabilidad civil conjuntamente con el fabricante verdadero. </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Por el contrario, en los casos de defectos de instrucción y de obligación de observación y vigilancia del producto, el cuasi-fabricante sí es responsable de los daños y perjuicios que se llegaran a causar en alguno de esos casos, cuando le es posible reconocer o detectar la situación de peligro.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2.2.2.3.6.</w:t>
      </w:r>
      <w:r w:rsidRPr="00E10347">
        <w:rPr>
          <w:rFonts w:ascii="Palatino Linotype" w:hAnsi="Palatino Linotype" w:cs="Arial"/>
          <w:color w:val="auto"/>
          <w:sz w:val="21"/>
          <w:szCs w:val="21"/>
        </w:rPr>
        <w:t xml:space="preserve"> Comerciantes e importadores: Los comerciantes (Händler) e importadores (Importeure), quienes intervienen, generalmente, en el tráfico jurídico, como vendedores y distribuidores de productos, no son responsables por los defectos de construcción o fabricación que tuvieran los productos que ellos venden, importan, distribuyen o comercializan.</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En cuanto a si dichos sujetos tienen alguna obligación de inspección o supervisión (Untersuchungspflicht) de los productos que comercializan, importan, venden o distribuyen, la doctrina alemana indica que tal deber </w:t>
      </w:r>
      <w:r w:rsidR="002A76CC">
        <w:rPr>
          <w:rFonts w:ascii="Palatino Linotype" w:hAnsi="Palatino Linotype" w:cs="Arial"/>
          <w:color w:val="auto"/>
          <w:sz w:val="21"/>
          <w:szCs w:val="21"/>
        </w:rPr>
        <w:t xml:space="preserve">solo </w:t>
      </w:r>
      <w:r w:rsidRPr="00E10347">
        <w:rPr>
          <w:rFonts w:ascii="Palatino Linotype" w:hAnsi="Palatino Linotype" w:cs="Arial"/>
          <w:color w:val="auto"/>
          <w:sz w:val="21"/>
          <w:szCs w:val="21"/>
        </w:rPr>
        <w:t>existe si, realmente, existen indicios que hagan pensar que los productos tienen o pueden tener algún defecto, lo cual, en general, es muy difícil que suceda, sobre todo si los productos están sellados, envasados, en cajas herméticas o empaques cerrados</w:t>
      </w:r>
      <w:r w:rsidRPr="00E10347">
        <w:rPr>
          <w:rStyle w:val="Refdenotaalpie"/>
          <w:rFonts w:ascii="Palatino Linotype" w:hAnsi="Palatino Linotype" w:cs="Arial"/>
          <w:color w:val="auto"/>
          <w:sz w:val="21"/>
          <w:szCs w:val="21"/>
        </w:rPr>
        <w:footnoteReference w:id="259"/>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De lo que sí deben velar los sujetos antes dichos es que las instrucciones sobre el uso y las advertencias sobre riesgos o peligros estén al alcance del consumidor</w:t>
      </w:r>
      <w:r w:rsidRPr="00E10347">
        <w:rPr>
          <w:rStyle w:val="Refdenotaalpie"/>
          <w:rFonts w:ascii="Palatino Linotype" w:hAnsi="Palatino Linotype" w:cs="Arial"/>
          <w:color w:val="auto"/>
          <w:sz w:val="21"/>
          <w:szCs w:val="21"/>
        </w:rPr>
        <w:footnoteReference w:id="260"/>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jc w:val="both"/>
        <w:rPr>
          <w:rFonts w:ascii="Palatino Linotype" w:hAnsi="Palatino Linotype" w:cs="Arial"/>
          <w:b/>
          <w:color w:val="auto"/>
          <w:sz w:val="21"/>
          <w:szCs w:val="21"/>
        </w:rPr>
      </w:pPr>
      <w:r w:rsidRPr="00E10347">
        <w:rPr>
          <w:rFonts w:ascii="Palatino Linotype" w:hAnsi="Palatino Linotype" w:cs="Arial"/>
          <w:b/>
          <w:color w:val="auto"/>
          <w:sz w:val="21"/>
          <w:szCs w:val="21"/>
        </w:rPr>
        <w:t>2.2.3. La responsabilidad civil del fabricante y de otros sujetos en el marco de la ley especial alemana de responsabilidad civil por productos defectuosos.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bookmarkStart w:id="26" w:name="__DdeLink__2789_747066367"/>
      <w:r w:rsidRPr="00E10347">
        <w:rPr>
          <w:rFonts w:ascii="Palatino Linotype" w:hAnsi="Palatino Linotype" w:cs="Arial"/>
          <w:color w:val="auto"/>
          <w:sz w:val="21"/>
          <w:szCs w:val="21"/>
        </w:rPr>
        <w:t xml:space="preserve">La ley especial alemana de responsabilidad civil por productos defectuosos (Gesetz über die Haftung für fehlerhafte Produkte, Produkthaftungsgesetz, </w:t>
      </w:r>
      <w:r w:rsidRPr="00E10347">
        <w:rPr>
          <w:rFonts w:ascii="Palatino Linotype" w:hAnsi="Palatino Linotype" w:cs="Arial"/>
          <w:color w:val="auto"/>
          <w:sz w:val="21"/>
          <w:szCs w:val="21"/>
        </w:rPr>
        <w:lastRenderedPageBreak/>
        <w:t>ProdHaftG)</w:t>
      </w:r>
      <w:bookmarkEnd w:id="26"/>
      <w:r w:rsidRPr="00E10347">
        <w:rPr>
          <w:rFonts w:ascii="Palatino Linotype" w:hAnsi="Palatino Linotype" w:cs="Arial"/>
          <w:color w:val="auto"/>
          <w:sz w:val="21"/>
          <w:szCs w:val="21"/>
        </w:rPr>
        <w:t xml:space="preserve"> es una ley especial que, en Alemania, regula todo lo relativo a los requisitos constitutivos, sujetos obligados al resarcimiento, causales de exoneración de responsabilidad, daños resarcibles, culpa concurrente, prescripción, caducidad y aspectos adicionales, con base en los cuales se le puede exigir al fabricante y a otros sujetos, el deber de responder por los daños y perjuicios causados por el producto defectuoso. Esta ley especial fue promulgada por el Bundestag (Parlamento alemán) el 15 de noviembre de 1989, publicada el 22 de diciembre de 1989 (BGBl, I S. 2198) y entró en vigencia el 1 de enero de 1990. </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El fundamento jurídico sobre el cual el Bundestag promulgó dicha ley especial sobre responsabilidad civil por productos defectuosos es la Directiva comunitaria número 85/374 EWG de la antigua Comunidad Económica Europea (EWG), ahora denominada Unión Europea (Europäische Union, EU) sobre la armonización de las normas jurídicas y disposiciones administrativas de los Estados miembros sobre la responsabilidad por productos defectuosos del 27 de julio de 1985 (EG-Richtlinie des Rates zur Ausgleichung des Rechts― und Verwaltungsvorschriften der Mitgliedsstaaten über die Haftung für fehlerhafte Produkte (85/374 EWG) vom 25.7.1985), la cual entró en vigencia y con carácter vinculante para los Estados miembros de la Unión Europea, a partir del 30 de julio de 1985</w:t>
      </w:r>
      <w:r w:rsidRPr="00E10347">
        <w:rPr>
          <w:rStyle w:val="Refdenotaalpie"/>
          <w:rFonts w:ascii="Palatino Linotype" w:hAnsi="Palatino Linotype" w:cs="Arial"/>
          <w:color w:val="auto"/>
          <w:sz w:val="21"/>
          <w:szCs w:val="21"/>
        </w:rPr>
        <w:footnoteReference w:id="261"/>
      </w:r>
      <w:r w:rsidRPr="00E10347">
        <w:rPr>
          <w:rFonts w:ascii="Palatino Linotype" w:hAnsi="Palatino Linotype" w:cs="Arial"/>
          <w:color w:val="auto"/>
          <w:sz w:val="21"/>
          <w:szCs w:val="21"/>
        </w:rPr>
        <w:t>. Es decir, la ley alemana sobre la responsabilidad civil por productos defectuosos (Produkthaftungsgesetz) representa la transposición de la directiva comunitaria sobre la responsabilidad civil por productos defectuosos (85/374 EWG) en el ordenamiento jurídico interno alemán, al punto de que el texto de ambos tipos de normas jurídicas son casi idénticos.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Una de las características esenciales de la ley alemana sobre responsabilidad civil por productos defectuosos es que se trata de una responsabilidad objetiva (Gefährdungshaftung)</w:t>
      </w:r>
      <w:r w:rsidRPr="00E10347">
        <w:rPr>
          <w:rStyle w:val="Refdenotaalpie"/>
          <w:rFonts w:ascii="Palatino Linotype" w:hAnsi="Palatino Linotype" w:cs="Arial"/>
          <w:color w:val="auto"/>
          <w:sz w:val="21"/>
          <w:szCs w:val="21"/>
        </w:rPr>
        <w:footnoteReference w:id="262"/>
      </w:r>
      <w:r w:rsidRPr="00E10347">
        <w:rPr>
          <w:rFonts w:ascii="Palatino Linotype" w:hAnsi="Palatino Linotype" w:cs="Arial"/>
          <w:color w:val="auto"/>
          <w:sz w:val="21"/>
          <w:szCs w:val="21"/>
        </w:rPr>
        <w:t xml:space="preserve">, según la cual, la culpa no es requisito constitutivo para el nacimiento del deber de resarcimiento por el daño causado. Así se desprende del § 1 párrafo 1 oración 1 de la Produkthaftungsgesetz, que dice así: „Wird durch den Fehler eines Produkts jemand getötet, sein Körper oder seine Gesundheit verletzt oder eine Sache beschädigt, so ist der Hersteller des Produkts verpflichtet, dem Geschädigten den daraus entstehenden Schaden zu ersetzen“ (Cuando a causa del </w:t>
      </w:r>
      <w:r w:rsidRPr="00E10347">
        <w:rPr>
          <w:rFonts w:ascii="Palatino Linotype" w:hAnsi="Palatino Linotype" w:cs="Arial"/>
          <w:color w:val="auto"/>
          <w:sz w:val="21"/>
          <w:szCs w:val="21"/>
        </w:rPr>
        <w:lastRenderedPageBreak/>
        <w:t>defecto de un producto una persona muere o su cuerpo, su salud o una cosa son dañados, el fabricante del producto está obligado a resarcir al damnificado el daño causado). Con base en lo anterior, es válido afirmar que el criterio de imputación de este tipo de responsabilidad civil objetiva consistiría en la introducción, por parte del fabricante, de un producto defectuoso, en el tráfico jurídico.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Por su parte, el § 2 de la Produkthaftungsgesetz (ProdHaftG) contiene la definición legal (Legaldefinition) de “Producto” para los efectos de dicha ley. Así, „Produkt im Sinne dieses Gesetzes ist jede bewegliche Sache, auch wenn sie einen Teil einer anderen beweglichen Sache oder einer unbeweglichen Sache bildet, sowie Elektrizität“ (Producto, en los términos de esta ley, es toda cosa mueble, aun cuando forme parte de otra cosa mueble o de una inmueble, así como también la electricidad).</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Importante es también mencionar qué se entiende por defecto (Fehler) para los efectos de la ProdHaftG alemana. </w:t>
      </w:r>
      <w:r w:rsidRPr="00E10347">
        <w:rPr>
          <w:rFonts w:ascii="Palatino Linotype" w:hAnsi="Palatino Linotype" w:cs="Arial"/>
          <w:color w:val="auto"/>
          <w:sz w:val="21"/>
          <w:szCs w:val="21"/>
          <w:lang w:val="de-DE"/>
        </w:rPr>
        <w:t xml:space="preserve">En este sentido, el § 3 párrafo 1 de dicha ley establece: “Ein Produkt hat einen Fehler, wenn es nicht die Sicherheit bietet, die unter Berücksichtigung aller Umstände, insbesondere: a) seiner Darbietung; b) des Gebrauchs, mit dem billigerweise gerechnet werden kann, c) des Zeitpunkts, in dem es in den Verkehr gebracht wurde, berechtigterweise erwartet werden kann“. </w:t>
      </w:r>
      <w:r w:rsidRPr="00E10347">
        <w:rPr>
          <w:rFonts w:ascii="Palatino Linotype" w:hAnsi="Palatino Linotype" w:cs="Arial"/>
          <w:color w:val="auto"/>
          <w:sz w:val="21"/>
          <w:szCs w:val="21"/>
        </w:rPr>
        <w:t>(Un producto tiene un defecto cuando no ofrece la seguridad que, bajo consideración de todas las circunstancias, especialmente: a) de su presentación, b) de su uso, con el que como mínimo puede contarse; c) del momento, en el que fue introducido en el tráfico jurídico, puede legítimamente esperarse).</w:t>
      </w:r>
    </w:p>
    <w:p w:rsidR="009A5379" w:rsidRDefault="009A5379" w:rsidP="00E10347">
      <w:pPr>
        <w:pStyle w:val="Predeterminado"/>
        <w:spacing w:after="0" w:line="240" w:lineRule="auto"/>
        <w:jc w:val="both"/>
        <w:rPr>
          <w:rFonts w:ascii="Palatino Linotype" w:hAnsi="Palatino Linotype" w:cs="Arial"/>
          <w:b/>
          <w:color w:val="auto"/>
          <w:sz w:val="21"/>
          <w:szCs w:val="21"/>
        </w:rPr>
      </w:pPr>
    </w:p>
    <w:p w:rsidR="002014CA" w:rsidRPr="00E10347" w:rsidRDefault="002014CA" w:rsidP="00E10347">
      <w:pPr>
        <w:pStyle w:val="Predeterminado"/>
        <w:spacing w:after="0" w:line="240" w:lineRule="auto"/>
        <w:jc w:val="both"/>
        <w:rPr>
          <w:rFonts w:ascii="Palatino Linotype" w:hAnsi="Palatino Linotype" w:cs="Arial"/>
          <w:b/>
          <w:color w:val="auto"/>
          <w:sz w:val="21"/>
          <w:szCs w:val="21"/>
        </w:rPr>
      </w:pPr>
      <w:r w:rsidRPr="00E10347">
        <w:rPr>
          <w:rFonts w:ascii="Palatino Linotype" w:hAnsi="Palatino Linotype" w:cs="Arial"/>
          <w:b/>
          <w:color w:val="auto"/>
          <w:sz w:val="21"/>
          <w:szCs w:val="21"/>
        </w:rPr>
        <w:t>2.2.3.1. Sujetos responsables del resarcimiento de daños y perjuicios en la ley especial alemana de responsabilidad civil por productos defectuosos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Son los siguientes: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2.2.3.1.1.</w:t>
      </w:r>
      <w:r w:rsidRPr="00E10347">
        <w:rPr>
          <w:rFonts w:ascii="Palatino Linotype" w:hAnsi="Palatino Linotype" w:cs="Arial"/>
          <w:color w:val="auto"/>
          <w:sz w:val="21"/>
          <w:szCs w:val="21"/>
        </w:rPr>
        <w:t xml:space="preserve"> El fabricante de hecho (der tatsächliche Hersteller) de un producto final, de una parte o pieza del producto final o proveedor de materias primas. (§ 4 Abs. 1 S. 1 ProdHaftG).</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2.2.3.1.2.</w:t>
      </w:r>
      <w:r w:rsidRPr="00E10347">
        <w:rPr>
          <w:rFonts w:ascii="Palatino Linotype" w:hAnsi="Palatino Linotype" w:cs="Arial"/>
          <w:color w:val="auto"/>
          <w:sz w:val="21"/>
          <w:szCs w:val="21"/>
        </w:rPr>
        <w:t xml:space="preserve"> El Cuasi-fabricante (Quasi-Hersteller) (§ 4 Abs. 1 S. 2 ProdHaftG). </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2.2.3.1.3.</w:t>
      </w:r>
      <w:r w:rsidRPr="00E10347">
        <w:rPr>
          <w:rFonts w:ascii="Palatino Linotype" w:hAnsi="Palatino Linotype" w:cs="Arial"/>
          <w:color w:val="auto"/>
          <w:sz w:val="21"/>
          <w:szCs w:val="21"/>
        </w:rPr>
        <w:t xml:space="preserve"> El importador (Importeur) (§ 4 Abs. 2 ProdHaftG).</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2.2.3.1.4.</w:t>
      </w:r>
      <w:r w:rsidRPr="00E10347">
        <w:rPr>
          <w:rFonts w:ascii="Palatino Linotype" w:hAnsi="Palatino Linotype" w:cs="Arial"/>
          <w:color w:val="auto"/>
          <w:sz w:val="21"/>
          <w:szCs w:val="21"/>
        </w:rPr>
        <w:t xml:space="preserve"> El suministrador (Lieferant) (§ 4 Abs.3 ProdHaftG).</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lastRenderedPageBreak/>
        <w:t>De acuerdo con los autores alemanes Pott y Frieling</w:t>
      </w:r>
      <w:r w:rsidRPr="00E10347">
        <w:rPr>
          <w:rStyle w:val="Refdenotaalpie"/>
          <w:rFonts w:ascii="Palatino Linotype" w:hAnsi="Palatino Linotype" w:cs="Arial"/>
          <w:color w:val="auto"/>
          <w:sz w:val="21"/>
          <w:szCs w:val="21"/>
        </w:rPr>
        <w:footnoteReference w:id="263"/>
      </w:r>
      <w:r w:rsidRPr="00E10347">
        <w:rPr>
          <w:rFonts w:ascii="Palatino Linotype" w:hAnsi="Palatino Linotype" w:cs="Arial"/>
          <w:color w:val="auto"/>
          <w:sz w:val="21"/>
          <w:szCs w:val="21"/>
        </w:rPr>
        <w:t>, éstos son los únicos sujetos que responden por los daños y perjuicios causados por el producto defectuoso en el marco de dicha ley especial. Ergo, no son responsables los trabajadores subordinados del fabricante, ni tampoco los representantes legales de personas jurídicas fabricantes del producto defectuoso.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El Cuasi-fabricante responde de la misma manera que el fabricante de hecho (der tatsächliche Hersteller), es decir, que el fabricante propiamente dicho del producto final.</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De los cuatro sujetos indicados anteriormente, conviene hacer ciertas adiciones con respecto al importador y al suministrador.</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Aunque el importador no fabrica nada, sino que solamente participa en la cadena de comercialización y distribución del producto (Vertriebskette), la ley especial alemana de responsabilidad civil por productos defectuosos lo tiene como fabricante.</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Los requisitos para que el importador responda por los daños y perjuicios causados por el producto defectuoso son los siguientes</w:t>
      </w:r>
      <w:r w:rsidRPr="00E10347">
        <w:rPr>
          <w:rStyle w:val="Refdenotaalpie"/>
          <w:rFonts w:ascii="Palatino Linotype" w:hAnsi="Palatino Linotype" w:cs="Arial"/>
          <w:color w:val="auto"/>
          <w:sz w:val="21"/>
          <w:szCs w:val="21"/>
        </w:rPr>
        <w:footnoteReference w:id="264"/>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a) Debe tratarse de un importador que introduzca, a la Unión Europea, productos que provengan de países ajenos a ella.</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Si se tratara de importadores que introducen productos de países de la Unión Europea hacia otros países de ese mismo bloque, entonces el importador no sería responsable por los daños y perjuicios causados por el producto defectuoso importador en los términos del § 4 Abs. 2 ProdHaftG, sino que, por el contrario, a lo sumo podría llegar a responder como un cuasi-fabricante, en los términos del § 4 Abs. 1 S. 2 ProdHaftG o como un suministrador, según el  § 4 Abs.3 ProdHaftG.</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b) La importación debe perseguir una finalidad económica y;</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c) La importación debe estar dentro del marco de la actividad económica del importador.</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El importador, en los términos del § 4 Abs. 2 ProdHaftG, no se libera de responsabilidad civil por el hecho de indicar quién fue el fabricante del producto final importado. El importador solamente se puede liberar de responsabilidad si demuestra la configuración de los requisitos de alguna de las causales de exoneración de responsabilidad civil contenidas en el § 1 ProdHaftG.</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lastRenderedPageBreak/>
        <w:t>En lo que respecta al suministrador, la ProdHaftG cierne sobre él una responsabilidad de tipo subsidiario. Esto significa que el suministrador solamente responde en la medida en que no pueda determinarse el fabricante, el suministrador anterior (Vorlieferant) o el importador. A contrario sensu, si el suministrador menciona quién fue el sujeto de quien recibió o adquirió el producto, se libera de responsabilidad.</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Resulta interesante agregar que al Cuasi-fabricante no solamente le asiste responsabilidad de acuerdo con lo dispuesto § 4 Abs. 1 S. 2 ProdHaftG sino que, además, como miembro de la cadena de distribución del producto, perfectamente podría responder como lo hace el suministrador.</w:t>
      </w:r>
    </w:p>
    <w:p w:rsidR="009A5379" w:rsidRDefault="009A5379" w:rsidP="00E10347">
      <w:pPr>
        <w:pStyle w:val="Predeterminado"/>
        <w:spacing w:after="0" w:line="240" w:lineRule="auto"/>
        <w:jc w:val="both"/>
        <w:rPr>
          <w:rFonts w:ascii="Palatino Linotype" w:hAnsi="Palatino Linotype" w:cs="Arial"/>
          <w:b/>
          <w:color w:val="auto"/>
          <w:sz w:val="21"/>
          <w:szCs w:val="21"/>
        </w:rPr>
      </w:pPr>
    </w:p>
    <w:p w:rsidR="002014CA" w:rsidRPr="00E10347" w:rsidRDefault="002014CA" w:rsidP="00E10347">
      <w:pPr>
        <w:pStyle w:val="Predeterminado"/>
        <w:spacing w:after="0" w:line="240" w:lineRule="auto"/>
        <w:jc w:val="both"/>
        <w:rPr>
          <w:rFonts w:ascii="Palatino Linotype" w:hAnsi="Palatino Linotype" w:cs="Arial"/>
          <w:b/>
          <w:color w:val="auto"/>
          <w:sz w:val="21"/>
          <w:szCs w:val="21"/>
        </w:rPr>
      </w:pPr>
      <w:r w:rsidRPr="00E10347">
        <w:rPr>
          <w:rFonts w:ascii="Palatino Linotype" w:hAnsi="Palatino Linotype" w:cs="Arial"/>
          <w:b/>
          <w:color w:val="auto"/>
          <w:sz w:val="21"/>
          <w:szCs w:val="21"/>
        </w:rPr>
        <w:t>2.2.4. Otros regímenes jurídicos de responsabilidad civil por productos defectuosos.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En el Derecho alemán existen otros regímenes jurídicos especiales sobre responsabilidad civil por productos defectuosos. Entre ellos están los siguientes: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2.2.4.1.</w:t>
      </w:r>
      <w:r w:rsidRPr="00E10347">
        <w:rPr>
          <w:rFonts w:ascii="Palatino Linotype" w:hAnsi="Palatino Linotype" w:cs="Arial"/>
          <w:color w:val="auto"/>
          <w:sz w:val="21"/>
          <w:szCs w:val="21"/>
        </w:rPr>
        <w:t xml:space="preserve"> Responsabilidad civil por medicamentos defectuosos (§ 84 Arzneimittelgesetz).</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2.2.4.2.</w:t>
      </w:r>
      <w:r w:rsidRPr="00E10347">
        <w:rPr>
          <w:rFonts w:ascii="Palatino Linotype" w:hAnsi="Palatino Linotype" w:cs="Arial"/>
          <w:color w:val="auto"/>
          <w:sz w:val="21"/>
          <w:szCs w:val="21"/>
        </w:rPr>
        <w:t xml:space="preserve"> Responsabilidad civil en el ámbito de la ley alemana de la ingeniería genética (§§ 32 und folgende Gentechnikgesetz).</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2.2.4.3.</w:t>
      </w:r>
      <w:r w:rsidRPr="00E10347">
        <w:rPr>
          <w:rFonts w:ascii="Palatino Linotype" w:hAnsi="Palatino Linotype" w:cs="Arial"/>
          <w:color w:val="auto"/>
          <w:sz w:val="21"/>
          <w:szCs w:val="21"/>
        </w:rPr>
        <w:t xml:space="preserve"> Responsabilidad civil en el ámbito de la energía nuclear (</w:t>
      </w:r>
      <w:r w:rsidRPr="00E10347">
        <w:rPr>
          <w:rFonts w:ascii="Palatino Linotype" w:hAnsi="Palatino Linotype" w:cs="Arial"/>
          <w:color w:val="auto"/>
          <w:sz w:val="21"/>
          <w:szCs w:val="21"/>
        </w:rPr>
        <w:tab/>
        <w:t>§§ 25 und folgende Atomgesetz).</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Estos regímenes jurídicos prevalecen sobre las disposiciones normativas de la ProdHaftG, es decir, no se configura el concurso de pretensiones con respecto a la ProdHaftG, según lo dispuesto en el § 15 párrafo primero de ésta última ley especial.</w:t>
      </w:r>
    </w:p>
    <w:p w:rsidR="009A5379" w:rsidRDefault="009A5379" w:rsidP="00E10347">
      <w:pPr>
        <w:pStyle w:val="Predeterminado"/>
        <w:spacing w:after="0" w:line="240" w:lineRule="auto"/>
        <w:jc w:val="both"/>
        <w:rPr>
          <w:rFonts w:ascii="Palatino Linotype" w:hAnsi="Palatino Linotype" w:cs="Arial"/>
          <w:b/>
          <w:color w:val="auto"/>
          <w:sz w:val="21"/>
          <w:szCs w:val="21"/>
        </w:rPr>
      </w:pPr>
    </w:p>
    <w:p w:rsidR="002014CA" w:rsidRPr="00E10347" w:rsidRDefault="002014CA" w:rsidP="00E10347">
      <w:pPr>
        <w:pStyle w:val="Predeterminado"/>
        <w:spacing w:after="0" w:line="240" w:lineRule="auto"/>
        <w:jc w:val="both"/>
        <w:rPr>
          <w:rFonts w:ascii="Palatino Linotype" w:hAnsi="Palatino Linotype" w:cs="Arial"/>
          <w:b/>
          <w:color w:val="auto"/>
          <w:sz w:val="21"/>
          <w:szCs w:val="21"/>
        </w:rPr>
      </w:pPr>
      <w:r w:rsidRPr="00E10347">
        <w:rPr>
          <w:rFonts w:ascii="Palatino Linotype" w:hAnsi="Palatino Linotype" w:cs="Arial"/>
          <w:b/>
          <w:color w:val="auto"/>
          <w:sz w:val="21"/>
          <w:szCs w:val="21"/>
        </w:rPr>
        <w:t>2.2.5. El concurso de pretensiones (Anspruchskonkurrenz) en materia de responsabilidad civil por productos defectuosos</w:t>
      </w:r>
    </w:p>
    <w:p w:rsidR="002014CA" w:rsidRPr="00E10347" w:rsidRDefault="002014CA" w:rsidP="00E10347">
      <w:pPr>
        <w:ind w:firstLine="709"/>
        <w:jc w:val="both"/>
        <w:rPr>
          <w:rFonts w:ascii="Palatino Linotype" w:hAnsi="Palatino Linotype"/>
          <w:b/>
          <w:sz w:val="21"/>
          <w:szCs w:val="21"/>
        </w:rPr>
      </w:pPr>
      <w:r w:rsidRPr="00E10347">
        <w:rPr>
          <w:rFonts w:ascii="Palatino Linotype" w:hAnsi="Palatino Linotype"/>
          <w:b/>
          <w:sz w:val="21"/>
          <w:szCs w:val="21"/>
        </w:rPr>
        <w:t>2.2.5.1. Conceptos fundamentales de la Anspruchskonkurrenz</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Con el fin de comprender plenamente la doctrina de la “Anspruchskonkurrenz”, es necesario definir ciertos conceptos teóricos que son los que conforman el núcleo de esa institución jurídica alemana.</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En primer lugar, debe partirse del concepto de “pretensión” (“Anspruch”) </w:t>
      </w:r>
      <w:r w:rsidRPr="00E10347">
        <w:rPr>
          <w:rFonts w:ascii="Palatino Linotype" w:hAnsi="Palatino Linotype"/>
          <w:sz w:val="21"/>
          <w:szCs w:val="21"/>
        </w:rPr>
        <w:lastRenderedPageBreak/>
        <w:t>regente en el Derecho Civil alemán. De acuerdo con el autor Dieter Medicus</w:t>
      </w:r>
      <w:r w:rsidRPr="00E10347">
        <w:rPr>
          <w:rStyle w:val="Refdenotaalpie"/>
          <w:rFonts w:ascii="Palatino Linotype" w:hAnsi="Palatino Linotype"/>
          <w:sz w:val="21"/>
          <w:szCs w:val="21"/>
        </w:rPr>
        <w:footnoteReference w:id="265"/>
      </w:r>
      <w:r w:rsidRPr="00E10347">
        <w:rPr>
          <w:rFonts w:ascii="Palatino Linotype" w:hAnsi="Palatino Linotype"/>
          <w:sz w:val="21"/>
          <w:szCs w:val="21"/>
        </w:rPr>
        <w:t>, el vocablo “pretensión” tiene dos significados muy claros en el Derecho Privado alemán (sog. “doppelte Bedeutung von Anspruch”):</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a) Desde la perspectiva del Derecho Procesal, “pretensión” significa el específico comportamiento o prestación que el actor le solicita al Juez que se le conceda frente al demandado y por parte de éste último. Esta acepción del concepto “pretensión” es la que se encuentra en el parágrafo 253 párrafo segundo del Código Procesal Civil alemán (ZPO= Zivilprozessordnung), norma que establece que uno de los requisitos de la demanda es la formulación de la pretensión y;</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b) En el marco del Derecho sustantivo o material, el parágrafo 194 párrafo primero del Código Civil alemán define la pretensión como el derecho subjetivo en virtud del cual una persona puede exigir de otra una prestación consistente en hacer o no hacer algo. Esta segunda acepción del concepto “pretensión” es la que doctrinariamente se denomina como concepto jurídico-material de pretensión (“materiellrechtlicher Anspruchsbegriff”)</w:t>
      </w:r>
      <w:r w:rsidRPr="00E10347">
        <w:rPr>
          <w:rStyle w:val="Refdenotaalpie"/>
          <w:rFonts w:ascii="Palatino Linotype" w:hAnsi="Palatino Linotype"/>
          <w:sz w:val="21"/>
          <w:szCs w:val="21"/>
        </w:rPr>
        <w:footnoteReference w:id="266"/>
      </w:r>
      <w:r w:rsidRPr="00E10347">
        <w:rPr>
          <w:rFonts w:ascii="Palatino Linotype" w:hAnsi="Palatino Linotype"/>
          <w:sz w:val="21"/>
          <w:szCs w:val="21"/>
        </w:rPr>
        <w:t>.</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En segundo lugar, es indispensable hacer la distinción entre “pretensión” (Anspruch) y “fundamento de la pretensión” (Anspruchsgrundlage)</w:t>
      </w:r>
      <w:r w:rsidRPr="00E10347">
        <w:rPr>
          <w:rStyle w:val="Refdenotaalpie"/>
          <w:rFonts w:ascii="Palatino Linotype" w:hAnsi="Palatino Linotype"/>
          <w:sz w:val="21"/>
          <w:szCs w:val="21"/>
        </w:rPr>
        <w:footnoteReference w:id="267"/>
      </w:r>
      <w:r w:rsidRPr="00E10347">
        <w:rPr>
          <w:rFonts w:ascii="Palatino Linotype" w:hAnsi="Palatino Linotype"/>
          <w:sz w:val="21"/>
          <w:szCs w:val="21"/>
        </w:rPr>
        <w:t>.</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El fundamento de la pretensión es la base negocial o legal en virtud de la cual el titular de la pretensión puede ejercitarla.</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Ejemplo: El artículo 631 del Código Civil alemán define el contrato de obra de la siguiente manera: “Deberes contractuales típicos en el contrato de obra. (1) Por el contrato de obra el contratista se obliga a la producción de la obra prometida y el comitente se obliga al pago de la remuneración pactada. (2) Pueden ser objeto del contrato de obra tanto la producción o modificación de una cosa como otro resultado a obtener mediante el trabajo o una prestación de servicios”.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Con base en esa norma, se tiene que el fundamento de la pretensión de pago de la obra que le asiste al contratista no es, simplemente, el mencionado parágrafo 631 del Código Civil alemán, sino que es el contrato de obra celebrado entre el contratista y el comitente. Es entonces con base en ese negocio jurídico (fundamento de la pretensión) que el contratista puede exigirle al comitente el pago (pretensión) </w:t>
      </w:r>
      <w:r w:rsidRPr="00E10347">
        <w:rPr>
          <w:rFonts w:ascii="Palatino Linotype" w:hAnsi="Palatino Linotype"/>
          <w:sz w:val="21"/>
          <w:szCs w:val="21"/>
        </w:rPr>
        <w:lastRenderedPageBreak/>
        <w:t>de la obra realizada</w:t>
      </w:r>
      <w:r w:rsidRPr="00E10347">
        <w:rPr>
          <w:rStyle w:val="Refdenotaalpie"/>
          <w:rFonts w:ascii="Palatino Linotype" w:hAnsi="Palatino Linotype"/>
          <w:sz w:val="21"/>
          <w:szCs w:val="21"/>
        </w:rPr>
        <w:footnoteReference w:id="268"/>
      </w:r>
      <w:r w:rsidRPr="00E10347">
        <w:rPr>
          <w:rFonts w:ascii="Palatino Linotype" w:hAnsi="Palatino Linotype"/>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Por otra parte, el fundamento de la pretensión también puede ser de origen legal (gesetzliche Anspruchsgrundlage) y un ejemplo de ello es el parágrafo 985 del Código Civil alemán, el cual contempla la pretensión de devolución de la cosa que tiene el propietario frente al poseedor. Los fundamentos de la pretensión de tipo u origen legal se denominan también “Anspruchsnormen” y éstos sí hacen referencia a normativa legal pura y expresa que le confiere a un sujeto el derecho de ejercer una pretensión frente a otro.</w:t>
      </w:r>
    </w:p>
    <w:p w:rsidR="009A5379" w:rsidRDefault="009A5379" w:rsidP="00E10347">
      <w:pPr>
        <w:jc w:val="both"/>
        <w:rPr>
          <w:rFonts w:ascii="Palatino Linotype" w:hAnsi="Palatino Linotype"/>
          <w:b/>
          <w:sz w:val="21"/>
          <w:szCs w:val="21"/>
        </w:rPr>
      </w:pP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2.2.5.2. Surgimiento de la Anspruchskonkurrenz</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La interrogante a la cual busca darle tratamiento y solución la teoría o doctrina del concurso de pretensiones consiste en determinar cuáles y cuántas pretensiones resarcitorias se pueden ejercitar a causa un mismo hecho dañino, el cual llena los requisitos legales de varias normas (contractuales y legales) que contemplan la posibilidad de exigir la indemnización de daños irrogados a la esfera jurídica del damnificado. </w:t>
      </w:r>
    </w:p>
    <w:p w:rsidR="002014CA" w:rsidRPr="00E10347" w:rsidRDefault="002014CA" w:rsidP="00E10347">
      <w:pPr>
        <w:ind w:firstLine="709"/>
        <w:jc w:val="both"/>
        <w:rPr>
          <w:rFonts w:ascii="Palatino Linotype" w:hAnsi="Palatino Linotype"/>
          <w:b/>
          <w:sz w:val="21"/>
          <w:szCs w:val="21"/>
        </w:rPr>
      </w:pPr>
      <w:r w:rsidRPr="00E10347">
        <w:rPr>
          <w:rFonts w:ascii="Palatino Linotype" w:hAnsi="Palatino Linotype"/>
          <w:sz w:val="21"/>
          <w:szCs w:val="21"/>
        </w:rPr>
        <w:t xml:space="preserve">Ejemplo: F contrató al pintor P para que le pinte la casa por dentro. Durante la ejecución de sus labores de pintura, P accidentalmente bota un jarrón propiedad de F, jarrón que queda completamente destruido. F le manifiesta a P que el costo del jarrón es de cincuenta mil colones. </w:t>
      </w:r>
    </w:p>
    <w:p w:rsidR="002014CA" w:rsidRPr="00E10347" w:rsidRDefault="002014CA" w:rsidP="00E10347">
      <w:pPr>
        <w:jc w:val="both"/>
        <w:rPr>
          <w:rFonts w:ascii="Palatino Linotype" w:hAnsi="Palatino Linotype"/>
          <w:sz w:val="21"/>
          <w:szCs w:val="21"/>
        </w:rPr>
      </w:pPr>
      <w:r w:rsidRPr="00E10347">
        <w:rPr>
          <w:rFonts w:ascii="Palatino Linotype" w:hAnsi="Palatino Linotype"/>
          <w:sz w:val="21"/>
          <w:szCs w:val="21"/>
        </w:rPr>
        <w:tab/>
        <w:t>En el caso del ejemplo, es posible percatarse que durante la ejecución del contrato de obra, el pintor, de manera negligente, causa un daño al patrimonio de F, daño que consiste en la destrucción de un jarrón. Tal hecho dañino no solamente le genera al pintor P el deber de indemnizar el daño causado por incumplimiento de sus deberes de protección (los cuales forman parte del contenido del contrato de obra), sino que también es posible sostener que la destrucción del jarrón, por parte del pintor P, también se subsume dentro de la responsabilidad civil extracontractual subjetiva directa que se extrae del artículo 1045 del Código Civil costarricense</w:t>
      </w:r>
      <w:r w:rsidRPr="00E10347">
        <w:rPr>
          <w:rStyle w:val="Refdenotaalpie"/>
          <w:rFonts w:ascii="Palatino Linotype" w:hAnsi="Palatino Linotype"/>
          <w:sz w:val="21"/>
          <w:szCs w:val="21"/>
        </w:rPr>
        <w:footnoteReference w:id="269"/>
      </w:r>
      <w:r w:rsidRPr="00E10347">
        <w:rPr>
          <w:rFonts w:ascii="Palatino Linotype" w:hAnsi="Palatino Linotype"/>
          <w:sz w:val="21"/>
          <w:szCs w:val="21"/>
        </w:rPr>
        <w:t>.</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Así las cosas, por un mismo hecho dañoso, el damnificado tendría a su disposición, de manera conjunta y simultánea, dos o más fundamentos negociales y </w:t>
      </w:r>
      <w:r w:rsidRPr="00E10347">
        <w:rPr>
          <w:rFonts w:ascii="Palatino Linotype" w:hAnsi="Palatino Linotype"/>
          <w:sz w:val="21"/>
          <w:szCs w:val="21"/>
        </w:rPr>
        <w:lastRenderedPageBreak/>
        <w:t>legales, con base en los cuales podría exigir el resarcimiento del daño infligido a su esfera jurídico-económica</w:t>
      </w:r>
      <w:r w:rsidRPr="00E10347">
        <w:rPr>
          <w:rStyle w:val="Refdenotaalpie"/>
          <w:rFonts w:ascii="Palatino Linotype" w:hAnsi="Palatino Linotype"/>
          <w:sz w:val="21"/>
          <w:szCs w:val="21"/>
        </w:rPr>
        <w:footnoteReference w:id="270"/>
      </w:r>
      <w:r w:rsidRPr="00E10347">
        <w:rPr>
          <w:rFonts w:ascii="Palatino Linotype" w:hAnsi="Palatino Linotype"/>
          <w:sz w:val="21"/>
          <w:szCs w:val="21"/>
        </w:rPr>
        <w:t>.</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Éste es, pues, el sustrato fáctico al que le pretende dar solución la doctrina del concurso de pretensiones. Como lo indica Dieter Medicus, “en tales casos como cuando se da, por ejemplo, por parte del arrendatario, el daño culposo de la cosa arrendada, en los cuales el arrendante tiene una pretensión contractual de resarcimiento del daño por violación contractual (Vertragsverletzung) como también una pretensión de responsabilidad civil extracontractual (por lesión al derecho de propiedad, Eigentumsverletzung (§ 823 párrafo primero del Código Civil alemán)), la doctrina mayoritaria considera que se dan dos pretensiones materiales (zwei materiellrechtliche Ansprüche), a pesar de que el deudor solamente puede obtener una sola vez el resarcimiento del daño. En tales casos se habla de “Anspruchskonkurrenz´”</w:t>
      </w:r>
      <w:r w:rsidRPr="00E10347">
        <w:rPr>
          <w:rStyle w:val="Refdenotaalpie"/>
          <w:rFonts w:ascii="Palatino Linotype" w:hAnsi="Palatino Linotype"/>
          <w:sz w:val="21"/>
          <w:szCs w:val="21"/>
        </w:rPr>
        <w:footnoteReference w:id="271"/>
      </w:r>
      <w:r w:rsidRPr="00E10347">
        <w:rPr>
          <w:rFonts w:ascii="Palatino Linotype" w:hAnsi="Palatino Linotype"/>
          <w:sz w:val="21"/>
          <w:szCs w:val="21"/>
        </w:rPr>
        <w:t>.</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En este punto es necesario traer a colación la distinción que hace la doctrina civil alemana entre la “Anspruchskonkurrenz” y la “Anspruchsnormenkonkurrenz”</w:t>
      </w:r>
      <w:r w:rsidRPr="00E10347">
        <w:rPr>
          <w:rStyle w:val="Refdenotaalpie"/>
          <w:rFonts w:ascii="Palatino Linotype" w:hAnsi="Palatino Linotype"/>
          <w:sz w:val="21"/>
          <w:szCs w:val="21"/>
        </w:rPr>
        <w:footnoteReference w:id="272"/>
      </w:r>
      <w:r w:rsidRPr="00E10347">
        <w:rPr>
          <w:rFonts w:ascii="Palatino Linotype" w:hAnsi="Palatino Linotype"/>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lang w:val="es-ES"/>
        </w:rPr>
      </w:pPr>
      <w:r w:rsidRPr="00E10347">
        <w:rPr>
          <w:rFonts w:ascii="Palatino Linotype" w:hAnsi="Palatino Linotype" w:cs="Arial"/>
          <w:color w:val="auto"/>
          <w:sz w:val="21"/>
          <w:szCs w:val="21"/>
          <w:lang w:val="es-ES"/>
        </w:rPr>
        <w:t xml:space="preserve">De acuerdo con el autor Günter Christian Schwarz, la distinción entre ambos institutos yace en lo siguiente: En la denominada “Anspruchsnormenkonkurrenz” el damnificado tiene </w:t>
      </w:r>
      <w:r w:rsidRPr="00E10347">
        <w:rPr>
          <w:rFonts w:ascii="Palatino Linotype" w:hAnsi="Palatino Linotype" w:cs="Arial"/>
          <w:b/>
          <w:color w:val="auto"/>
          <w:sz w:val="21"/>
          <w:szCs w:val="21"/>
          <w:u w:val="single"/>
          <w:lang w:val="es-ES"/>
        </w:rPr>
        <w:t>una sola pretensión resarcitoria</w:t>
      </w:r>
      <w:r w:rsidRPr="00E10347">
        <w:rPr>
          <w:rFonts w:ascii="Palatino Linotype" w:hAnsi="Palatino Linotype" w:cs="Arial"/>
          <w:color w:val="auto"/>
          <w:sz w:val="21"/>
          <w:szCs w:val="21"/>
          <w:lang w:val="es-ES"/>
        </w:rPr>
        <w:t xml:space="preserve">, la cual se basa en una pluralidad de fundamentos jurídicos. Por el contrario, en la “Anspruchskonkurrenz” el damnificado tiene </w:t>
      </w:r>
      <w:r w:rsidRPr="00E10347">
        <w:rPr>
          <w:rFonts w:ascii="Palatino Linotype" w:hAnsi="Palatino Linotype" w:cs="Arial"/>
          <w:b/>
          <w:color w:val="auto"/>
          <w:sz w:val="21"/>
          <w:szCs w:val="21"/>
          <w:u w:val="single"/>
          <w:lang w:val="es-ES"/>
        </w:rPr>
        <w:t>varias y diferentes pretensiones resarcitorias</w:t>
      </w:r>
      <w:r w:rsidRPr="00E10347">
        <w:rPr>
          <w:rFonts w:ascii="Palatino Linotype" w:hAnsi="Palatino Linotype" w:cs="Arial"/>
          <w:color w:val="auto"/>
          <w:sz w:val="21"/>
          <w:szCs w:val="21"/>
          <w:lang w:val="es-ES"/>
        </w:rPr>
        <w:t>, de las cuales una se fundamenta en el contrato y otra en la ley</w:t>
      </w:r>
      <w:r w:rsidRPr="00E10347">
        <w:rPr>
          <w:rStyle w:val="Refdenotaalpie"/>
          <w:rFonts w:ascii="Palatino Linotype" w:hAnsi="Palatino Linotype" w:cs="Arial"/>
          <w:color w:val="auto"/>
          <w:sz w:val="21"/>
          <w:szCs w:val="21"/>
        </w:rPr>
        <w:footnoteReference w:id="273"/>
      </w:r>
      <w:r w:rsidRPr="00E10347">
        <w:rPr>
          <w:rFonts w:ascii="Palatino Linotype" w:hAnsi="Palatino Linotype" w:cs="Arial"/>
          <w:color w:val="auto"/>
          <w:sz w:val="21"/>
          <w:szCs w:val="21"/>
          <w:lang w:val="es-ES"/>
        </w:rPr>
        <w:t>.</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lastRenderedPageBreak/>
        <w:t>La doctrina mayoritaria en Alemania sigue la teoría de la Anspruchskonkurrenz y no la de la Anspruchsnormenkonkurrenz</w:t>
      </w:r>
      <w:r w:rsidRPr="00E10347">
        <w:rPr>
          <w:rStyle w:val="Refdenotaalpie"/>
          <w:rFonts w:ascii="Palatino Linotype" w:hAnsi="Palatino Linotype"/>
          <w:sz w:val="21"/>
          <w:szCs w:val="21"/>
        </w:rPr>
        <w:footnoteReference w:id="274"/>
      </w:r>
      <w:r w:rsidRPr="00E10347">
        <w:rPr>
          <w:rFonts w:ascii="Palatino Linotype" w:hAnsi="Palatino Linotype"/>
          <w:sz w:val="21"/>
          <w:szCs w:val="21"/>
        </w:rPr>
        <w:t>. En todo caso, sea que se siga una u otra posición, lo cierto es que en ambas concepciones el titular de la pretensión(es) resarcitoria(s) solamente puede obtener el resarcimiento del daño causado una sola vez y en cuanto eso suceda, cualquier otra pretensión resarcitoria que tuviera a disposición para obtener la indemnización respectiva quedará extinguida</w:t>
      </w:r>
      <w:r w:rsidRPr="00E10347">
        <w:rPr>
          <w:rStyle w:val="Refdenotaalpie"/>
          <w:rFonts w:ascii="Palatino Linotype" w:hAnsi="Palatino Linotype"/>
          <w:sz w:val="21"/>
          <w:szCs w:val="21"/>
        </w:rPr>
        <w:footnoteReference w:id="275"/>
      </w:r>
      <w:r w:rsidRPr="00E10347">
        <w:rPr>
          <w:rFonts w:ascii="Palatino Linotype" w:hAnsi="Palatino Linotype"/>
          <w:sz w:val="21"/>
          <w:szCs w:val="21"/>
        </w:rPr>
        <w:t>.</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Como la doctrina del concurso de pretensiones (Anspruchskonkurrenz) implica que el damnificado puede ejercer, de manera conjunta y simultánea, las pretensiones resarcitorias que se derivan de los fundamentos jurídicos que las respaldan, esto conduce a la conclusión de que cada una de tales pretensiones resarcitorias (piénsese en el caso, arriba analizado, del ejemplo del pintor que causa el daño durante la ejecución de la obra) se debe analizar de acuerdo con los requisitos legales y características específicas que tiene el tipo de pretensión resarcitoria que se hará valer en el proceso judicial. En otras palabras, la pretensión resarcitoria que se basa en la infracción de deberes contractuales accesorios o de deberes de respeto y consideración se analizará con base en los requisitos y demás características de la responsabilidad civil contractual, en tanto que la otra pretensión resarcitoria que se basa en la responsabilidad civil extracontractual subjetiva se analizará con base en los requisitos legales y demás características de tal tipo de responsabilidad civi</w:t>
      </w:r>
      <w:r w:rsidRPr="00E10347">
        <w:rPr>
          <w:rStyle w:val="Refdenotaalpie"/>
          <w:rFonts w:ascii="Palatino Linotype" w:hAnsi="Palatino Linotype"/>
          <w:sz w:val="21"/>
          <w:szCs w:val="21"/>
        </w:rPr>
        <w:footnoteReference w:id="276"/>
      </w:r>
      <w:r w:rsidRPr="00E10347">
        <w:rPr>
          <w:rFonts w:ascii="Palatino Linotype" w:hAnsi="Palatino Linotype"/>
          <w:sz w:val="21"/>
          <w:szCs w:val="21"/>
        </w:rPr>
        <w:t xml:space="preserve">. Este análisis separado de cada tipo de pretensión resarcitoria que surge, según la doctrina de la Anspruchskonkurrenz, de un mismo hecho dañino, se denomina en Alemania la regla de la separación </w:t>
      </w:r>
      <w:r w:rsidRPr="00E10347">
        <w:rPr>
          <w:rFonts w:ascii="Palatino Linotype" w:hAnsi="Palatino Linotype"/>
          <w:b/>
          <w:sz w:val="21"/>
          <w:szCs w:val="21"/>
        </w:rPr>
        <w:t>(Unabhängigkeitsregel)</w:t>
      </w:r>
      <w:r w:rsidRPr="00E10347">
        <w:rPr>
          <w:rStyle w:val="Refdenotaalpie"/>
          <w:rFonts w:ascii="Palatino Linotype" w:hAnsi="Palatino Linotype"/>
          <w:b/>
          <w:sz w:val="21"/>
          <w:szCs w:val="21"/>
        </w:rPr>
        <w:footnoteReference w:id="277"/>
      </w:r>
      <w:r w:rsidRPr="00E10347">
        <w:rPr>
          <w:rFonts w:ascii="Palatino Linotype" w:hAnsi="Palatino Linotype"/>
          <w:b/>
          <w:sz w:val="21"/>
          <w:szCs w:val="21"/>
        </w:rPr>
        <w:t>.</w:t>
      </w:r>
      <w:r w:rsidRPr="00E10347">
        <w:rPr>
          <w:rFonts w:ascii="Palatino Linotype" w:hAnsi="Palatino Linotype"/>
          <w:sz w:val="21"/>
          <w:szCs w:val="21"/>
        </w:rPr>
        <w:t xml:space="preserve"> Esta regla o criterio resulta ser, en el fondo, un </w:t>
      </w:r>
      <w:r w:rsidRPr="00E10347">
        <w:rPr>
          <w:rFonts w:ascii="Palatino Linotype" w:hAnsi="Palatino Linotype"/>
          <w:sz w:val="21"/>
          <w:szCs w:val="21"/>
        </w:rPr>
        <w:lastRenderedPageBreak/>
        <w:t>reconocimiento de que las pretensiones resarcitorias de naturaleza contractual y extracontractual tienen diferentes características, tales como plazos de prescripción, requisitos, carga de la prueba, extensiones de la responsabilidad, etc…, por lo cual cada tipo de pretensión resarcitoria debe analizarse con independencia funcional de la otra, ya que ambas son diferentes entre sí.</w:t>
      </w:r>
    </w:p>
    <w:p w:rsidR="009A5379" w:rsidRDefault="009A5379" w:rsidP="00E10347">
      <w:pPr>
        <w:jc w:val="both"/>
        <w:rPr>
          <w:rFonts w:ascii="Palatino Linotype" w:hAnsi="Palatino Linotype"/>
          <w:b/>
          <w:sz w:val="21"/>
          <w:szCs w:val="21"/>
        </w:rPr>
      </w:pP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2.2.5.3. La Anspruchskonkurrenz en materia de responsabilidad civil por productos defectuosos.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En materia de responsabilidad civil por productos defectuosos, el Derecho Civil alemán reconoce la aplicación del instituto de la Anspruchskonkurrenz, en los términos que se han explicado anteriormente, con base en el § 15 párrafo 2 de la ProdHaftG.</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La Anspruchskonkurrenz tiene, en materia de responsabilidad civil por productos defectuosos, dos modalidades: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a) Por un lado, puede presentarse en los casos de concurrencia de pretensiones de resarcimiento de daños, derivadas del contrato (principalmente el contrato de compraventa), con  pretensiones de resarcimiento de daños derivadas de la deliktische Produzentenhaftung o de la ProdHaftG</w:t>
      </w:r>
      <w:r w:rsidRPr="00E10347">
        <w:rPr>
          <w:rStyle w:val="Refdenotaalpie"/>
          <w:rFonts w:ascii="Palatino Linotype" w:hAnsi="Palatino Linotype"/>
          <w:sz w:val="21"/>
          <w:szCs w:val="21"/>
        </w:rPr>
        <w:footnoteReference w:id="278"/>
      </w:r>
      <w:r w:rsidRPr="00E10347">
        <w:rPr>
          <w:rFonts w:ascii="Palatino Linotype" w:hAnsi="Palatino Linotype"/>
          <w:sz w:val="21"/>
          <w:szCs w:val="21"/>
        </w:rPr>
        <w:t>.</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Ejemplo: La sociedad Arlequín S. R. L. fabrica y vende, en negocios de su propiedad, un suplemento alimenticio para que los niños crezcan sanos y fuertes. Es un suplemento en polvo, al cual se le agrega agua e, ipso facto, queda listo para poder ser bebido. Para hacerlo atractivo a los niños, el producto en cuestión, se vende en frascos y sabe similar a la vainilla. El frasco no indica, en sus instrucciones y advertencias de uso, que, como máximo, solamente se pueden beber cinco vasos durante todo el día y toda la noche. La señora S compra el suplemento alimenticio y se lo da a su hijo H. Al niño H le gusta tanto el sabor del suplemento, que le pide a su mamá que le dé bastante de ese producto y, por esa razón, la señora S le da, a su hijo, tres días por semana, seis vasos de suplemento. El niño S va al dentista y éste le diagnostica un severo daño en sus dientes. Posteriormente, se determina que dicho daño proviene del consumo excesivo del suplemento.</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En el ejemplo anterior, se configura la Anspruchskonkurrenz de la siguiente manera: Con base en el contrato de compraventa, la señora S podría exigirle daños y perjuicios al vendedor (el cual no solamente vende el producto sino que, además </w:t>
      </w:r>
      <w:r w:rsidRPr="00E10347">
        <w:rPr>
          <w:rFonts w:ascii="Palatino Linotype" w:hAnsi="Palatino Linotype"/>
          <w:sz w:val="21"/>
          <w:szCs w:val="21"/>
        </w:rPr>
        <w:lastRenderedPageBreak/>
        <w:t>de eso, lo fabrica), pues la cosa vendida le causó daños y perjuicios. Recuérdese que una de las pretensiones que tiene el comprador, frente al vendedor, en el marco del contrato de compraventa regulado por el Código Civil alemán, es el resarcimiento de daños y perjuicios</w:t>
      </w:r>
      <w:r w:rsidRPr="00E10347">
        <w:rPr>
          <w:rStyle w:val="Refdenotaalpie"/>
          <w:rFonts w:ascii="Palatino Linotype" w:hAnsi="Palatino Linotype"/>
          <w:sz w:val="21"/>
          <w:szCs w:val="21"/>
        </w:rPr>
        <w:footnoteReference w:id="279"/>
      </w:r>
      <w:r w:rsidRPr="00E10347">
        <w:rPr>
          <w:rFonts w:ascii="Palatino Linotype" w:hAnsi="Palatino Linotype"/>
          <w:sz w:val="21"/>
          <w:szCs w:val="21"/>
        </w:rPr>
        <w:t>. Adicionalmente, la señora S podría también, según los principios rectores del Derecho Civil alemán, exigirle al fabricante responsabilidad civil con base en lo dispuesto en la deliktische Produzentenhaftung o bien en la ProdhaftG.</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Es necesario y pertinente agregar que esta primera modalidad de concurso de pretensiones es ajena y se contrapone, frontalmente, con todos aquellos sistemas de responsabilidad civil que, basados en el Código Civil francés, han adoptado, como principio general del Derecho de Daños, la llamada </w:t>
      </w:r>
      <w:r w:rsidRPr="00E10347">
        <w:rPr>
          <w:rFonts w:ascii="Palatino Linotype" w:hAnsi="Palatino Linotype"/>
          <w:b/>
          <w:sz w:val="21"/>
          <w:szCs w:val="21"/>
        </w:rPr>
        <w:t>“prohibición de la opción”</w:t>
      </w:r>
      <w:r w:rsidRPr="00E10347">
        <w:rPr>
          <w:rStyle w:val="Refdenotaalpie"/>
          <w:rFonts w:ascii="Palatino Linotype" w:hAnsi="Palatino Linotype"/>
          <w:sz w:val="21"/>
          <w:szCs w:val="21"/>
        </w:rPr>
        <w:footnoteReference w:id="280"/>
      </w:r>
      <w:r w:rsidRPr="00E10347">
        <w:rPr>
          <w:rFonts w:ascii="Palatino Linotype" w:hAnsi="Palatino Linotype"/>
          <w:sz w:val="21"/>
          <w:szCs w:val="21"/>
        </w:rPr>
        <w:t>.</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Sin embargo, el principio de prohibición de la opción no es absoluto, sino que tiene excepciones y una de ellas es, precisamente, el campo de la responsabilidad civil por productos defectuosos.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Así lo expresa el autor colombiano, Obdulio Velásquez Posada, en los siguientes términos: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“Cuando en una cadena contractual, un tercer adquirente de una cosa sufre daños por la cosa adquirida tiene, en primer lugar, la acción contractual contra la contraparte por haberle incumplido la obligación, pero como él no tiene vínculo contractual con la primera persona, su acción es aquiliana. El típico caso se da en el caso de los consumidores frente a los productores (fabricantes). Muchas veces el consumidor final tiene la acción contractual contra el vendedor, de quien adquirió la cosa, pero puede también reclamar contra el fabricante con quien no tiene en </w:t>
      </w:r>
      <w:r w:rsidRPr="00E10347">
        <w:rPr>
          <w:rFonts w:ascii="Palatino Linotype" w:hAnsi="Palatino Linotype"/>
          <w:sz w:val="21"/>
          <w:szCs w:val="21"/>
        </w:rPr>
        <w:lastRenderedPageBreak/>
        <w:t>estricto sentido un vínculo contractual”</w:t>
      </w:r>
      <w:r w:rsidRPr="00E10347">
        <w:rPr>
          <w:rStyle w:val="Refdenotaalpie"/>
          <w:rFonts w:ascii="Palatino Linotype" w:hAnsi="Palatino Linotype"/>
          <w:sz w:val="21"/>
          <w:szCs w:val="21"/>
        </w:rPr>
        <w:footnoteReference w:id="281"/>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b) Por otro lado, el damnificado puede fundamentar su pretensión de pago de daños y perjuicios, tanto en las disposiciones de la ley especial alemana de responsabilidad civil por productos defectuosos (Produkthaftungsgesetz), como también en el § 823 párrafo primero del Código Civil alemán. Ambos regímenes jurídicos coexisten entre sí y el damnificado puede elegir uno u otro</w:t>
      </w:r>
      <w:r w:rsidRPr="00E10347">
        <w:rPr>
          <w:rStyle w:val="Refdenotaalpie"/>
          <w:rFonts w:ascii="Palatino Linotype" w:hAnsi="Palatino Linotype"/>
          <w:sz w:val="21"/>
          <w:szCs w:val="21"/>
        </w:rPr>
        <w:footnoteReference w:id="282"/>
      </w:r>
      <w:r w:rsidRPr="00E10347">
        <w:rPr>
          <w:rFonts w:ascii="Palatino Linotype" w:hAnsi="Palatino Linotype"/>
          <w:sz w:val="21"/>
          <w:szCs w:val="21"/>
        </w:rPr>
        <w:t xml:space="preserve"> y hasta puede sustentar su pretensión resarcitoria en ambos</w:t>
      </w:r>
      <w:r w:rsidRPr="00E10347">
        <w:rPr>
          <w:rStyle w:val="Refdenotaalpie"/>
          <w:rFonts w:ascii="Palatino Linotype" w:hAnsi="Palatino Linotype"/>
          <w:sz w:val="21"/>
          <w:szCs w:val="21"/>
        </w:rPr>
        <w:footnoteReference w:id="283"/>
      </w:r>
      <w:r w:rsidRPr="00E10347">
        <w:rPr>
          <w:rFonts w:ascii="Palatino Linotype" w:hAnsi="Palatino Linotype"/>
          <w:sz w:val="21"/>
          <w:szCs w:val="21"/>
        </w:rPr>
        <w:t>.</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La posibilidad jurídica de aplicar, en el campo de la responsabilidad civil por productos defectuosos, la Anspruchskonkurrenz, permite captar ciertas diferencias esenciales entre los regímenes jurídicos de responsabilidad civil extracontractual antes indicados, que son las siguientes: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1) En la responsabilidad civil por productos defectuosos regulada en la Produkthaftungsgesetz, solamente son resarcibles, a título de daños materiales, aquellos daños que el producto defectuoso hubiese causado en otras cosas o bienes diferentes del producto defectuoso considerado en sí mismo y en la medida en que esas otras cosas o bienes, dañados por el producto defectuoso, se utilizaran para el uso o consumo privado. Por el contrario, en la responsabilidad civil por productos defectuosos regulada en el § 823 párrafo primero del Código Civil alemán, sí son resarcibles los daños causados por el producto defectuoso en otros bienes o cosas, sin importar el destino de éstas últimas, es decir, que no se requiere que sean destinadas, solamente, al uso o consumo privado, sino que pueden estar destinadas a actividades laborales, industriales, comerciales o profesionales.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2) Como ya se indicó anteriormente, la lista de sujetos responsables por los daños causados por productos defectuosos en el marco de la responsabilidad civil por productos defectuosos regulada en el § 823 párrafo primero del Código Civil alemán, es mucho más amplia que la que establece la Produkthaftungsgesetz.</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3) En la responsabilidad civil por productos defectuosos regulada en el § 823 párrafo primero del Código Civil alemán, los sujetos responsables pueden liberarse de la obligación de indemnizar daños y perjuicios, con base en las causales clásicas de liberación de responsabilidad civil extracontractual subjetiva, a saber: caso fortuito, fuerza mayor, hecho de un tercero y culpa de la víctima. Por el contrario, </w:t>
      </w:r>
      <w:r w:rsidRPr="00E10347">
        <w:rPr>
          <w:rFonts w:ascii="Palatino Linotype" w:hAnsi="Palatino Linotype"/>
          <w:sz w:val="21"/>
          <w:szCs w:val="21"/>
        </w:rPr>
        <w:lastRenderedPageBreak/>
        <w:t>en la responsabilidad civil por productos defectuosos regulada en la Produkthaftungsgesetz, los sujetos responsables solamente pueden liberarse de responsabilidad civil en la medida en que aleguen y prueben la configuración de alguna de las causales, numerus clausus, previstas en esa ley especial.</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4) De acuerdo con la Produkhaftungsgesetz, el resarcimiento de los daños personales causados por el producto defectuoso tiene un tope o techo indemnizatorio de ochenta y cinco millones de Euros (§ 10 Abs. 1 ProdHaftG), en tanto que en la responsabilidad civil por productos defectuosos basada en el § 823 párrafo primero del Código Civil alemán, no existe tal tope indemnizatorio.</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5) En el régimen jurídico de la ProdHaftG, si el producto defectuoso causa daños materiales en otras cosas o bienes diferentes del producto defectuoso considerado en sí mismo, el damnificado debe asumir un monto máximo de quinientos Euros. Es decir, si el monto o cuantía del daño material irrogado no supera los quinientos Euros, dicho daño debe ser asumido o soportado por el damnificado. Esto es lo que se denomina “exclusión de los daños de bagatela” (Ausschluβ von Bagatellschäden)</w:t>
      </w:r>
      <w:r w:rsidRPr="00E10347">
        <w:rPr>
          <w:rStyle w:val="Refdenotaalpie"/>
          <w:rFonts w:ascii="Palatino Linotype" w:hAnsi="Palatino Linotype"/>
          <w:sz w:val="21"/>
          <w:szCs w:val="21"/>
        </w:rPr>
        <w:footnoteReference w:id="284"/>
      </w:r>
      <w:r w:rsidRPr="00E10347">
        <w:rPr>
          <w:rFonts w:ascii="Palatino Linotype" w:hAnsi="Palatino Linotype"/>
          <w:sz w:val="21"/>
          <w:szCs w:val="21"/>
        </w:rPr>
        <w:t xml:space="preserve"> y está previsto en el § 11 ProdHaftG. Por el contrario, en la deliktische Produzentenhaftung, basada en el § 823 párrafo primero del Código Civil alemán, no existe esa asunción de daño material a cargo del damnificado.</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6) Por los llamados “Ausreiβer”, que son defectos que, pese a la más cuidadosa fabricación y control de calidad, surgen y luego causan daños, el fabricante no es civilmente responsable de conformidad con la deliktische Produzentenhaftung, basada en el § 823 párrafo primero del Código Civil alemán. Por el contrario, los sujetos responsables en el marco de la ProdHaftG sí responden por los “Ausreiβer”.</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7) Por los llamados “weiterfressende Schäden”</w:t>
      </w:r>
      <w:r w:rsidRPr="00E10347">
        <w:rPr>
          <w:rStyle w:val="Refdenotaalpie"/>
          <w:rFonts w:ascii="Palatino Linotype" w:hAnsi="Palatino Linotype"/>
          <w:sz w:val="21"/>
          <w:szCs w:val="21"/>
        </w:rPr>
        <w:footnoteReference w:id="285"/>
      </w:r>
      <w:r w:rsidRPr="00E10347">
        <w:rPr>
          <w:rFonts w:ascii="Palatino Linotype" w:hAnsi="Palatino Linotype"/>
          <w:sz w:val="21"/>
          <w:szCs w:val="21"/>
        </w:rPr>
        <w:t xml:space="preserve">, el fabricante responde de acuerdo con la deliktische Produzentenhaftung, basada en el § 823 párrafo primero del Código Civil alemán. Por el contrario, los sujetos responsables en el marco de la ProdHaftG no responden por los “weiterfressende Schäden”.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 xml:space="preserve">8) Mientras que la deliktische Produzentenhaftung (§ 823 párrafo primero </w:t>
      </w:r>
      <w:r w:rsidRPr="00E10347">
        <w:rPr>
          <w:rFonts w:ascii="Palatino Linotype" w:hAnsi="Palatino Linotype"/>
          <w:sz w:val="21"/>
          <w:szCs w:val="21"/>
        </w:rPr>
        <w:lastRenderedPageBreak/>
        <w:t>del Código Civil alemán) establece, como hecho generador de la responsabilidad civil, la inobservancia o el incumplimiento de la obligación de observación y vigilancia del producto (Produktbeobachtungsplicht), en tanto que en el marco de la ProdHaftG, los sujetos responsables, previstos, numerus clausus, en el § 4 de esa ley especial, no responden por el incumplimiento de esa obligación debido a que ella surge solamente hasta después de que el producto fue introducido en el tráfico jurídico, en tanto que la responsabilidad civil regulada en la ProdHaftG solamente surge en el preciso momento en que el producto es introducido en el tráfico jurídico</w:t>
      </w:r>
      <w:r w:rsidRPr="00E10347">
        <w:rPr>
          <w:rStyle w:val="Refdenotaalpie"/>
          <w:rFonts w:ascii="Palatino Linotype" w:hAnsi="Palatino Linotype"/>
          <w:sz w:val="21"/>
          <w:szCs w:val="21"/>
        </w:rPr>
        <w:footnoteReference w:id="286"/>
      </w:r>
      <w:r w:rsidRPr="00E10347">
        <w:rPr>
          <w:rFonts w:ascii="Palatino Linotype" w:hAnsi="Palatino Linotype"/>
          <w:sz w:val="21"/>
          <w:szCs w:val="21"/>
        </w:rPr>
        <w:t>.</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9) En ambos regímenes jurídicos, la carga de la prueba con respecto a los requisitos constitutivos del deber de resarcimiento de daños y perjuicios, causados por el producto defectuoso y la carga de la prueba con respecto a las causales de exoneración de responsabilidad civil varían dependiendo de los sujetos obligados al resarcimiento y del tipo de defecto que presente el producto.</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10) En materia de defecto de instrucción (Instruktionsfehler) se ha dicho que el fabricante debe advertir sobre los casos de uso abusivo previsible del producto (vorhersehbarer Produktmissbrauch)</w:t>
      </w:r>
      <w:r w:rsidRPr="00E10347">
        <w:rPr>
          <w:rStyle w:val="Refdenotaalpie"/>
          <w:rFonts w:ascii="Palatino Linotype" w:hAnsi="Palatino Linotype"/>
          <w:sz w:val="21"/>
          <w:szCs w:val="21"/>
        </w:rPr>
        <w:footnoteReference w:id="287"/>
      </w:r>
      <w:r w:rsidRPr="00E10347">
        <w:rPr>
          <w:rFonts w:ascii="Palatino Linotype" w:hAnsi="Palatino Linotype"/>
          <w:sz w:val="21"/>
          <w:szCs w:val="21"/>
        </w:rPr>
        <w:t>. Éste tiene lugar cuando el consumidor del producto abusa de él, sobre todo cuando lo usa de una manera muy frecuente. Un ejemplo es el caso de los antidepresivos que, según estudios de la FDA estadounidense (Food and Drug Administration), su uso excesivo conduce a que los pacientes tengan conductas suicidas, de modo que dicha oficina ordenó advertir expresamente en las etiquetas de los antidepresivos sobre los riesgos de conductas y gestos suicidas que pueden causarse a raíz del consumo excesivo de dicho producto</w:t>
      </w:r>
      <w:r w:rsidRPr="00E10347">
        <w:rPr>
          <w:rStyle w:val="Refdenotaalpie"/>
          <w:rFonts w:ascii="Palatino Linotype" w:hAnsi="Palatino Linotype"/>
          <w:sz w:val="21"/>
          <w:szCs w:val="21"/>
        </w:rPr>
        <w:footnoteReference w:id="288"/>
      </w:r>
      <w:r w:rsidRPr="00E10347">
        <w:rPr>
          <w:rFonts w:ascii="Palatino Linotype" w:hAnsi="Palatino Linotype"/>
          <w:sz w:val="21"/>
          <w:szCs w:val="21"/>
        </w:rPr>
        <w:t>.</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Pues bien, el uso abusivo previsible del producto solamente es indemnizable en el ámbito de la deliktische Produzentenhaftung, no así en el campo de la ProdHaftG</w:t>
      </w:r>
      <w:r w:rsidRPr="00E10347">
        <w:rPr>
          <w:rStyle w:val="Refdenotaalpie"/>
          <w:rFonts w:ascii="Palatino Linotype" w:hAnsi="Palatino Linotype"/>
          <w:sz w:val="21"/>
          <w:szCs w:val="21"/>
        </w:rPr>
        <w:footnoteReference w:id="289"/>
      </w:r>
      <w:r w:rsidRPr="00E10347">
        <w:rPr>
          <w:rFonts w:ascii="Palatino Linotype" w:hAnsi="Palatino Linotype"/>
          <w:sz w:val="21"/>
          <w:szCs w:val="21"/>
        </w:rPr>
        <w:t>.</w:t>
      </w: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 xml:space="preserve">3. Capítulo Segundo: Carga de la prueba y carga dinámica de la prueba en el campo de la responsabilidad civil por productos defectuosos. </w:t>
      </w: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 xml:space="preserve">3.1. Delimitación de los conceptos de carga de la prueba y carga dinámica de la </w:t>
      </w:r>
      <w:r w:rsidRPr="00E10347">
        <w:rPr>
          <w:rFonts w:ascii="Palatino Linotype" w:hAnsi="Palatino Linotype"/>
          <w:b/>
          <w:sz w:val="21"/>
          <w:szCs w:val="21"/>
        </w:rPr>
        <w:lastRenderedPageBreak/>
        <w:t>prueba</w:t>
      </w: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3.1.1. Carga de la prueba</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rPr>
        <w:t>Se puede definir como el comportamiento o actividad de la parte procesal tendente a aportar u ofrecer prueba de los hechos que fundamentan la aplicación de la norma jurídica favorable a la estimación de la pretensión o al acogimiento de las excepciones. Respecto a la primera clase de hechos, la ley procesal atribuye la carga de la prueba al actor, quien verá desestimada su pretensión si no resultan probados sus hechos constitutivos. Por el contrario, desde la óptica del demandado, la ley procesal le atribuye la carga de la prueba con respecto a los hechos impeditivos, modificativos o extintivos, de modo tal que la pretensión del actor deberá declararse con lugar si tales hechos no quedaran acreditados, siempre y cuando, por supuesto, los hechos constitutivos de la pretensión hubieran sido probados</w:t>
      </w:r>
      <w:r w:rsidRPr="00E10347">
        <w:rPr>
          <w:rStyle w:val="Refdenotaalpie"/>
          <w:rFonts w:ascii="Palatino Linotype" w:hAnsi="Palatino Linotype"/>
          <w:sz w:val="21"/>
          <w:szCs w:val="21"/>
        </w:rPr>
        <w:footnoteReference w:id="290"/>
      </w:r>
      <w:r w:rsidRPr="00E10347">
        <w:rPr>
          <w:rFonts w:ascii="Palatino Linotype" w:hAnsi="Palatino Linotype"/>
          <w:sz w:val="21"/>
          <w:szCs w:val="21"/>
        </w:rPr>
        <w:t>.</w:t>
      </w:r>
    </w:p>
    <w:p w:rsidR="009A5379" w:rsidRDefault="009A5379" w:rsidP="00E10347">
      <w:pPr>
        <w:jc w:val="both"/>
        <w:rPr>
          <w:rFonts w:ascii="Palatino Linotype" w:hAnsi="Palatino Linotype"/>
          <w:b/>
          <w:sz w:val="21"/>
          <w:szCs w:val="21"/>
        </w:rPr>
      </w:pP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3.1.2. Carga dinámica de la prueba</w:t>
      </w:r>
    </w:p>
    <w:p w:rsidR="002014CA" w:rsidRPr="00E10347" w:rsidRDefault="002014CA" w:rsidP="00E10347">
      <w:pPr>
        <w:ind w:firstLine="709"/>
        <w:jc w:val="both"/>
        <w:rPr>
          <w:rFonts w:ascii="Palatino Linotype" w:hAnsi="Palatino Linotype"/>
          <w:sz w:val="21"/>
          <w:szCs w:val="21"/>
          <w:lang w:val="es-ES_tradnl" w:eastAsia="es-ES_tradnl"/>
        </w:rPr>
      </w:pPr>
      <w:r w:rsidRPr="00E10347">
        <w:rPr>
          <w:rFonts w:ascii="Palatino Linotype" w:hAnsi="Palatino Linotype"/>
          <w:sz w:val="21"/>
          <w:szCs w:val="21"/>
          <w:lang w:val="es-ES_tradnl" w:eastAsia="es-ES_tradnl"/>
        </w:rPr>
        <w:t>La carga dinámica de la prueba es la teoría del Derecho Probatorio que asigna la carga de probar a la parte procesal que se encuentre en mejores condiciones de hacerlo.</w:t>
      </w:r>
    </w:p>
    <w:p w:rsidR="002014CA" w:rsidRPr="00E10347" w:rsidRDefault="002014CA" w:rsidP="00E10347">
      <w:pPr>
        <w:ind w:firstLine="709"/>
        <w:jc w:val="both"/>
        <w:rPr>
          <w:rFonts w:ascii="Palatino Linotype" w:hAnsi="Palatino Linotype"/>
          <w:sz w:val="21"/>
          <w:szCs w:val="21"/>
          <w:lang w:val="es-ES_tradnl" w:eastAsia="es-ES_tradnl"/>
        </w:rPr>
      </w:pPr>
      <w:r w:rsidRPr="00E10347">
        <w:rPr>
          <w:rFonts w:ascii="Palatino Linotype" w:hAnsi="Palatino Linotype"/>
          <w:sz w:val="21"/>
          <w:szCs w:val="21"/>
          <w:lang w:val="es-ES_tradnl" w:eastAsia="es-ES_tradnl"/>
        </w:rPr>
        <w:t>La Corte Constitucional colombiana, en su sentencia número C-086/16 de 24 de febrero de 2016, se refirió, in extenso, al tema de la carga dinámica de la prueba en los siguientes términos: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lang w:val="es-ES_tradnl" w:eastAsia="es-ES_tradnl"/>
        </w:rPr>
        <w:t xml:space="preserve"> “</w:t>
      </w:r>
      <w:r w:rsidRPr="00E10347">
        <w:rPr>
          <w:rFonts w:ascii="Palatino Linotype" w:hAnsi="Palatino Linotype"/>
          <w:sz w:val="21"/>
          <w:szCs w:val="21"/>
          <w:lang w:val="es-CO"/>
        </w:rPr>
        <w:t xml:space="preserve">6.3.- Con todo, el abandono de una concepción netamente dispositiva del proceso, al constatarse cómo en algunos casos surgía una asimetría entre las partes o se requería de un nivel alto de especialización técnica o científica que dificultaba a quien alegaba un hecho demostrarlo en el proceso, condujo a revisar el alcance del </w:t>
      </w:r>
      <w:r w:rsidRPr="00E10347">
        <w:rPr>
          <w:rFonts w:ascii="Palatino Linotype" w:hAnsi="Palatino Linotype"/>
          <w:i/>
          <w:iCs/>
          <w:sz w:val="21"/>
          <w:szCs w:val="21"/>
          <w:lang w:val="es-CO"/>
        </w:rPr>
        <w:t>“onus probandi”</w:t>
      </w:r>
      <w:r w:rsidRPr="00E10347">
        <w:rPr>
          <w:rFonts w:ascii="Palatino Linotype" w:hAnsi="Palatino Linotype"/>
          <w:sz w:val="21"/>
          <w:szCs w:val="21"/>
          <w:lang w:val="es-CO"/>
        </w:rPr>
        <w:t xml:space="preserve">. Fue entonces cuando surgió la teoría de las </w:t>
      </w:r>
      <w:r w:rsidRPr="00E10347">
        <w:rPr>
          <w:rFonts w:ascii="Palatino Linotype" w:hAnsi="Palatino Linotype"/>
          <w:i/>
          <w:iCs/>
          <w:sz w:val="21"/>
          <w:szCs w:val="21"/>
          <w:lang w:val="es-CO"/>
        </w:rPr>
        <w:t>“cargas dinámicas”,</w:t>
      </w:r>
      <w:r w:rsidRPr="00E10347">
        <w:rPr>
          <w:rFonts w:ascii="Palatino Linotype" w:hAnsi="Palatino Linotype"/>
          <w:sz w:val="21"/>
          <w:szCs w:val="21"/>
          <w:lang w:val="es-CO"/>
        </w:rPr>
        <w:t xml:space="preserve"> fundada en los principios de solidaridad, equidad (igualdad real), lealtad y buena fe procesal, donde el postulado </w:t>
      </w:r>
      <w:r w:rsidRPr="00E10347">
        <w:rPr>
          <w:rFonts w:ascii="Palatino Linotype" w:hAnsi="Palatino Linotype"/>
          <w:i/>
          <w:iCs/>
          <w:sz w:val="21"/>
          <w:szCs w:val="21"/>
          <w:lang w:val="es-CO"/>
        </w:rPr>
        <w:t>“quien alega debe probar”</w:t>
      </w:r>
      <w:r w:rsidRPr="00E10347">
        <w:rPr>
          <w:rFonts w:ascii="Palatino Linotype" w:hAnsi="Palatino Linotype"/>
          <w:sz w:val="21"/>
          <w:szCs w:val="21"/>
          <w:lang w:val="es-CO"/>
        </w:rPr>
        <w:t xml:space="preserve"> cede su lugar al postulado </w:t>
      </w:r>
      <w:r w:rsidRPr="00E10347">
        <w:rPr>
          <w:rFonts w:ascii="Palatino Linotype" w:hAnsi="Palatino Linotype"/>
          <w:i/>
          <w:iCs/>
          <w:sz w:val="21"/>
          <w:szCs w:val="21"/>
          <w:lang w:val="es-CO"/>
        </w:rPr>
        <w:t>“quien puede debe probar”.</w:t>
      </w:r>
      <w:r w:rsidRPr="00E10347">
        <w:rPr>
          <w:rFonts w:ascii="Palatino Linotype" w:hAnsi="Palatino Linotype"/>
          <w:sz w:val="21"/>
          <w:szCs w:val="21"/>
          <w:lang w:val="es-CO"/>
        </w:rPr>
        <w:t xml:space="preserve">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lang w:val="es-CO"/>
        </w:rPr>
        <w:t xml:space="preserve">La teoría de la carga dinámica de la prueba halla su origen directo en la asimetría entre las partes y la necesidad de la intervención judicial para restablecer la igualdad en el proceso judicial. Quizá el caso más representativo –no el único-, que en buena medida dio origen a su desarrollo dogmático, jurisprudencial y legal, </w:t>
      </w:r>
      <w:r w:rsidRPr="00E10347">
        <w:rPr>
          <w:rFonts w:ascii="Palatino Linotype" w:hAnsi="Palatino Linotype"/>
          <w:sz w:val="21"/>
          <w:szCs w:val="21"/>
          <w:lang w:val="es-CO"/>
        </w:rPr>
        <w:lastRenderedPageBreak/>
        <w:t>es el concerniente a la prueba de las malas prácticas médicas: “Cierto es que la susodicha [doctrina de las cargas probatorias dinámicas] nació como un paliativo para aligerar la ímproba tarea de producir pruebas diabólicas que, en ciertos supuestos, se hacían caer sin miramientos, sobre las espaldas de algunas de las partes (actor o demandado) por mal entender las tradicionales y sacrosantas reglas apriorísticas de distribución de la carga de la prueba (…). Sin embargo, la fuerza de las cosas demostró, verbigracia, que imponerle al actor víctima de una lesión quirúrgica en el interior del quirófano, la prueba acabada de lo que había ocurrido y de cómo había ocurrido, resultaba equivalente a negarle toda chance de éxito”.</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lang w:val="es-CO"/>
        </w:rPr>
        <w:t xml:space="preserve">De esta manera, la noción de carga dinámica de la prueba, </w:t>
      </w:r>
      <w:r w:rsidRPr="00E10347">
        <w:rPr>
          <w:rFonts w:ascii="Palatino Linotype" w:hAnsi="Palatino Linotype"/>
          <w:i/>
          <w:iCs/>
          <w:sz w:val="21"/>
          <w:szCs w:val="21"/>
          <w:lang w:val="es-CO"/>
        </w:rPr>
        <w:t>“que no desconoce las reglas clásicas de la carga de la prueba, sino que trata de complementarla o perfeccionarla”</w:t>
      </w:r>
      <w:r w:rsidRPr="00E10347">
        <w:rPr>
          <w:rFonts w:ascii="Palatino Linotype" w:hAnsi="Palatino Linotype"/>
          <w:sz w:val="21"/>
          <w:szCs w:val="21"/>
          <w:lang w:val="es-CO"/>
        </w:rPr>
        <w:t>, supone reasignar dicha responsabilidad, ya no en función de quien invoca un hecho, sino del sujeto que, de acuerdo con las circunstancias de cada caso, se encuentra en mejores condiciones técnicas, profesionales o fácticas de acreditarlo.</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lang w:val="es-CO"/>
        </w:rPr>
        <w:t xml:space="preserve">6.4.- Como quiera la legislación procesal colombiana no hizo referencia a la noción de carga dinámica de la prueba, al menos de manera directa (hasta la aprobación de la Ley 1564 de 2012 o Código General del Proceso), su reconocimiento vino de la mano de la jurisprudencia, tanto del Consejo de Estado en asuntos de responsabilidad por falla presunta en el servicio médico, como de la Corte Suprema de Justicia en el ámbito de la responsabilidad civil. Esta última, por ejemplo, hizo referencia expresa a criterios de lealtad procesal, colaboración, justicia y equidad.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lang w:val="es-CO"/>
        </w:rPr>
        <w:t>6.5.- Es importante poner de presente que estas posturas jurisprudenciales encontraron abono fértil con la entrada en vigencia de la Constitución Política de 1991. En efecto, la teoría de la carga dinámica de la prueba tiene amplio sustento constitucional, especialmente en los postulados característicos del rol del juez en un Estado Social de Derecho, que según fue explicado anteriormente propugna por un papel activo –pero también limitado- en la realización del derecho a la tutela judicial efectiva y la prevalencia del derecho sustancial y de la consecución de un orden justo.</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lang w:val="es-CO"/>
        </w:rPr>
        <w:t>En efecto, en varias oportunidades la Corte Constitucional ha destacado la necesidad de activar la función directiva del juez no solo para decretar pruebas en forma oficiosa sino para redistribuir las cargas probatorias entre los sujetos procesales.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lang w:val="es-CO"/>
        </w:rPr>
        <w:t xml:space="preserve">Por ejemplo, esta corporación ha señalado que una vez probada la existencia de un trato desigual para iguales o un trato igual para desiguales, </w:t>
      </w:r>
      <w:r w:rsidRPr="00E10347">
        <w:rPr>
          <w:rFonts w:ascii="Palatino Linotype" w:hAnsi="Palatino Linotype"/>
          <w:i/>
          <w:iCs/>
          <w:sz w:val="21"/>
          <w:szCs w:val="21"/>
          <w:lang w:val="es-CO"/>
        </w:rPr>
        <w:t xml:space="preserve">“la carga probatoria </w:t>
      </w:r>
      <w:r w:rsidRPr="00E10347">
        <w:rPr>
          <w:rFonts w:ascii="Palatino Linotype" w:hAnsi="Palatino Linotype"/>
          <w:i/>
          <w:iCs/>
          <w:sz w:val="21"/>
          <w:szCs w:val="21"/>
          <w:lang w:val="es-CO"/>
        </w:rPr>
        <w:lastRenderedPageBreak/>
        <w:t>se invierte, pues ahora corresponde probar la razonabilidad y proporcionalidad del trato a quien lo otorga”.</w:t>
      </w:r>
      <w:r w:rsidRPr="00E10347">
        <w:rPr>
          <w:rFonts w:ascii="Palatino Linotype" w:hAnsi="Palatino Linotype"/>
          <w:sz w:val="21"/>
          <w:szCs w:val="21"/>
          <w:lang w:val="es-CO"/>
        </w:rPr>
        <w:t xml:space="preserve">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lang w:val="es-CO"/>
        </w:rPr>
        <w:t>También ha sostenido que en los casos en los cuales una persona se encuentra en posición de debilidad o de subordinación frente a otra persona o autoridad, de quien se cuestiona la vulneración de un derecho, es preciso distribuir la carga de la prueba a favor de la parte menos fuerte de la relación, como por ejemplo en el ámbito laboral. Lo propio ha señalado la Corte en casos en los que alega la existencia de tratos crueles, inhumanos o degradantes por parte de superiores jerárquicos en el ámbito castrense. En palabras de la Corte: “</w:t>
      </w:r>
      <w:r w:rsidRPr="00E10347">
        <w:rPr>
          <w:rFonts w:ascii="Palatino Linotype" w:hAnsi="Palatino Linotype"/>
          <w:sz w:val="21"/>
          <w:szCs w:val="21"/>
        </w:rPr>
        <w:t>La regla general en materia de pruebas en los procesos de tutela consiste en que quien alega la vulneración de un determinado derecho fundamental debe probar los hechos que sustentan su acusación en la medida en que ello le sea posible; por tal razón, en cierto tipo de casos, en los cuales quien alega la violación de su derecho se encuentra en posición de debilidad o subordinación frente a la persona o autoridad de quien proviene la violación, se ha dado un alcance distinto a dicho deber probatorio, distribuyendo la carga de la prueba en favor de la parte menos fuerte en la relación, de forma tal que ésta únicamente se vea obligada a demostrar –con pruebas adicionales a su declaración consistente y de buena fe- aquellos hechos que esté en la posibilidad material de probar, correspondiéndole a la otra parte la prueba de las circunstancias que alegue en su favor para desvirtuar lo alegado en su contra. Así ha sucedido, por ejemplo, en múltiples casos relacionados con discriminación  en el ámbito laboral. La justificación de esta distribución de la carga de la prueba radica en la dificultad con la que cuenta la parte débil de una determinada relación para acceder a los documentos y demás materiales probatorios necesarios para acreditar que cierta situación le es desfavorable y constituye un desconocimiento de sus derechos; es de elemental justicia que sea la parte privilegiada y fuerte, por su fácil acceso a los materiales probatorios en cuestión, quien deba asumir dicha carga procesal. Por eso, en materia de tutela, la regla no es “el que alega prueba”, sino “el que puede probar debe probar”, lo cual redistribuye la carga probatoria en beneficio de la protección de los derechos.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lang w:val="es-CO"/>
        </w:rPr>
        <w:t xml:space="preserve">Para la Sala, esta misma regla probatoria debe ser aplicada en los casos de las personas que prestan servicio militar y que alegan la existencia de una determinada vulneración de sus derechos fundamentales por parte de sus superiores, en particular cuando se trata de afirmaciones relativas a tratos crueles, inhumanos o degradantes. La situación de subordinación de estos individuos frente </w:t>
      </w:r>
      <w:r w:rsidRPr="00E10347">
        <w:rPr>
          <w:rFonts w:ascii="Palatino Linotype" w:hAnsi="Palatino Linotype"/>
          <w:sz w:val="21"/>
          <w:szCs w:val="21"/>
          <w:lang w:val="es-CO"/>
        </w:rPr>
        <w:lastRenderedPageBreak/>
        <w:t>a un aparato militar estructurado en forma jerárquica, hace virtualmente imposible para la persona que presta servicio militar obligatorio acceder a los materiales probatorios pertinentes”.</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lang w:val="es-CO"/>
        </w:rPr>
        <w:t xml:space="preserve">Otro ejemplo de inversión de la carga probatoria se predica de algunos sujetos de especial protección que se encuentra en condiciones de debilidad manifiesta, como en el caso de los portadores de VIH que reclaman una pensión (de quienes se presume su condición de dependencia económica), así como de ciertos actos de discriminación contra sujetos o grupos históricamente discriminados. </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lang w:val="es-CO"/>
        </w:rPr>
        <w:t xml:space="preserve">Este Tribunal también ha avalado la regulación probatoria de las acciones de grupo prevista en el artículo 30 de la ley 472 de 1998. Según la norma, aunque por regla general la carga corresponde al demandante, </w:t>
      </w:r>
      <w:r w:rsidRPr="00E10347">
        <w:rPr>
          <w:rFonts w:ascii="Palatino Linotype" w:hAnsi="Palatino Linotype"/>
          <w:i/>
          <w:iCs/>
          <w:sz w:val="21"/>
          <w:szCs w:val="21"/>
          <w:lang w:val="es-CO"/>
        </w:rPr>
        <w:t>“si por razones de orden económico o técnico dicha carga no pudiere ser cumplida, el juez impartirá las órdenes necesarias para suplir la deficiencia y obtener los elementos probatorios indispensables para proferir un fallo de mérito, solicitando dichos experticios probatorios a la entidad pública cuyo objeto esté referido al tema materia de debate y con cargo a ella”.</w:t>
      </w:r>
    </w:p>
    <w:p w:rsidR="002014CA" w:rsidRPr="00E10347" w:rsidRDefault="002014CA" w:rsidP="00E10347">
      <w:pPr>
        <w:ind w:firstLine="709"/>
        <w:jc w:val="both"/>
        <w:rPr>
          <w:rFonts w:ascii="Palatino Linotype" w:hAnsi="Palatino Linotype"/>
          <w:sz w:val="21"/>
          <w:szCs w:val="21"/>
        </w:rPr>
      </w:pPr>
      <w:r w:rsidRPr="00E10347">
        <w:rPr>
          <w:rFonts w:ascii="Palatino Linotype" w:hAnsi="Palatino Linotype"/>
          <w:sz w:val="21"/>
          <w:szCs w:val="21"/>
          <w:lang w:val="es-CO"/>
        </w:rPr>
        <w:t xml:space="preserve">De igual forma, ha aceptado que en el ejercicio de la acción de extinción de dominio tenga aplicación la teoría de la carga dinámica de la prueba. Al respecto, en la Sentencia C-740 de 2003 sostuvo: “De allí que al afectado con el ejercicio de la acción de extinción de dominio, </w:t>
      </w:r>
      <w:r w:rsidRPr="00E10347">
        <w:rPr>
          <w:rFonts w:ascii="Palatino Linotype" w:hAnsi="Palatino Linotype"/>
          <w:sz w:val="21"/>
          <w:szCs w:val="21"/>
          <w:u w:val="single"/>
          <w:lang w:val="es-CO"/>
        </w:rPr>
        <w:t>le sea aplicable la teoría de la carga dinámica de la prueba, de acuerdo con la cual quien está en mejores condiciones de probar un hecho, es quien debe aportar la prueba al proceso</w:t>
      </w:r>
      <w:r w:rsidRPr="00E10347">
        <w:rPr>
          <w:rFonts w:ascii="Palatino Linotype" w:hAnsi="Palatino Linotype"/>
          <w:sz w:val="21"/>
          <w:szCs w:val="21"/>
          <w:lang w:val="es-CO"/>
        </w:rPr>
        <w:t xml:space="preserve">. Así, en el caso de la acción de extinción de dominio, ya que el titular del dominio sobre los bienes es el que está en mejores condiciones de probar su origen lícito, es él quien debe aportar las pruebas que acrediten ese hecho y que desvirtúen el alcance de las pruebas practicadas por las autoridades estatales en relación con la ilícita procedencia de esos bienes.” (Resaltado fuera de texto) </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6.6.- Como corolario de lo expuesto puede afirmarse que, en términos abstractos, la teoría de la carga dinámica de la prueba no solo es plenamente compatible con la base axiológica de la Carta Política de 1991 y la función constitucional atribuida a los jueces como garantes de la tutela judicial efectiva, de la prevalencia del derecho sustancial y de su misión activa en la búsqueda y realización de un orden justo. Es también compatible con los principios de equidad, solidaridad y buena fe procesal, así como con los deberes de las partes de colaborar con el buen funcionamiento de la administración de justicia”.</w:t>
      </w:r>
    </w:p>
    <w:p w:rsidR="009A5379" w:rsidRDefault="009A5379" w:rsidP="00E10347">
      <w:pPr>
        <w:pStyle w:val="Sangradetextonormal"/>
        <w:spacing w:before="0" w:beforeAutospacing="0" w:after="0" w:afterAutospacing="0"/>
        <w:jc w:val="both"/>
        <w:rPr>
          <w:rFonts w:ascii="Palatino Linotype" w:hAnsi="Palatino Linotype" w:cs="Arial"/>
          <w:b/>
          <w:sz w:val="21"/>
          <w:szCs w:val="21"/>
          <w:lang w:val="es-ES"/>
        </w:rPr>
      </w:pPr>
    </w:p>
    <w:p w:rsidR="002014CA" w:rsidRPr="00E10347" w:rsidRDefault="002014CA" w:rsidP="00E10347">
      <w:pPr>
        <w:pStyle w:val="Sangradetextonormal"/>
        <w:spacing w:before="0" w:beforeAutospacing="0" w:after="0" w:afterAutospacing="0"/>
        <w:jc w:val="both"/>
        <w:rPr>
          <w:rFonts w:ascii="Palatino Linotype" w:hAnsi="Palatino Linotype" w:cs="Arial"/>
          <w:b/>
          <w:sz w:val="21"/>
          <w:szCs w:val="21"/>
          <w:lang w:val="es-ES"/>
        </w:rPr>
      </w:pPr>
      <w:r w:rsidRPr="00E10347">
        <w:rPr>
          <w:rFonts w:ascii="Palatino Linotype" w:hAnsi="Palatino Linotype" w:cs="Arial"/>
          <w:b/>
          <w:sz w:val="21"/>
          <w:szCs w:val="21"/>
          <w:lang w:val="es-ES"/>
        </w:rPr>
        <w:lastRenderedPageBreak/>
        <w:t>3.2. La relevancia del precedente denominado “Hühnerpesturteil” en materia de carga de la prueba en la responsabilidad civil por productos defectuosos</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En el capítulo primero de esta investigación se hizo referencia, dentro de la breve reseña histórica de la responsabilidad civil por productos defectuosos, al precedente del Derecho alemán conocido como “Hühnerpesturteil”.</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Esa sentencia, emitida en el año 1968, marcó un punto de inflexión en torno al tema de la carga de la prueba. Antes de ese veredicto, el damnificado por un producto defectuoso solamente tenía a disposición el régimen de la deliktische Produzentenhaftung, basado en el § 823 párrafo primero del Código Civil alemán. Desde esta perspectiva, siguiendo la doctrina clásica de la responsabilidad civil extracontractual subjetiva, el damnificado debía probar la culpa del fabricante, lo cual no era tarea sencilla y, por el contrario, en algunas ocasiones era una faena imposible para el perjudicado con el producto defectuoso.</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Por el contrario, a partir del “Hühnerpesturteil”, se produjo una inversión de la carga de la prueba (Beweislastumkehr) en los siguientes términos: El damnificado a raíz de un producto defectuoso no debía probar que el fabricante había causado el defecto de manera culposa, sino que le corresponde al fabricante la carga de la prueba de que él no actuó culposamente.</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El motivo de esta inversión de la carga de la prueba yace en que, de acuerdo con el Tribunal Federal de Casación alemán (Bundesgerichtshof), el damnificado, en términos generales, no puede procurarse la prueba de las circunstancias que acaecen en el proceso de producción de un determinado producto. Quien tiene mayor conocimiento de todas las fases del proceso de producción y mayor disposición, cercanía y posibilidad de probar bajo qué circunstancias se fabricó un determinado producto es, sin duda alguna, el fabricante</w:t>
      </w:r>
      <w:r w:rsidRPr="00E10347">
        <w:rPr>
          <w:rStyle w:val="Refdenotaalpie"/>
          <w:rFonts w:ascii="Palatino Linotype" w:eastAsiaTheme="majorEastAsia" w:hAnsi="Palatino Linotype" w:cs="Arial"/>
          <w:sz w:val="21"/>
          <w:szCs w:val="21"/>
        </w:rPr>
        <w:footnoteReference w:id="291"/>
      </w:r>
      <w:r w:rsidRPr="00E10347">
        <w:rPr>
          <w:rFonts w:ascii="Palatino Linotype" w:hAnsi="Palatino Linotype" w:cs="Arial"/>
          <w:sz w:val="21"/>
          <w:szCs w:val="21"/>
          <w:lang w:val="es-ES"/>
        </w:rPr>
        <w:t>.</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lastRenderedPageBreak/>
        <w:t>La consecuencia procesal inmediata de este cambio de paradigma fue, pues, que si el producto defectuoso causó daños al consumidor, la culpa del fabricante se presume, de manera relativa, salvo que él demuestre que no le asistió culpa alguna</w:t>
      </w:r>
      <w:r w:rsidRPr="00E10347">
        <w:rPr>
          <w:rStyle w:val="Refdenotaalpie"/>
          <w:rFonts w:ascii="Palatino Linotype" w:eastAsiaTheme="majorEastAsia" w:hAnsi="Palatino Linotype" w:cs="Arial"/>
          <w:sz w:val="21"/>
          <w:szCs w:val="21"/>
        </w:rPr>
        <w:footnoteReference w:id="292"/>
      </w:r>
      <w:r w:rsidRPr="00E10347">
        <w:rPr>
          <w:rFonts w:ascii="Palatino Linotype" w:hAnsi="Palatino Linotype" w:cs="Arial"/>
          <w:sz w:val="21"/>
          <w:szCs w:val="21"/>
          <w:lang w:val="es-ES"/>
        </w:rPr>
        <w:t>.</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La doctrina sobre la inversión de la carga de la prueba establecida a partir del “Hühnerpesturteil” no significó que ésta opere siempre de manera beneficiosa para el consumidor perjudicado por el producto defectuoso y siempre de manera perjudicial (o menos beneficiosa) para el fabricante. En realidad, lo correcto es que la inversión de la carga de la prueba en materia de responsabilidad por productos defectuosos opera de manera parcial</w:t>
      </w:r>
      <w:r w:rsidRPr="00E10347">
        <w:rPr>
          <w:rStyle w:val="Refdenotaalpie"/>
          <w:rFonts w:ascii="Palatino Linotype" w:eastAsiaTheme="majorEastAsia" w:hAnsi="Palatino Linotype" w:cs="Arial"/>
          <w:sz w:val="21"/>
          <w:szCs w:val="21"/>
        </w:rPr>
        <w:footnoteReference w:id="293"/>
      </w:r>
      <w:r w:rsidRPr="00E10347">
        <w:rPr>
          <w:rFonts w:ascii="Palatino Linotype" w:hAnsi="Palatino Linotype" w:cs="Arial"/>
          <w:sz w:val="21"/>
          <w:szCs w:val="21"/>
          <w:lang w:val="es-ES"/>
        </w:rPr>
        <w:t>, pues el tipo de defecto del producto (construcción, fabricación, instrucción y hasta la obligación de observación y vigilancia) juega un papel determinante en todo lo que atañe a la carga probatoria en el complejo campo de la responsabilidad civil por productos defectuosos</w:t>
      </w:r>
      <w:r w:rsidRPr="00E10347">
        <w:rPr>
          <w:rStyle w:val="Refdenotaalpie"/>
          <w:rFonts w:ascii="Palatino Linotype" w:eastAsiaTheme="majorEastAsia" w:hAnsi="Palatino Linotype" w:cs="Arial"/>
          <w:sz w:val="21"/>
          <w:szCs w:val="21"/>
        </w:rPr>
        <w:footnoteReference w:id="294"/>
      </w:r>
      <w:r w:rsidRPr="00E10347">
        <w:rPr>
          <w:rFonts w:ascii="Palatino Linotype" w:hAnsi="Palatino Linotype" w:cs="Arial"/>
          <w:sz w:val="21"/>
          <w:szCs w:val="21"/>
          <w:lang w:val="es-ES"/>
        </w:rPr>
        <w:t>.</w:t>
      </w:r>
    </w:p>
    <w:p w:rsidR="009A5379" w:rsidRDefault="009A5379" w:rsidP="00E10347">
      <w:pPr>
        <w:pStyle w:val="Sangradetextonormal"/>
        <w:spacing w:before="0" w:beforeAutospacing="0" w:after="0" w:afterAutospacing="0"/>
        <w:jc w:val="both"/>
        <w:rPr>
          <w:rFonts w:ascii="Palatino Linotype" w:hAnsi="Palatino Linotype" w:cs="Arial"/>
          <w:b/>
          <w:sz w:val="21"/>
          <w:szCs w:val="21"/>
          <w:lang w:val="es-ES"/>
        </w:rPr>
      </w:pPr>
    </w:p>
    <w:p w:rsidR="002014CA" w:rsidRPr="00E10347" w:rsidRDefault="002014CA" w:rsidP="00E10347">
      <w:pPr>
        <w:pStyle w:val="Sangradetextonormal"/>
        <w:spacing w:before="0" w:beforeAutospacing="0" w:after="0" w:afterAutospacing="0"/>
        <w:jc w:val="both"/>
        <w:rPr>
          <w:rFonts w:ascii="Palatino Linotype" w:hAnsi="Palatino Linotype" w:cs="Arial"/>
          <w:b/>
          <w:sz w:val="21"/>
          <w:szCs w:val="21"/>
          <w:lang w:val="es-ES"/>
        </w:rPr>
      </w:pPr>
      <w:r w:rsidRPr="00E10347">
        <w:rPr>
          <w:rFonts w:ascii="Palatino Linotype" w:hAnsi="Palatino Linotype" w:cs="Arial"/>
          <w:b/>
          <w:sz w:val="21"/>
          <w:szCs w:val="21"/>
          <w:lang w:val="es-ES"/>
        </w:rPr>
        <w:t>4. Carga de la prueba y carga dinámica de la prueba en la responsabilidad civil por productos defectuosos basada en el Código Civil alemán</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El damnificado tiene la carga de la prueba con respecto a los siguientes aspectos</w:t>
      </w:r>
      <w:r w:rsidRPr="00E10347">
        <w:rPr>
          <w:rStyle w:val="Refdenotaalpie"/>
          <w:rFonts w:ascii="Palatino Linotype" w:eastAsiaTheme="majorEastAsia" w:hAnsi="Palatino Linotype" w:cs="Arial"/>
          <w:sz w:val="21"/>
          <w:szCs w:val="21"/>
        </w:rPr>
        <w:footnoteReference w:id="295"/>
      </w:r>
      <w:r w:rsidRPr="00E10347">
        <w:rPr>
          <w:rFonts w:ascii="Palatino Linotype" w:hAnsi="Palatino Linotype" w:cs="Arial"/>
          <w:sz w:val="21"/>
          <w:szCs w:val="21"/>
          <w:lang w:val="es-ES"/>
        </w:rPr>
        <w:t>:</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b/>
          <w:sz w:val="21"/>
          <w:szCs w:val="21"/>
          <w:lang w:val="es-ES"/>
        </w:rPr>
        <w:t>4.1.</w:t>
      </w:r>
      <w:r w:rsidRPr="00E10347">
        <w:rPr>
          <w:rFonts w:ascii="Palatino Linotype" w:hAnsi="Palatino Linotype" w:cs="Arial"/>
          <w:sz w:val="21"/>
          <w:szCs w:val="21"/>
          <w:lang w:val="es-ES"/>
        </w:rPr>
        <w:t xml:space="preserve"> La existencia de un producto defectuoso, en sus modalidades de defecto de construcción, defecto de instrucción, defecto de fabricación, hecho por el fabricante o bien el incumplimiento de la obligación de observación y vigilancia por parte suya.</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b/>
          <w:sz w:val="21"/>
          <w:szCs w:val="21"/>
          <w:lang w:val="es-ES"/>
        </w:rPr>
        <w:lastRenderedPageBreak/>
        <w:t>4.2.</w:t>
      </w:r>
      <w:r w:rsidRPr="00E10347">
        <w:rPr>
          <w:rFonts w:ascii="Palatino Linotype" w:hAnsi="Palatino Linotype" w:cs="Arial"/>
          <w:sz w:val="21"/>
          <w:szCs w:val="21"/>
          <w:lang w:val="es-ES"/>
        </w:rPr>
        <w:t xml:space="preserve"> Lesión de uno de los bienes jurídicos que establece el § 823 párrafo primero del Código Civil alemán.</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b/>
          <w:sz w:val="21"/>
          <w:szCs w:val="21"/>
          <w:lang w:val="es-ES"/>
        </w:rPr>
        <w:t>4.3.</w:t>
      </w:r>
      <w:r w:rsidRPr="00E10347">
        <w:rPr>
          <w:rFonts w:ascii="Palatino Linotype" w:hAnsi="Palatino Linotype" w:cs="Arial"/>
          <w:sz w:val="21"/>
          <w:szCs w:val="21"/>
          <w:lang w:val="es-ES"/>
        </w:rPr>
        <w:t xml:space="preserve"> Daño infligido.</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b/>
          <w:sz w:val="21"/>
          <w:szCs w:val="21"/>
          <w:lang w:val="es-ES"/>
        </w:rPr>
        <w:t>4.4.</w:t>
      </w:r>
      <w:r w:rsidRPr="00E10347">
        <w:rPr>
          <w:rFonts w:ascii="Palatino Linotype" w:hAnsi="Palatino Linotype" w:cs="Arial"/>
          <w:sz w:val="21"/>
          <w:szCs w:val="21"/>
          <w:lang w:val="es-ES"/>
        </w:rPr>
        <w:t xml:space="preserve"> Nexo de causalidad, cuya debida configuración, según la doctrina alemana, debe observarse en dos niveles concurrentes:</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b/>
          <w:sz w:val="21"/>
          <w:szCs w:val="21"/>
          <w:lang w:val="es-ES"/>
        </w:rPr>
        <w:t>4.4.1.</w:t>
      </w:r>
      <w:r w:rsidRPr="00E10347">
        <w:rPr>
          <w:rFonts w:ascii="Palatino Linotype" w:hAnsi="Palatino Linotype" w:cs="Arial"/>
          <w:sz w:val="21"/>
          <w:szCs w:val="21"/>
          <w:lang w:val="es-ES"/>
        </w:rPr>
        <w:t xml:space="preserve"> Relación de causalidad entre el producto defectuoso y el bien jurídico lesionado (haftungsbegründende Kausalität) y;</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b/>
          <w:sz w:val="21"/>
          <w:szCs w:val="21"/>
          <w:lang w:val="es-ES"/>
        </w:rPr>
        <w:t>4.4.2.</w:t>
      </w:r>
      <w:r w:rsidRPr="00E10347">
        <w:rPr>
          <w:rFonts w:ascii="Palatino Linotype" w:hAnsi="Palatino Linotype" w:cs="Arial"/>
          <w:sz w:val="21"/>
          <w:szCs w:val="21"/>
          <w:lang w:val="es-ES"/>
        </w:rPr>
        <w:t xml:space="preserve"> Relación de causalidad entre el bien jurídico lesionado y el daño producido (haftungsausfüllende Kausalität).</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Por otra parte, con respecto a la culpa, como ya fue indicado anteriormente, se tiene que el fabricante debe demostrar que no actuó culposamente. Su culpa se presume, pues él supervisa la esfera de producción, define y organiza el proceso de fabricación y controla la entrega de los productos terminados.</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Para evitar y contrarrestar el juicio de culpabilidad que se cierne sobre el fabricante (presunción relativa de culpabilidad), él debe tomar todas las medidas razonables tendentes a eliminar los defectos que puedan tener sus productos. Esto implica un alto, eficiente y coordinado nivel de organización empresarial, el cual, si no reúne tales características, perfectamente podrían evidenciar la culpa del fabricante.</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De acuerdo con la doctrina alemana, una adecuada organización empresarial abarca las siguientes obligaciones</w:t>
      </w:r>
      <w:r w:rsidRPr="00E10347">
        <w:rPr>
          <w:rStyle w:val="Refdenotaalpie"/>
          <w:rFonts w:ascii="Palatino Linotype" w:eastAsiaTheme="majorEastAsia" w:hAnsi="Palatino Linotype" w:cs="Arial"/>
          <w:sz w:val="21"/>
          <w:szCs w:val="21"/>
        </w:rPr>
        <w:footnoteReference w:id="296"/>
      </w:r>
      <w:r w:rsidRPr="00E10347">
        <w:rPr>
          <w:rFonts w:ascii="Palatino Linotype" w:hAnsi="Palatino Linotype" w:cs="Arial"/>
          <w:sz w:val="21"/>
          <w:szCs w:val="21"/>
          <w:lang w:val="es-ES"/>
        </w:rPr>
        <w:t>:</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a) Claras, completas y comprensibles indicaciones sobre el trabajo que debe realizarse y la supervisión que debe hacerse.</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b) Debe instruirse a los empleados con los conocimientos más actualizados de la Ciencia y de la Técnica.</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c) Debe velarse porque los trabajadores gocen de tiempos de descanso adecuados.</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d) Debe contarse con un plan anticipado y razonable, tal que posibilite el reemplazo de trabajadores por motivo de enfermedad, incapacidad o vacaciones.</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e) Deben escogerse materiales no defectuosos, probar piezas o componentes o materias primas proveídos por otros sujetos y correcto empaque del producto elaborado.</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lastRenderedPageBreak/>
        <w:t>f) Debe darse claras, completas y correctas indicaciones a los proveedores de piezas o componentes.</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g) Debe contarse con aparatos de control de máquinas, piezas y materias primas, tales que estén al nivel del más reciente y nuevo estado de la Ciencia y de la Técnica.</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h) Debe contarse con maquinaria suficiente y de alto nivel técnico, que permita fabricar con seguridad.</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i) Los diferentes departamentos que participan en el proceso de producción, deben actuar de manera coordinada e intercambiar experiencias e información entre ellos.</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j) Debe haber una clara delimitación de las esferas de responsabilidad.</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k) Debe haber un departamento especializado e independiente que se encargue del control de calidad.</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l) Debe haber un departamento o sección de la organización empresarial que se encargue de la observación y vigilancia del producto, con posterioridad a que éste es introducido en el mercado. Tal sección debe vigilar y observar los productos fabricados por los competidores, estar atenta al mercado de accesorios, piezas y componentes que requiera el producto final, todo ello con el objetivo de detectar posteriores defectos del producto.</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m) Finalmente, en caso de que el producto fabricado fuese peligroso, podría ser necesario, dependiendo de la magnitud de la empresa fabricante, contar con un departamento de investigación.</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Dado que una adecuada y completa organización empresarial presupone el cumplimiento de las obligaciones antes indicadas, es que autores como Günter Christian Schwarz</w:t>
      </w:r>
      <w:r w:rsidRPr="00E10347">
        <w:rPr>
          <w:rStyle w:val="Refdenotaalpie"/>
          <w:rFonts w:ascii="Palatino Linotype" w:eastAsiaTheme="majorEastAsia" w:hAnsi="Palatino Linotype" w:cs="Arial"/>
          <w:sz w:val="21"/>
          <w:szCs w:val="21"/>
        </w:rPr>
        <w:footnoteReference w:id="297"/>
      </w:r>
      <w:r w:rsidRPr="00E10347">
        <w:rPr>
          <w:rFonts w:ascii="Palatino Linotype" w:hAnsi="Palatino Linotype" w:cs="Arial"/>
          <w:sz w:val="21"/>
          <w:szCs w:val="21"/>
          <w:lang w:val="es-ES"/>
        </w:rPr>
        <w:t xml:space="preserve"> han manifestado que, aunque la jurisprudencia alemana ha reconocido la llamada </w:t>
      </w:r>
      <w:r w:rsidRPr="00E10347">
        <w:rPr>
          <w:rFonts w:ascii="Palatino Linotype" w:hAnsi="Palatino Linotype" w:cs="Arial"/>
          <w:b/>
          <w:i/>
          <w:sz w:val="21"/>
          <w:szCs w:val="21"/>
          <w:lang w:val="es-ES"/>
        </w:rPr>
        <w:t>“dezentralisierte Entlastungsbeweis”</w:t>
      </w:r>
      <w:r w:rsidRPr="00E10347">
        <w:rPr>
          <w:rFonts w:ascii="Palatino Linotype" w:hAnsi="Palatino Linotype" w:cs="Arial"/>
          <w:sz w:val="21"/>
          <w:szCs w:val="21"/>
          <w:lang w:val="es-ES"/>
        </w:rPr>
        <w:t xml:space="preserve"> (§ 831 Abs. 1 S. 2 BGB), lo cierto del caso es que ésta, como forma de exoneración de responsabilidad civil particular, no prevalece sobre la llamada </w:t>
      </w:r>
      <w:r w:rsidRPr="00E10347">
        <w:rPr>
          <w:rFonts w:ascii="Palatino Linotype" w:hAnsi="Palatino Linotype" w:cs="Arial"/>
          <w:b/>
          <w:i/>
          <w:sz w:val="21"/>
          <w:szCs w:val="21"/>
          <w:lang w:val="es-ES"/>
        </w:rPr>
        <w:t>“Haftung wegen Organisationsverschuldens”</w:t>
      </w:r>
      <w:r w:rsidRPr="00E10347">
        <w:rPr>
          <w:rFonts w:ascii="Palatino Linotype" w:hAnsi="Palatino Linotype" w:cs="Arial"/>
          <w:sz w:val="21"/>
          <w:szCs w:val="21"/>
          <w:lang w:val="es-ES"/>
        </w:rPr>
        <w:t>, contemplada en el § 823 párrafo primero del Código Civil alemán.</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lastRenderedPageBreak/>
        <w:t>Con respecto a la aplicación de la carga dinámica de la prueba en materia de responsabilidad civil por productos defectuosos basada en el Código Civil alemán, tenemos los siguientes lineamientos</w:t>
      </w:r>
      <w:r w:rsidRPr="00E10347">
        <w:rPr>
          <w:rStyle w:val="Refdenotaalpie"/>
          <w:rFonts w:ascii="Palatino Linotype" w:eastAsiaTheme="majorEastAsia" w:hAnsi="Palatino Linotype" w:cs="Arial"/>
          <w:sz w:val="21"/>
          <w:szCs w:val="21"/>
        </w:rPr>
        <w:footnoteReference w:id="298"/>
      </w:r>
      <w:r w:rsidRPr="00E10347">
        <w:rPr>
          <w:rFonts w:ascii="Palatino Linotype" w:hAnsi="Palatino Linotype" w:cs="Arial"/>
          <w:sz w:val="21"/>
          <w:szCs w:val="21"/>
          <w:lang w:val="es-ES"/>
        </w:rPr>
        <w:t>:</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a) La demostración de un defecto en el producto presume la violación o transgresión, imputable al fabricante, de la obligación de seguridad del tráfico</w:t>
      </w:r>
      <w:r w:rsidRPr="00E10347">
        <w:rPr>
          <w:rStyle w:val="Refdenotaalpie"/>
          <w:rFonts w:ascii="Palatino Linotype" w:eastAsiaTheme="majorEastAsia" w:hAnsi="Palatino Linotype" w:cs="Arial"/>
          <w:sz w:val="21"/>
          <w:szCs w:val="21"/>
        </w:rPr>
        <w:footnoteReference w:id="299"/>
      </w:r>
      <w:r w:rsidRPr="00E10347">
        <w:rPr>
          <w:rFonts w:ascii="Palatino Linotype" w:hAnsi="Palatino Linotype" w:cs="Arial"/>
          <w:sz w:val="21"/>
          <w:szCs w:val="21"/>
          <w:lang w:val="es-ES"/>
        </w:rPr>
        <w:t xml:space="preserve"> y, al mismo tiempo, permite presumir la existencia de la relación de causalidad entre la lesión de la obligación de seguridad del tráfico y el defecto y la culpa del fabricante;</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b) En los casos de defectos de construcción y defectos de fabricación, el fabricante debe probar que el defecto no surgió como consecuencia del incumplimiento de una obligación de seguridad del tráfico, imputable a él y que no le asiste ninguna culpa.</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c) Cuando el producto presenta un defecto de instrucción, la carga de la prueba opera de la siguiente manera:</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c.1. Cuando el defecto de instrucción surgió a en el momento mismo de la introducción del producto en el mercado, es el fabricante quien debe demostrar que no incumplió ninguna obligación de seguridad del tráfico y que no actuó culposamente.</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De acuerdo con los autores alemanes Pott y Frieling, “el fabricante puede exonerarse de responsabilidad en la medida en que logre probar que no tenía fuentes de reconocimiento del defecto y que no pudo procurárselas, porque la necesidad de instrucción o advertencia no era reconocible para él”</w:t>
      </w:r>
      <w:r w:rsidRPr="00E10347">
        <w:rPr>
          <w:rStyle w:val="Refdenotaalpie"/>
          <w:rFonts w:ascii="Palatino Linotype" w:eastAsiaTheme="majorEastAsia" w:hAnsi="Palatino Linotype" w:cs="Arial"/>
          <w:sz w:val="21"/>
          <w:szCs w:val="21"/>
        </w:rPr>
        <w:footnoteReference w:id="300"/>
      </w:r>
      <w:r w:rsidRPr="00E10347">
        <w:rPr>
          <w:rFonts w:ascii="Palatino Linotype" w:hAnsi="Palatino Linotype" w:cs="Arial"/>
          <w:sz w:val="21"/>
          <w:szCs w:val="21"/>
          <w:lang w:val="es-ES"/>
        </w:rPr>
        <w:t>.</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c.2. Cuando el defecto de instrucción surge con posterioridad al momento en el cual el producto fue introducido al mercado, le corresponde al damnificado probar el incumplimiento de la obligación de seguridad, por parte del fabricante.</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 xml:space="preserve">d) En lo que respecta a la obligación de observación y vigilancia, la carga de la prueba tiene el mismo tratamiento que el defecto de instrucción, es decir, le corresponde al fabricante la carga de la prueba de que cumplió su obligación de </w:t>
      </w:r>
      <w:r w:rsidRPr="00E10347">
        <w:rPr>
          <w:rFonts w:ascii="Palatino Linotype" w:hAnsi="Palatino Linotype" w:cs="Arial"/>
          <w:sz w:val="21"/>
          <w:szCs w:val="21"/>
          <w:lang w:val="es-ES"/>
        </w:rPr>
        <w:lastRenderedPageBreak/>
        <w:t>observación y vigilancia del producto en el momento en el cual éste fue introducido en el mercado; por el contrario, le corresponde al damnificado la carga de la prueba de que, con posterioridad a la introducción del producto en el mercado, el fabricante incumplió su obligación de observar y vigilar el producto.</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e) Si el damnificado pretendiera exigirles responsabilidad civil, causada por el producto defectuoso, a los trabajadores del fabricante (Mitarbeiter des Herstellers), tiene la carga de la prueba con respecto a que ellos actuaron culposamente. No opera, pues, ninguna inversión de la carga de la prueba, salvo si el trabajador demandado fuese el Jefe de producción (Produktionsleiter)</w:t>
      </w:r>
      <w:r w:rsidRPr="00E10347">
        <w:rPr>
          <w:rStyle w:val="Refdenotaalpie"/>
          <w:rFonts w:ascii="Palatino Linotype" w:eastAsiaTheme="majorEastAsia" w:hAnsi="Palatino Linotype" w:cs="Arial"/>
          <w:sz w:val="21"/>
          <w:szCs w:val="21"/>
        </w:rPr>
        <w:footnoteReference w:id="301"/>
      </w:r>
      <w:r w:rsidRPr="00E10347">
        <w:rPr>
          <w:rFonts w:ascii="Palatino Linotype" w:hAnsi="Palatino Linotype" w:cs="Arial"/>
          <w:sz w:val="21"/>
          <w:szCs w:val="21"/>
          <w:lang w:val="es-ES"/>
        </w:rPr>
        <w:t>.</w:t>
      </w:r>
    </w:p>
    <w:p w:rsidR="009A5379" w:rsidRDefault="009A5379" w:rsidP="00E10347">
      <w:pPr>
        <w:pStyle w:val="Sangradetextonormal"/>
        <w:spacing w:before="0" w:beforeAutospacing="0" w:after="0" w:afterAutospacing="0"/>
        <w:jc w:val="both"/>
        <w:rPr>
          <w:rFonts w:ascii="Palatino Linotype" w:hAnsi="Palatino Linotype" w:cs="Arial"/>
          <w:b/>
          <w:sz w:val="21"/>
          <w:szCs w:val="21"/>
          <w:lang w:val="es-ES"/>
        </w:rPr>
      </w:pPr>
    </w:p>
    <w:p w:rsidR="002014CA" w:rsidRPr="00E10347" w:rsidRDefault="002014CA" w:rsidP="00E10347">
      <w:pPr>
        <w:pStyle w:val="Sangradetextonormal"/>
        <w:spacing w:before="0" w:beforeAutospacing="0" w:after="0" w:afterAutospacing="0"/>
        <w:jc w:val="both"/>
        <w:rPr>
          <w:rFonts w:ascii="Palatino Linotype" w:hAnsi="Palatino Linotype" w:cs="Arial"/>
          <w:b/>
          <w:sz w:val="21"/>
          <w:szCs w:val="21"/>
          <w:lang w:val="es-ES"/>
        </w:rPr>
      </w:pPr>
      <w:r w:rsidRPr="00E10347">
        <w:rPr>
          <w:rFonts w:ascii="Palatino Linotype" w:hAnsi="Palatino Linotype" w:cs="Arial"/>
          <w:b/>
          <w:sz w:val="21"/>
          <w:szCs w:val="21"/>
          <w:lang w:val="es-ES"/>
        </w:rPr>
        <w:t>5. Carga de la prueba y carga dinámica de la prueba basada en la ley especial alemana de responsabilidad civil por productos defectuosos.</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El damnificado tiene la carga de la prueba con respecto a lo siguiente:</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b/>
          <w:sz w:val="21"/>
          <w:szCs w:val="21"/>
          <w:lang w:val="es-ES"/>
        </w:rPr>
        <w:t>5.1.</w:t>
      </w:r>
      <w:r w:rsidRPr="00E10347">
        <w:rPr>
          <w:rFonts w:ascii="Palatino Linotype" w:hAnsi="Palatino Linotype" w:cs="Arial"/>
          <w:sz w:val="21"/>
          <w:szCs w:val="21"/>
          <w:lang w:val="es-ES"/>
        </w:rPr>
        <w:t xml:space="preserve"> El defecto del producto, en los términos en que así lo define el § 3 de la ProdhaftG</w:t>
      </w:r>
      <w:r w:rsidRPr="00E10347">
        <w:rPr>
          <w:rStyle w:val="Refdenotaalpie"/>
          <w:rFonts w:ascii="Palatino Linotype" w:eastAsiaTheme="majorEastAsia" w:hAnsi="Palatino Linotype" w:cs="Arial"/>
          <w:sz w:val="21"/>
          <w:szCs w:val="21"/>
        </w:rPr>
        <w:footnoteReference w:id="302"/>
      </w:r>
      <w:r w:rsidRPr="00E10347">
        <w:rPr>
          <w:rFonts w:ascii="Palatino Linotype" w:hAnsi="Palatino Linotype" w:cs="Arial"/>
          <w:sz w:val="21"/>
          <w:szCs w:val="21"/>
          <w:lang w:val="es-ES"/>
        </w:rPr>
        <w:t>.</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b/>
          <w:sz w:val="21"/>
          <w:szCs w:val="21"/>
          <w:lang w:val="es-ES"/>
        </w:rPr>
        <w:t>5.2.</w:t>
      </w:r>
      <w:r w:rsidRPr="00E10347">
        <w:rPr>
          <w:rFonts w:ascii="Palatino Linotype" w:hAnsi="Palatino Linotype" w:cs="Arial"/>
          <w:sz w:val="21"/>
          <w:szCs w:val="21"/>
          <w:lang w:val="es-ES"/>
        </w:rPr>
        <w:t xml:space="preserve"> El daño infligido y;</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b/>
          <w:sz w:val="21"/>
          <w:szCs w:val="21"/>
          <w:lang w:val="es-ES"/>
        </w:rPr>
        <w:t>5.3.</w:t>
      </w:r>
      <w:r w:rsidRPr="00E10347">
        <w:rPr>
          <w:rFonts w:ascii="Palatino Linotype" w:hAnsi="Palatino Linotype" w:cs="Arial"/>
          <w:sz w:val="21"/>
          <w:szCs w:val="21"/>
          <w:lang w:val="es-ES"/>
        </w:rPr>
        <w:t xml:space="preserve"> El nexo causal entre el defecto del producto y el daño infligido.</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Por su parte, los sujetos responsables por los daños y perjuicios causados por el producto defectuoso, es decir, el fabricante, el cuasi-fabricante, el importador y el suministrador, tienen la carga de la prueba con respecto a las causales de exoneración de responsabilidad civil, previstas, numerus clausus, de la relación que surge de los parágrafos 1 párrafo 2 y 3 de la ProdHaftG. Dichas causales son las siguientes:</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a) Si el fabricante no introdujo el producto en el tráfico jurídico (§ 1 Abs. 2 Nr. 1).</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b) Si cuando el producto fue introducido en el mercado no presentaba ningún defecto. (§ 1 Abs. 2 Nr. 2).</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lastRenderedPageBreak/>
        <w:t>c) Si la fabricación o comercialización del producto no perseguían fines comerciales o profesionales. (§ 1 Abs. 2 Nr. 3).</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d) Si la fabricación del producto se hizo con base en normas obligatorias. (§ 1 Abs. 2 Nr. 4).</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e) En los casos de los llamados “riesgos de desarrollo” (§ 1 Abs. 2 Nr. 5)</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f) El fabricante de una pieza o componente o de materias primas, puede liberarse de responsabilidad si prueba que cuando el fabricante final la incorporó en tal producto (o sea, el producto final), la pieza o componente o bien la materia prima no tenía defecto alguno o bien que el fabricante final le dio determinadas instrucciones que causaron el defecto de seguridad en la pieza o componente. (§ 1 Abs. 3).</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Con base en lo anterior, se colige que en la ley especial alemana de responsabilidad civil por productos defectuosos, no rige, realmente, la teoría de la carga dinámica de la prueba, pues los sujetos que pueden reclamar el resarcimiento de los daños y perjuicios y los sujetos contra quienes se puede deducir tal pretensión, tienen claramente determinados los aspectos que deben probar, sin que opere, de alguna manera, algún tipo de inversión de carga de la prueba que, en nuestro criterio, es, quizás, el efecto práctico más significativo de la teoría de la carga dinámica de la prueba.</w:t>
      </w:r>
    </w:p>
    <w:p w:rsidR="009A5379" w:rsidRDefault="009A5379" w:rsidP="00E10347">
      <w:pPr>
        <w:pStyle w:val="Sangradetextonormal"/>
        <w:spacing w:before="0" w:beforeAutospacing="0" w:after="0" w:afterAutospacing="0"/>
        <w:ind w:firstLine="709"/>
        <w:jc w:val="center"/>
        <w:rPr>
          <w:rFonts w:ascii="Palatino Linotype" w:hAnsi="Palatino Linotype" w:cs="Arial"/>
          <w:b/>
          <w:sz w:val="21"/>
          <w:szCs w:val="21"/>
          <w:u w:val="single"/>
          <w:lang w:val="es-ES"/>
        </w:rPr>
      </w:pPr>
    </w:p>
    <w:p w:rsidR="002014CA" w:rsidRPr="00E10347" w:rsidRDefault="002014CA" w:rsidP="00E10347">
      <w:pPr>
        <w:pStyle w:val="Sangradetextonormal"/>
        <w:spacing w:before="0" w:beforeAutospacing="0" w:after="0" w:afterAutospacing="0"/>
        <w:ind w:firstLine="709"/>
        <w:jc w:val="center"/>
        <w:rPr>
          <w:rFonts w:ascii="Palatino Linotype" w:hAnsi="Palatino Linotype" w:cs="Arial"/>
          <w:b/>
          <w:sz w:val="21"/>
          <w:szCs w:val="21"/>
          <w:u w:val="single"/>
          <w:lang w:val="es-ES"/>
        </w:rPr>
      </w:pPr>
      <w:r w:rsidRPr="00E10347">
        <w:rPr>
          <w:rFonts w:ascii="Palatino Linotype" w:hAnsi="Palatino Linotype" w:cs="Arial"/>
          <w:b/>
          <w:sz w:val="21"/>
          <w:szCs w:val="21"/>
          <w:u w:val="single"/>
          <w:lang w:val="es-ES"/>
        </w:rPr>
        <w:t>CONCLUSIONES</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La responsabilidad civil por productos defectuosos es un campo fértil para la aplicación de la teoría de la carga dinámica de la prueba, sobre todo en los casos en los cuales la pretensión de resarcimiento de daños y perjuicios se sustenta en las disposiciones del Código Civil que, tanto en Alemania, como también en Costa Rica, establecen un régimen de responsabilidad civil extracontractual subjetiva, cuyo criterio de imputación es la culpa del fabricante, la cual consiste en la violación o transgresión de alguna de sus amplias obligaciones de seguridad del tráfico, las cuales se extienden a todo lo largo del proceso de producción del producto que, a la postre, fue el que causó los daños y perjuicios al consumidor o usuario.</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 xml:space="preserve">Desde el punto de vista histórico, la responsabilidad civil por productos defectuosos ha tenido, como leitmotiv de su desarrollo, la protección al consumidor. Con base en ese postulado, la doctrina y la jurisprudencia internacionales se han esmerado por potenciar y analizar, con mayor interés e intensidad, la modalidad extracontractual de la responsabilidad civil por productos defectuosos. De esta </w:t>
      </w:r>
      <w:r w:rsidRPr="00E10347">
        <w:rPr>
          <w:rFonts w:ascii="Palatino Linotype" w:hAnsi="Palatino Linotype" w:cs="Arial"/>
          <w:sz w:val="21"/>
          <w:szCs w:val="21"/>
          <w:lang w:val="es-ES"/>
        </w:rPr>
        <w:lastRenderedPageBreak/>
        <w:t>manera, quedaron superados problemas y obstáculos que se les presentaban a los consumidores ansiosos de obtener la reparación de los daños causados por el producto defectuoso, tales como plazos de prescripción breves en el marco de la responsabilidad civil contractual o bien la imposibilidad de atribuirle culpa al comerciante de quien, en la mayoría de los casos, el consumidor damnificado había adquirido el producto con algún defecto de construcción, fabricación o instrucción.</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 xml:space="preserve">La teoría de la carga dinámica de la prueba opera, exclusivamente, en lo que a productos defectuosos se refiere, cuando la pretensión resarcitoria se sustenta en el régimen de responsabilidad civil extracontractual subjetiva que establece el § 823 párrafo primero del Código Civil alemán y el artículo 1045 del Código Civil costarricense y no opera siempre y totalmente en beneficio del damnificado, sino que, en sentido estricto, opera de modo parcial, pues depende del tipo específico de defecto del producto causante del daño y de los sujetos contra quienes se dirige el petitum resarcitorio. </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El principal aporte práctico y tangible que, en el campo que nos ocupa, ofrece la teoría de la carga dinámica de la prueba es, sin duda alguna, la inversión de la carga de la prueba sobre quien tiene mayores posibilidades y cercanía con el acervo probatorio. Es un verdadero acierto que el nuevo Código Procesal Civil de Costa Rica haya incorporado, de una manera genérica y abstracta, la teoría de la carga dinámica de la prueba, por cuanto, por influjo de la tecnología y la creciente estandarización y masificación de las relaciones jurídicas de Derecho Privado, hay ciertos subsectores en los cuales se constata una asimetría de las partes que, por esa razón, puede colocar, a la parte más débil, en una situación de difícil o imposible capacidad probatoria, lo cual puede conspirar contra el derecho a la reparación integral del daño, consagrado en el numeral 41 de la Constitución Política de Costa Rica.</w:t>
      </w:r>
    </w:p>
    <w:p w:rsidR="002014CA" w:rsidRPr="00E10347" w:rsidRDefault="002014CA" w:rsidP="00E10347">
      <w:pPr>
        <w:widowControl/>
        <w:autoSpaceDE/>
        <w:autoSpaceDN/>
        <w:adjustRightInd/>
        <w:rPr>
          <w:rFonts w:ascii="Palatino Linotype" w:eastAsia="Times New Roman" w:hAnsi="Palatino Linotype"/>
          <w:b/>
          <w:sz w:val="21"/>
          <w:szCs w:val="21"/>
          <w:u w:val="single"/>
          <w:lang w:val="es-CR" w:eastAsia="es-ES_tradnl"/>
        </w:rPr>
      </w:pPr>
      <w:r w:rsidRPr="00E10347">
        <w:rPr>
          <w:rFonts w:ascii="Palatino Linotype" w:hAnsi="Palatino Linotype"/>
          <w:b/>
          <w:sz w:val="21"/>
          <w:szCs w:val="21"/>
          <w:u w:val="single"/>
          <w:lang w:val="es-CR"/>
        </w:rPr>
        <w:br w:type="page"/>
      </w:r>
    </w:p>
    <w:p w:rsidR="002014CA" w:rsidRPr="00E10347" w:rsidRDefault="002014CA" w:rsidP="00E10347">
      <w:pPr>
        <w:pStyle w:val="Sangradetextonormal"/>
        <w:spacing w:before="0" w:beforeAutospacing="0" w:after="0" w:afterAutospacing="0"/>
        <w:ind w:firstLine="709"/>
        <w:jc w:val="center"/>
        <w:rPr>
          <w:rFonts w:ascii="Palatino Linotype" w:hAnsi="Palatino Linotype" w:cs="Arial"/>
          <w:b/>
          <w:sz w:val="21"/>
          <w:szCs w:val="21"/>
          <w:u w:val="single"/>
          <w:lang w:val="en-US"/>
        </w:rPr>
      </w:pPr>
      <w:r w:rsidRPr="00E10347">
        <w:rPr>
          <w:rFonts w:ascii="Palatino Linotype" w:hAnsi="Palatino Linotype" w:cs="Arial"/>
          <w:b/>
          <w:sz w:val="21"/>
          <w:szCs w:val="21"/>
          <w:u w:val="single"/>
          <w:lang w:val="en-US"/>
        </w:rPr>
        <w:lastRenderedPageBreak/>
        <w:t>BIBLIOGRAFÍA</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n-US"/>
        </w:rPr>
        <w:t xml:space="preserve">Belke, Rolf. </w:t>
      </w:r>
      <w:r w:rsidRPr="00E10347">
        <w:rPr>
          <w:rFonts w:ascii="Palatino Linotype" w:hAnsi="Palatino Linotype" w:cs="Arial"/>
          <w:b/>
          <w:sz w:val="21"/>
          <w:szCs w:val="21"/>
          <w:lang w:val="en-US"/>
        </w:rPr>
        <w:t>Prüfungstraining Zivilrecht. Band I: Fallbearbeitung und Anspruchsmethode</w:t>
      </w:r>
      <w:r w:rsidRPr="00E10347">
        <w:rPr>
          <w:rFonts w:ascii="Palatino Linotype" w:hAnsi="Palatino Linotype" w:cs="Arial"/>
          <w:sz w:val="21"/>
          <w:szCs w:val="21"/>
          <w:lang w:val="en-US"/>
        </w:rPr>
        <w:t xml:space="preserve">. </w:t>
      </w:r>
      <w:r w:rsidRPr="00E10347">
        <w:rPr>
          <w:rFonts w:ascii="Palatino Linotype" w:hAnsi="Palatino Linotype" w:cs="Arial"/>
          <w:sz w:val="21"/>
          <w:szCs w:val="21"/>
          <w:lang w:val="es-ES"/>
        </w:rPr>
        <w:t>2. Auflage, 1995.</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 xml:space="preserve">Bork, Reinhard. </w:t>
      </w:r>
      <w:r w:rsidRPr="00E10347">
        <w:rPr>
          <w:rFonts w:ascii="Palatino Linotype" w:hAnsi="Palatino Linotype" w:cs="Arial"/>
          <w:b/>
          <w:sz w:val="21"/>
          <w:szCs w:val="21"/>
          <w:lang w:val="es-ES"/>
        </w:rPr>
        <w:t>Allgemeiner Teil des Bürgerlichen Gesetzbuchs</w:t>
      </w:r>
      <w:r w:rsidRPr="00E10347">
        <w:rPr>
          <w:rFonts w:ascii="Palatino Linotype" w:hAnsi="Palatino Linotype" w:cs="Arial"/>
          <w:sz w:val="21"/>
          <w:szCs w:val="21"/>
          <w:lang w:val="es-ES"/>
        </w:rPr>
        <w:t>. 2 Auflage, 2006.</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 xml:space="preserve">Busto Lago, José Manuel y Reglero Campos, Luis Fernando. </w:t>
      </w:r>
      <w:r w:rsidRPr="00E10347">
        <w:rPr>
          <w:rFonts w:ascii="Palatino Linotype" w:hAnsi="Palatino Linotype" w:cs="Arial"/>
          <w:b/>
          <w:sz w:val="21"/>
          <w:szCs w:val="21"/>
          <w:lang w:val="es-ES"/>
        </w:rPr>
        <w:t>Tratado de responsabilidad civil. Tomo I</w:t>
      </w:r>
      <w:r w:rsidRPr="00E10347">
        <w:rPr>
          <w:rFonts w:ascii="Palatino Linotype" w:hAnsi="Palatino Linotype" w:cs="Arial"/>
          <w:sz w:val="21"/>
          <w:szCs w:val="21"/>
          <w:lang w:val="es-ES"/>
        </w:rPr>
        <w:t>. 5. ed., 2014.</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n-US"/>
        </w:rPr>
      </w:pPr>
      <w:r w:rsidRPr="00E10347">
        <w:rPr>
          <w:rFonts w:ascii="Palatino Linotype" w:hAnsi="Palatino Linotype" w:cs="Arial"/>
          <w:sz w:val="21"/>
          <w:szCs w:val="21"/>
          <w:lang w:val="en-US"/>
        </w:rPr>
        <w:t xml:space="preserve">Diederichsen, Uwe, </w:t>
      </w:r>
      <w:r w:rsidRPr="00E10347">
        <w:rPr>
          <w:rFonts w:ascii="Palatino Linotype" w:hAnsi="Palatino Linotype" w:cs="Arial"/>
          <w:b/>
          <w:sz w:val="21"/>
          <w:szCs w:val="21"/>
          <w:lang w:val="en-US"/>
        </w:rPr>
        <w:t>Wohin treibt die Produzentenhaftung?</w:t>
      </w:r>
      <w:r w:rsidRPr="00E10347">
        <w:rPr>
          <w:rFonts w:ascii="Palatino Linotype" w:hAnsi="Palatino Linotype" w:cs="Arial"/>
          <w:sz w:val="21"/>
          <w:szCs w:val="21"/>
          <w:lang w:val="en-US"/>
        </w:rPr>
        <w:t xml:space="preserve"> NJW 1978.</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n-US"/>
        </w:rPr>
      </w:pPr>
      <w:r w:rsidRPr="00E10347">
        <w:rPr>
          <w:rFonts w:ascii="Palatino Linotype" w:hAnsi="Palatino Linotype" w:cs="Arial"/>
          <w:sz w:val="21"/>
          <w:szCs w:val="21"/>
          <w:lang w:val="en-US"/>
        </w:rPr>
        <w:t xml:space="preserve">Eisenberg/Gildeggen/Reuter/Willburger. </w:t>
      </w:r>
      <w:r w:rsidRPr="00E10347">
        <w:rPr>
          <w:rFonts w:ascii="Palatino Linotype" w:hAnsi="Palatino Linotype" w:cs="Arial"/>
          <w:b/>
          <w:sz w:val="21"/>
          <w:szCs w:val="21"/>
          <w:lang w:val="en-US"/>
        </w:rPr>
        <w:t>Produkthaftung</w:t>
      </w:r>
      <w:r w:rsidRPr="00E10347">
        <w:rPr>
          <w:rFonts w:ascii="Palatino Linotype" w:hAnsi="Palatino Linotype" w:cs="Arial"/>
          <w:sz w:val="21"/>
          <w:szCs w:val="21"/>
          <w:lang w:val="en-US"/>
        </w:rPr>
        <w:t>. 2 Auflage, 2014.</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n-US"/>
        </w:rPr>
      </w:pPr>
      <w:r w:rsidRPr="00E10347">
        <w:rPr>
          <w:rFonts w:ascii="Palatino Linotype" w:hAnsi="Palatino Linotype" w:cs="Arial"/>
          <w:sz w:val="21"/>
          <w:szCs w:val="21"/>
          <w:lang w:val="en-US"/>
        </w:rPr>
        <w:t xml:space="preserve">Fuchs/Pauker, </w:t>
      </w:r>
      <w:r w:rsidRPr="00E10347">
        <w:rPr>
          <w:rFonts w:ascii="Palatino Linotype" w:hAnsi="Palatino Linotype" w:cs="Arial"/>
          <w:b/>
          <w:bCs/>
          <w:sz w:val="21"/>
          <w:szCs w:val="21"/>
          <w:lang w:val="en-US"/>
        </w:rPr>
        <w:t>Delikts- und Schadensersatzrecht</w:t>
      </w:r>
      <w:r w:rsidRPr="00E10347">
        <w:rPr>
          <w:rFonts w:ascii="Palatino Linotype" w:hAnsi="Palatino Linotype" w:cs="Arial"/>
          <w:sz w:val="21"/>
          <w:szCs w:val="21"/>
          <w:lang w:val="en-US"/>
        </w:rPr>
        <w:t>, 8. Auflage, 2012.</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n-US"/>
        </w:rPr>
      </w:pPr>
      <w:r w:rsidRPr="00E10347">
        <w:rPr>
          <w:rFonts w:ascii="Palatino Linotype" w:hAnsi="Palatino Linotype" w:cs="Arial"/>
          <w:sz w:val="21"/>
          <w:szCs w:val="21"/>
          <w:lang w:val="en-US"/>
        </w:rPr>
        <w:t xml:space="preserve">Landrock, Gisela, </w:t>
      </w:r>
      <w:r w:rsidRPr="00E10347">
        <w:rPr>
          <w:rFonts w:ascii="Palatino Linotype" w:hAnsi="Palatino Linotype" w:cs="Arial"/>
          <w:b/>
          <w:sz w:val="21"/>
          <w:szCs w:val="21"/>
          <w:lang w:val="en-US"/>
        </w:rPr>
        <w:t>Das Produkthaftungsrecht im Lichte neuerer Gesetzgebung und Rechtsprechung,</w:t>
      </w:r>
      <w:r w:rsidRPr="00E10347">
        <w:rPr>
          <w:rFonts w:ascii="Palatino Linotype" w:hAnsi="Palatino Linotype" w:cs="Arial"/>
          <w:sz w:val="21"/>
          <w:szCs w:val="21"/>
          <w:lang w:val="en-US"/>
        </w:rPr>
        <w:t xml:space="preserve"> JA 2003.</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rPr>
      </w:pPr>
      <w:r w:rsidRPr="00E10347">
        <w:rPr>
          <w:rFonts w:ascii="Palatino Linotype" w:hAnsi="Palatino Linotype" w:cs="Arial"/>
          <w:sz w:val="21"/>
          <w:szCs w:val="21"/>
        </w:rPr>
        <w:t xml:space="preserve">Lenz, Tobias, </w:t>
      </w:r>
      <w:r w:rsidRPr="00E10347">
        <w:rPr>
          <w:rFonts w:ascii="Palatino Linotype" w:hAnsi="Palatino Linotype" w:cs="Arial"/>
          <w:b/>
          <w:sz w:val="21"/>
          <w:szCs w:val="21"/>
        </w:rPr>
        <w:t>Produkthaftung</w:t>
      </w:r>
      <w:r w:rsidRPr="00E10347">
        <w:rPr>
          <w:rFonts w:ascii="Palatino Linotype" w:hAnsi="Palatino Linotype" w:cs="Arial"/>
          <w:sz w:val="21"/>
          <w:szCs w:val="21"/>
        </w:rPr>
        <w:t>, 2014.</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López Casal, Yuri. </w:t>
      </w:r>
      <w:r w:rsidRPr="00E10347">
        <w:rPr>
          <w:rFonts w:ascii="Palatino Linotype" w:hAnsi="Palatino Linotype" w:cs="Arial"/>
          <w:b/>
          <w:color w:val="auto"/>
          <w:sz w:val="21"/>
          <w:szCs w:val="21"/>
        </w:rPr>
        <w:t>La responsabilidad civil</w:t>
      </w:r>
      <w:r w:rsidRPr="00E10347">
        <w:rPr>
          <w:rFonts w:ascii="Palatino Linotype" w:hAnsi="Palatino Linotype" w:cs="Arial"/>
          <w:color w:val="auto"/>
          <w:sz w:val="21"/>
          <w:szCs w:val="21"/>
        </w:rPr>
        <w:t>, 2014.</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lang w:val="en-US"/>
        </w:rPr>
      </w:pPr>
      <w:r w:rsidRPr="00E10347">
        <w:rPr>
          <w:rFonts w:ascii="Palatino Linotype" w:hAnsi="Palatino Linotype" w:cs="Arial"/>
          <w:color w:val="auto"/>
          <w:sz w:val="21"/>
          <w:szCs w:val="21"/>
        </w:rPr>
        <w:t xml:space="preserve">Medicus, Dieter. </w:t>
      </w:r>
      <w:r w:rsidRPr="00E10347">
        <w:rPr>
          <w:rFonts w:ascii="Palatino Linotype" w:hAnsi="Palatino Linotype" w:cs="Arial"/>
          <w:b/>
          <w:color w:val="auto"/>
          <w:sz w:val="21"/>
          <w:szCs w:val="21"/>
          <w:lang w:val="en-US"/>
        </w:rPr>
        <w:t>Allgemeiner Teil des BGB</w:t>
      </w:r>
      <w:r w:rsidRPr="00E10347">
        <w:rPr>
          <w:rFonts w:ascii="Palatino Linotype" w:hAnsi="Palatino Linotype" w:cs="Arial"/>
          <w:color w:val="auto"/>
          <w:sz w:val="21"/>
          <w:szCs w:val="21"/>
          <w:lang w:val="en-US"/>
        </w:rPr>
        <w:t>. 8 Auflage, 2002.</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lang w:val="en-US"/>
        </w:rPr>
      </w:pPr>
      <w:r w:rsidRPr="00E10347">
        <w:rPr>
          <w:rFonts w:ascii="Palatino Linotype" w:hAnsi="Palatino Linotype" w:cs="Arial"/>
          <w:color w:val="auto"/>
          <w:sz w:val="21"/>
          <w:szCs w:val="21"/>
          <w:lang w:val="en-US"/>
        </w:rPr>
        <w:t xml:space="preserve">Medicus, Dieter. </w:t>
      </w:r>
      <w:r w:rsidRPr="00E10347">
        <w:rPr>
          <w:rFonts w:ascii="Palatino Linotype" w:hAnsi="Palatino Linotype" w:cs="Arial"/>
          <w:b/>
          <w:color w:val="auto"/>
          <w:sz w:val="21"/>
          <w:szCs w:val="21"/>
          <w:lang w:val="en-US"/>
        </w:rPr>
        <w:t>Schuldrecht I: Allgemeiner Teil</w:t>
      </w:r>
      <w:r w:rsidRPr="00E10347">
        <w:rPr>
          <w:rFonts w:ascii="Palatino Linotype" w:hAnsi="Palatino Linotype" w:cs="Arial"/>
          <w:color w:val="auto"/>
          <w:sz w:val="21"/>
          <w:szCs w:val="21"/>
          <w:lang w:val="en-US"/>
        </w:rPr>
        <w:t>. 16 Auflage, 2005</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lang w:val="en-US"/>
        </w:rPr>
      </w:pPr>
      <w:r w:rsidRPr="00E10347">
        <w:rPr>
          <w:rFonts w:ascii="Palatino Linotype" w:hAnsi="Palatino Linotype" w:cs="Arial"/>
          <w:color w:val="auto"/>
          <w:sz w:val="21"/>
          <w:szCs w:val="21"/>
          <w:lang w:val="en-US"/>
        </w:rPr>
        <w:t xml:space="preserve">Meyer, Justus, </w:t>
      </w:r>
      <w:r w:rsidRPr="00E10347">
        <w:rPr>
          <w:rFonts w:ascii="Palatino Linotype" w:hAnsi="Palatino Linotype" w:cs="Arial"/>
          <w:b/>
          <w:color w:val="auto"/>
          <w:sz w:val="21"/>
          <w:szCs w:val="21"/>
          <w:lang w:val="en-US"/>
        </w:rPr>
        <w:t>Instruktionshaftung</w:t>
      </w:r>
      <w:r w:rsidRPr="00E10347">
        <w:rPr>
          <w:rFonts w:ascii="Palatino Linotype" w:hAnsi="Palatino Linotype" w:cs="Arial"/>
          <w:color w:val="auto"/>
          <w:sz w:val="21"/>
          <w:szCs w:val="21"/>
          <w:lang w:val="en-US"/>
        </w:rPr>
        <w:t>, 1992.</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lang w:val="en-US"/>
        </w:rPr>
      </w:pPr>
      <w:r w:rsidRPr="00E10347">
        <w:rPr>
          <w:rFonts w:ascii="Palatino Linotype" w:hAnsi="Palatino Linotype" w:cs="Arial"/>
          <w:color w:val="auto"/>
          <w:sz w:val="21"/>
          <w:szCs w:val="21"/>
          <w:lang w:val="en-US"/>
        </w:rPr>
        <w:t xml:space="preserve">Michalski, Lutz, </w:t>
      </w:r>
      <w:r w:rsidRPr="00E10347">
        <w:rPr>
          <w:rFonts w:ascii="Palatino Linotype" w:hAnsi="Palatino Linotype" w:cs="Arial"/>
          <w:b/>
          <w:color w:val="auto"/>
          <w:sz w:val="21"/>
          <w:szCs w:val="21"/>
          <w:lang w:val="en-US"/>
        </w:rPr>
        <w:t>Das Produkthaftungsgesetz,</w:t>
      </w:r>
      <w:r w:rsidRPr="00E10347">
        <w:rPr>
          <w:rFonts w:ascii="Palatino Linotype" w:hAnsi="Palatino Linotype" w:cs="Arial"/>
          <w:color w:val="auto"/>
          <w:sz w:val="21"/>
          <w:szCs w:val="21"/>
          <w:lang w:val="en-US"/>
        </w:rPr>
        <w:t xml:space="preserve"> Jura 1995.</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Ortells Ramos, Manuel. </w:t>
      </w:r>
      <w:r w:rsidRPr="00E10347">
        <w:rPr>
          <w:rFonts w:ascii="Palatino Linotype" w:hAnsi="Palatino Linotype" w:cs="Arial"/>
          <w:b/>
          <w:color w:val="auto"/>
          <w:sz w:val="21"/>
          <w:szCs w:val="21"/>
        </w:rPr>
        <w:t>Derecho Procesal Civil</w:t>
      </w:r>
      <w:r w:rsidRPr="00E10347">
        <w:rPr>
          <w:rFonts w:ascii="Palatino Linotype" w:hAnsi="Palatino Linotype" w:cs="Arial"/>
          <w:color w:val="auto"/>
          <w:sz w:val="21"/>
          <w:szCs w:val="21"/>
        </w:rPr>
        <w:t>. 12. ed., 2013.</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Ortí Vallejo, Antonio y otros. </w:t>
      </w:r>
      <w:r w:rsidRPr="00E10347">
        <w:rPr>
          <w:rFonts w:ascii="Palatino Linotype" w:hAnsi="Palatino Linotype" w:cs="Arial"/>
          <w:b/>
          <w:color w:val="auto"/>
          <w:sz w:val="21"/>
          <w:szCs w:val="21"/>
        </w:rPr>
        <w:t>La responsabilidad civil por daños causados por servicios defectuosos</w:t>
      </w:r>
      <w:r w:rsidRPr="00E10347">
        <w:rPr>
          <w:rFonts w:ascii="Palatino Linotype" w:hAnsi="Palatino Linotype" w:cs="Arial"/>
          <w:color w:val="auto"/>
          <w:sz w:val="21"/>
          <w:szCs w:val="21"/>
        </w:rPr>
        <w:t>, 2006.</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lang w:val="en-US"/>
        </w:rPr>
      </w:pPr>
      <w:r w:rsidRPr="00E10347">
        <w:rPr>
          <w:rFonts w:ascii="Palatino Linotype" w:hAnsi="Palatino Linotype" w:cs="Arial"/>
          <w:color w:val="auto"/>
          <w:sz w:val="21"/>
          <w:szCs w:val="21"/>
          <w:lang w:val="en-US"/>
        </w:rPr>
        <w:t xml:space="preserve">Pott/Frieling, </w:t>
      </w:r>
      <w:r w:rsidRPr="00E10347">
        <w:rPr>
          <w:rFonts w:ascii="Palatino Linotype" w:hAnsi="Palatino Linotype" w:cs="Arial"/>
          <w:b/>
          <w:color w:val="auto"/>
          <w:sz w:val="21"/>
          <w:szCs w:val="21"/>
          <w:lang w:val="en-US"/>
        </w:rPr>
        <w:t>Produkthaftungsgesetz. Kommentar</w:t>
      </w:r>
      <w:r w:rsidRPr="00E10347">
        <w:rPr>
          <w:rFonts w:ascii="Palatino Linotype" w:hAnsi="Palatino Linotype" w:cs="Arial"/>
          <w:color w:val="auto"/>
          <w:sz w:val="21"/>
          <w:szCs w:val="21"/>
          <w:lang w:val="en-US"/>
        </w:rPr>
        <w:t>, 1992.</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lang w:val="en-US"/>
        </w:rPr>
        <w:t xml:space="preserve">Reinicke/Tiedtke, </w:t>
      </w:r>
      <w:r w:rsidRPr="00E10347">
        <w:rPr>
          <w:rFonts w:ascii="Palatino Linotype" w:hAnsi="Palatino Linotype" w:cs="Arial"/>
          <w:b/>
          <w:color w:val="auto"/>
          <w:sz w:val="21"/>
          <w:szCs w:val="21"/>
          <w:lang w:val="en-US"/>
        </w:rPr>
        <w:t>Kaufrecht,</w:t>
      </w:r>
      <w:r w:rsidRPr="00E10347">
        <w:rPr>
          <w:rFonts w:ascii="Palatino Linotype" w:hAnsi="Palatino Linotype" w:cs="Arial"/>
          <w:color w:val="auto"/>
          <w:sz w:val="21"/>
          <w:szCs w:val="21"/>
          <w:lang w:val="en-US"/>
        </w:rPr>
        <w:t xml:space="preserve"> 7. </w:t>
      </w:r>
      <w:r w:rsidRPr="00E10347">
        <w:rPr>
          <w:rFonts w:ascii="Palatino Linotype" w:hAnsi="Palatino Linotype" w:cs="Arial"/>
          <w:color w:val="auto"/>
          <w:sz w:val="21"/>
          <w:szCs w:val="21"/>
        </w:rPr>
        <w:t>Auflage, 2004.</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Rivero Sánchez, Juan Marcos. </w:t>
      </w:r>
      <w:r w:rsidRPr="00E10347">
        <w:rPr>
          <w:rFonts w:ascii="Palatino Linotype" w:hAnsi="Palatino Linotype" w:cs="Arial"/>
          <w:b/>
          <w:color w:val="auto"/>
          <w:sz w:val="21"/>
          <w:szCs w:val="21"/>
        </w:rPr>
        <w:t>Responsabilidad civil</w:t>
      </w:r>
      <w:r w:rsidRPr="00E10347">
        <w:rPr>
          <w:rFonts w:ascii="Palatino Linotype" w:hAnsi="Palatino Linotype" w:cs="Arial"/>
          <w:color w:val="auto"/>
          <w:sz w:val="21"/>
          <w:szCs w:val="21"/>
        </w:rPr>
        <w:t>. Tomo II. 2. ed., 2001.</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lang w:val="en-US"/>
        </w:rPr>
      </w:pPr>
      <w:r w:rsidRPr="00E10347">
        <w:rPr>
          <w:rFonts w:ascii="Palatino Linotype" w:hAnsi="Palatino Linotype" w:cs="Arial"/>
          <w:color w:val="auto"/>
          <w:sz w:val="21"/>
          <w:szCs w:val="21"/>
          <w:lang w:val="en-US"/>
        </w:rPr>
        <w:t xml:space="preserve">Schwarz, Günter Christian. </w:t>
      </w:r>
      <w:r w:rsidRPr="00E10347">
        <w:rPr>
          <w:rFonts w:ascii="Palatino Linotype" w:hAnsi="Palatino Linotype" w:cs="Arial"/>
          <w:b/>
          <w:color w:val="auto"/>
          <w:sz w:val="21"/>
          <w:szCs w:val="21"/>
          <w:lang w:val="en-US"/>
        </w:rPr>
        <w:t>Gesetzliche Schuldverhältnisse</w:t>
      </w:r>
      <w:r w:rsidRPr="00E10347">
        <w:rPr>
          <w:rFonts w:ascii="Palatino Linotype" w:hAnsi="Palatino Linotype" w:cs="Arial"/>
          <w:color w:val="auto"/>
          <w:sz w:val="21"/>
          <w:szCs w:val="21"/>
          <w:lang w:val="en-US"/>
        </w:rPr>
        <w:t>, 2003.</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lang w:val="en-US"/>
        </w:rPr>
      </w:pPr>
      <w:r w:rsidRPr="00E10347">
        <w:rPr>
          <w:rFonts w:ascii="Palatino Linotype" w:hAnsi="Palatino Linotype" w:cs="Arial"/>
          <w:color w:val="auto"/>
          <w:sz w:val="21"/>
          <w:szCs w:val="21"/>
          <w:lang w:val="en-US"/>
        </w:rPr>
        <w:t xml:space="preserve">Sossna, Ralf-Peter, </w:t>
      </w:r>
      <w:r w:rsidRPr="00E10347">
        <w:rPr>
          <w:rFonts w:ascii="Palatino Linotype" w:hAnsi="Palatino Linotype" w:cs="Arial"/>
          <w:b/>
          <w:color w:val="auto"/>
          <w:sz w:val="21"/>
          <w:szCs w:val="21"/>
          <w:lang w:val="en-US"/>
        </w:rPr>
        <w:t>Die Rechtsprechung des BGH zur Produkthaftung</w:t>
      </w:r>
      <w:r w:rsidRPr="00E10347">
        <w:rPr>
          <w:rFonts w:ascii="Palatino Linotype" w:hAnsi="Palatino Linotype" w:cs="Arial"/>
          <w:color w:val="auto"/>
          <w:sz w:val="21"/>
          <w:szCs w:val="21"/>
          <w:lang w:val="en-US"/>
        </w:rPr>
        <w:t>, Jura 1996.</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lang w:val="en-US"/>
        </w:rPr>
      </w:pPr>
      <w:r w:rsidRPr="00E10347">
        <w:rPr>
          <w:rFonts w:ascii="Palatino Linotype" w:hAnsi="Palatino Linotype" w:cs="Arial"/>
          <w:color w:val="auto"/>
          <w:sz w:val="21"/>
          <w:szCs w:val="21"/>
          <w:lang w:val="es-ES_tradnl"/>
        </w:rPr>
        <w:t xml:space="preserve">Tapia Fernández Isabel. </w:t>
      </w:r>
      <w:r w:rsidRPr="00E10347">
        <w:rPr>
          <w:rFonts w:ascii="Palatino Linotype" w:hAnsi="Palatino Linotype" w:cs="Arial"/>
          <w:b/>
          <w:color w:val="auto"/>
          <w:sz w:val="21"/>
          <w:szCs w:val="21"/>
          <w:lang w:val="es-ES_tradnl"/>
        </w:rPr>
        <w:t>El tratamiento en el proceso del concurso de acciones de responsabilidad civil contractual y extracontractual</w:t>
      </w:r>
      <w:r w:rsidRPr="00E10347">
        <w:rPr>
          <w:rFonts w:ascii="Palatino Linotype" w:hAnsi="Palatino Linotype" w:cs="Arial"/>
          <w:color w:val="auto"/>
          <w:sz w:val="21"/>
          <w:szCs w:val="21"/>
          <w:lang w:val="es-ES_tradnl"/>
        </w:rPr>
        <w:t xml:space="preserve">. Consejo General del Poder Judicial de España, en “Cuadernos y estudios de Derecho Judicial. </w:t>
      </w:r>
      <w:r w:rsidRPr="00E10347">
        <w:rPr>
          <w:rFonts w:ascii="Palatino Linotype" w:hAnsi="Palatino Linotype" w:cs="Arial"/>
          <w:color w:val="auto"/>
          <w:sz w:val="21"/>
          <w:szCs w:val="21"/>
          <w:lang w:val="en-US"/>
        </w:rPr>
        <w:t>Responsabilidad civil”, 19/1993.</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lang w:val="en-US"/>
        </w:rPr>
        <w:t xml:space="preserve">Taschner Hans Claudius/Frietsch, Edwin, </w:t>
      </w:r>
      <w:r w:rsidRPr="00E10347">
        <w:rPr>
          <w:rFonts w:ascii="Palatino Linotype" w:hAnsi="Palatino Linotype" w:cs="Arial"/>
          <w:b/>
          <w:color w:val="auto"/>
          <w:sz w:val="21"/>
          <w:szCs w:val="21"/>
          <w:lang w:val="en-US"/>
        </w:rPr>
        <w:t>Produkthaftungsgesetz und EG-Produkthaftungsrichtlinie</w:t>
      </w:r>
      <w:r w:rsidRPr="00E10347">
        <w:rPr>
          <w:rFonts w:ascii="Palatino Linotype" w:hAnsi="Palatino Linotype" w:cs="Arial"/>
          <w:color w:val="auto"/>
          <w:sz w:val="21"/>
          <w:szCs w:val="21"/>
          <w:lang w:val="en-US"/>
        </w:rPr>
        <w:t xml:space="preserve">, 2. </w:t>
      </w:r>
      <w:r w:rsidRPr="00E10347">
        <w:rPr>
          <w:rFonts w:ascii="Palatino Linotype" w:hAnsi="Palatino Linotype" w:cs="Arial"/>
          <w:color w:val="auto"/>
          <w:sz w:val="21"/>
          <w:szCs w:val="21"/>
        </w:rPr>
        <w:t>Auflage, 1990.</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lastRenderedPageBreak/>
        <w:t xml:space="preserve">Velásquez Posada, Obdulio. </w:t>
      </w:r>
      <w:r w:rsidRPr="00E10347">
        <w:rPr>
          <w:rFonts w:ascii="Palatino Linotype" w:hAnsi="Palatino Linotype" w:cs="Arial"/>
          <w:b/>
          <w:color w:val="auto"/>
          <w:sz w:val="21"/>
          <w:szCs w:val="21"/>
        </w:rPr>
        <w:t>La prohibición de opción entre responsabilidad contractual y extracontractual en el caso Cárdenas Lalinde</w:t>
      </w:r>
      <w:r w:rsidRPr="00E10347">
        <w:rPr>
          <w:rFonts w:ascii="Palatino Linotype" w:hAnsi="Palatino Linotype" w:cs="Arial"/>
          <w:color w:val="auto"/>
          <w:sz w:val="21"/>
          <w:szCs w:val="21"/>
        </w:rPr>
        <w:t>. En: Revistas IARCE, Año 22, octubre de 2007.</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von Hippel, Eike, </w:t>
      </w:r>
      <w:r w:rsidRPr="00E10347">
        <w:rPr>
          <w:rFonts w:ascii="Palatino Linotype" w:hAnsi="Palatino Linotype" w:cs="Arial"/>
          <w:b/>
          <w:color w:val="auto"/>
          <w:sz w:val="21"/>
          <w:szCs w:val="21"/>
        </w:rPr>
        <w:t>Produkthaftung und Verbraucherschutz,</w:t>
      </w:r>
      <w:r w:rsidRPr="00E10347">
        <w:rPr>
          <w:rFonts w:ascii="Palatino Linotype" w:hAnsi="Palatino Linotype" w:cs="Arial"/>
          <w:color w:val="auto"/>
          <w:sz w:val="21"/>
          <w:szCs w:val="21"/>
        </w:rPr>
        <w:t xml:space="preserve"> BB 1978. </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lang w:val="en-US"/>
        </w:rPr>
      </w:pPr>
      <w:r w:rsidRPr="00E10347">
        <w:rPr>
          <w:rFonts w:ascii="Palatino Linotype" w:hAnsi="Palatino Linotype" w:cs="Arial"/>
          <w:color w:val="auto"/>
          <w:sz w:val="21"/>
          <w:szCs w:val="21"/>
          <w:lang w:val="en-US"/>
        </w:rPr>
        <w:t xml:space="preserve">Wieckhorst, Thomas, </w:t>
      </w:r>
      <w:r w:rsidRPr="00E10347">
        <w:rPr>
          <w:rFonts w:ascii="Palatino Linotype" w:hAnsi="Palatino Linotype" w:cs="Arial"/>
          <w:b/>
          <w:color w:val="auto"/>
          <w:sz w:val="21"/>
          <w:szCs w:val="21"/>
          <w:lang w:val="en-US"/>
        </w:rPr>
        <w:t>Von Produzentenfehler zum Produktfehler des § 3 ProdHaftG</w:t>
      </w:r>
      <w:r w:rsidRPr="00E10347">
        <w:rPr>
          <w:rFonts w:ascii="Palatino Linotype" w:hAnsi="Palatino Linotype" w:cs="Arial"/>
          <w:color w:val="auto"/>
          <w:sz w:val="21"/>
          <w:szCs w:val="21"/>
          <w:lang w:val="en-US"/>
        </w:rPr>
        <w:t>, VersR 95</w:t>
      </w:r>
    </w:p>
    <w:p w:rsidR="002014CA" w:rsidRPr="00E10347" w:rsidRDefault="002014CA" w:rsidP="00E10347">
      <w:pPr>
        <w:pStyle w:val="Textonotapie"/>
        <w:ind w:firstLine="709"/>
        <w:jc w:val="both"/>
        <w:rPr>
          <w:rFonts w:ascii="Palatino Linotype" w:hAnsi="Palatino Linotype"/>
          <w:sz w:val="21"/>
          <w:szCs w:val="21"/>
          <w:lang w:val="en-US"/>
        </w:rPr>
      </w:pPr>
    </w:p>
    <w:p w:rsidR="00206DF2" w:rsidRDefault="00206DF2" w:rsidP="00206DF2">
      <w:pPr>
        <w:pStyle w:val="Textonotapie"/>
        <w:tabs>
          <w:tab w:val="left" w:pos="2290"/>
        </w:tabs>
        <w:ind w:firstLine="709"/>
        <w:jc w:val="both"/>
        <w:rPr>
          <w:rFonts w:ascii="Palatino Linotype" w:hAnsi="Palatino Linotype"/>
          <w:sz w:val="21"/>
          <w:szCs w:val="21"/>
          <w:lang w:val="en-US"/>
        </w:rPr>
      </w:pPr>
      <w:r>
        <w:rPr>
          <w:rFonts w:ascii="Palatino Linotype" w:hAnsi="Palatino Linotype"/>
          <w:sz w:val="21"/>
          <w:szCs w:val="21"/>
          <w:lang w:val="en-US"/>
        </w:rPr>
        <w:tab/>
      </w:r>
    </w:p>
    <w:p w:rsidR="002014CA" w:rsidRPr="00206DF2" w:rsidRDefault="00206DF2" w:rsidP="00206DF2">
      <w:pPr>
        <w:tabs>
          <w:tab w:val="left" w:pos="1070"/>
          <w:tab w:val="left" w:pos="2290"/>
        </w:tabs>
        <w:rPr>
          <w:lang w:val="en-US"/>
        </w:rPr>
        <w:sectPr w:rsidR="002014CA" w:rsidRPr="00206DF2" w:rsidSect="00FC1DF6">
          <w:headerReference w:type="even" r:id="rId28"/>
          <w:headerReference w:type="default" r:id="rId29"/>
          <w:type w:val="oddPage"/>
          <w:pgSz w:w="12240" w:h="15840" w:code="1"/>
          <w:pgMar w:top="1667" w:right="851" w:bottom="4253" w:left="3686" w:header="1021" w:footer="3005" w:gutter="0"/>
          <w:cols w:space="708"/>
          <w:titlePg/>
          <w:docGrid w:linePitch="360"/>
        </w:sectPr>
      </w:pPr>
      <w:r>
        <w:rPr>
          <w:lang w:val="en-US"/>
        </w:rPr>
        <w:tab/>
      </w:r>
      <w:r>
        <w:rPr>
          <w:lang w:val="en-US"/>
        </w:rPr>
        <w:tab/>
      </w:r>
    </w:p>
    <w:p w:rsidR="002014CA" w:rsidRPr="00E10347" w:rsidRDefault="00206DF2" w:rsidP="00206DF2">
      <w:pPr>
        <w:pStyle w:val="Textonotapie"/>
        <w:tabs>
          <w:tab w:val="left" w:pos="1890"/>
        </w:tabs>
        <w:ind w:firstLine="709"/>
        <w:jc w:val="both"/>
        <w:rPr>
          <w:rFonts w:ascii="Palatino Linotype" w:hAnsi="Palatino Linotype"/>
          <w:sz w:val="21"/>
          <w:szCs w:val="21"/>
          <w:lang w:val="en-US"/>
        </w:rPr>
      </w:pPr>
      <w:r>
        <w:rPr>
          <w:rFonts w:ascii="Palatino Linotype" w:hAnsi="Palatino Linotype"/>
          <w:sz w:val="21"/>
          <w:szCs w:val="21"/>
          <w:lang w:val="en-US"/>
        </w:rPr>
        <w:lastRenderedPageBreak/>
        <w:tab/>
      </w:r>
    </w:p>
    <w:p w:rsidR="00563A13" w:rsidRPr="00E10347" w:rsidRDefault="00563A13" w:rsidP="00E10347">
      <w:pPr>
        <w:pStyle w:val="Ttulo1"/>
        <w:spacing w:before="0"/>
        <w:ind w:firstLine="709"/>
        <w:jc w:val="center"/>
        <w:rPr>
          <w:rFonts w:ascii="Palatino Linotype" w:eastAsia="Times New Roman" w:hAnsi="Palatino Linotype"/>
          <w:color w:val="auto"/>
          <w:sz w:val="21"/>
          <w:szCs w:val="21"/>
          <w:lang w:val="es-CR"/>
        </w:rPr>
      </w:pPr>
      <w:bookmarkStart w:id="27" w:name="_Hlk479196601"/>
      <w:r w:rsidRPr="00E10347">
        <w:rPr>
          <w:rFonts w:ascii="Palatino Linotype" w:eastAsia="Times New Roman" w:hAnsi="Palatino Linotype"/>
          <w:color w:val="auto"/>
          <w:sz w:val="21"/>
          <w:szCs w:val="21"/>
          <w:lang w:val="es-CR"/>
        </w:rPr>
        <w:t>Las medidas cautelares</w:t>
      </w:r>
      <w:bookmarkEnd w:id="0"/>
      <w:r w:rsidR="0035457D" w:rsidRPr="00E10347">
        <w:rPr>
          <w:rFonts w:ascii="Palatino Linotype" w:eastAsia="Times New Roman" w:hAnsi="Palatino Linotype"/>
          <w:color w:val="auto"/>
          <w:sz w:val="21"/>
          <w:szCs w:val="21"/>
          <w:lang w:val="es-CR"/>
        </w:rPr>
        <w:t xml:space="preserve"> y cálculo probatorio.</w:t>
      </w:r>
    </w:p>
    <w:p w:rsidR="00563A13" w:rsidRPr="00E10347" w:rsidRDefault="00563A13" w:rsidP="00E10347">
      <w:pPr>
        <w:pStyle w:val="Ttulo1"/>
        <w:spacing w:before="0"/>
        <w:ind w:firstLine="709"/>
        <w:jc w:val="center"/>
        <w:rPr>
          <w:rFonts w:ascii="Palatino Linotype" w:eastAsia="Times New Roman" w:hAnsi="Palatino Linotype"/>
          <w:color w:val="auto"/>
          <w:sz w:val="21"/>
          <w:szCs w:val="21"/>
          <w:lang w:val="es-CR"/>
        </w:rPr>
      </w:pPr>
      <w:bookmarkStart w:id="28" w:name="_Toc478576407"/>
      <w:r w:rsidRPr="00E10347">
        <w:rPr>
          <w:rFonts w:ascii="Palatino Linotype" w:eastAsia="Times New Roman" w:hAnsi="Palatino Linotype"/>
          <w:color w:val="auto"/>
          <w:sz w:val="21"/>
          <w:szCs w:val="21"/>
          <w:lang w:val="es-CR"/>
        </w:rPr>
        <w:t>En el nuevo Código Procesal Civil</w:t>
      </w:r>
      <w:bookmarkEnd w:id="28"/>
    </w:p>
    <w:p w:rsidR="005506ED" w:rsidRPr="00E10347" w:rsidRDefault="005506ED" w:rsidP="00E10347">
      <w:pPr>
        <w:ind w:firstLine="709"/>
        <w:jc w:val="right"/>
        <w:rPr>
          <w:rFonts w:ascii="Palatino Linotype" w:eastAsia="Times New Roman" w:hAnsi="Palatino Linotype"/>
          <w:b/>
          <w:sz w:val="21"/>
          <w:szCs w:val="21"/>
          <w:lang w:val="es-CR"/>
        </w:rPr>
      </w:pPr>
      <w:r w:rsidRPr="00E10347">
        <w:rPr>
          <w:rFonts w:ascii="Palatino Linotype" w:eastAsia="Times New Roman" w:hAnsi="Palatino Linotype"/>
          <w:b/>
          <w:sz w:val="21"/>
          <w:szCs w:val="21"/>
          <w:lang w:val="es-CR"/>
        </w:rPr>
        <w:t>Dr. Farith Suárez</w:t>
      </w:r>
      <w:bookmarkEnd w:id="27"/>
    </w:p>
    <w:p w:rsidR="00A22DC1" w:rsidRDefault="00A22DC1" w:rsidP="00E10347">
      <w:pPr>
        <w:pStyle w:val="Ttulo2"/>
        <w:spacing w:before="0"/>
        <w:rPr>
          <w:rFonts w:ascii="Palatino Linotype" w:eastAsia="Times New Roman" w:hAnsi="Palatino Linotype"/>
          <w:color w:val="auto"/>
          <w:sz w:val="21"/>
          <w:szCs w:val="21"/>
          <w:lang w:val="es-CR"/>
        </w:rPr>
      </w:pPr>
      <w:bookmarkStart w:id="29" w:name="_Toc478576408"/>
    </w:p>
    <w:p w:rsidR="008A0E38" w:rsidRDefault="008A0E38" w:rsidP="008A0E38">
      <w:pPr>
        <w:rPr>
          <w:rFonts w:ascii="Palatino Linotype" w:eastAsia="Times New Roman" w:hAnsi="Palatino Linotype"/>
          <w:sz w:val="21"/>
          <w:szCs w:val="21"/>
          <w:lang w:val="es-CR"/>
        </w:rPr>
      </w:pPr>
      <w:r w:rsidRPr="00D1279A">
        <w:rPr>
          <w:rFonts w:ascii="Palatino Linotype" w:eastAsia="Times New Roman" w:hAnsi="Palatino Linotype"/>
          <w:sz w:val="21"/>
          <w:szCs w:val="21"/>
        </w:rPr>
        <w:t xml:space="preserve">SUMARIO: </w:t>
      </w:r>
      <w:r w:rsidRPr="00D1279A">
        <w:rPr>
          <w:rFonts w:ascii="Palatino Linotype" w:eastAsia="Times New Roman" w:hAnsi="Palatino Linotype"/>
          <w:sz w:val="21"/>
          <w:szCs w:val="21"/>
          <w:lang w:val="es-CR"/>
        </w:rPr>
        <w:t>A modo de introducción</w:t>
      </w:r>
      <w:r w:rsidRPr="00D1279A">
        <w:rPr>
          <w:rFonts w:ascii="Palatino Linotype" w:eastAsia="Times New Roman" w:hAnsi="Palatino Linotype"/>
          <w:sz w:val="21"/>
          <w:szCs w:val="21"/>
        </w:rPr>
        <w:t xml:space="preserve">.  </w:t>
      </w:r>
      <w:r w:rsidRPr="00D1279A">
        <w:rPr>
          <w:rFonts w:ascii="Palatino Linotype" w:eastAsia="Times New Roman" w:hAnsi="Palatino Linotype"/>
          <w:sz w:val="21"/>
          <w:szCs w:val="21"/>
          <w:lang w:val="es-CR"/>
        </w:rPr>
        <w:t>1.- Conceptualización</w:t>
      </w:r>
      <w:r w:rsidRPr="00D1279A">
        <w:rPr>
          <w:rFonts w:ascii="Palatino Linotype" w:eastAsia="Times New Roman" w:hAnsi="Palatino Linotype"/>
          <w:sz w:val="21"/>
          <w:szCs w:val="21"/>
        </w:rPr>
        <w:t xml:space="preserve">.  </w:t>
      </w:r>
      <w:r w:rsidRPr="00D1279A">
        <w:rPr>
          <w:rFonts w:ascii="Palatino Linotype" w:eastAsia="Times New Roman" w:hAnsi="Palatino Linotype"/>
          <w:sz w:val="21"/>
          <w:szCs w:val="21"/>
          <w:lang w:val="es-CR"/>
        </w:rPr>
        <w:t>2.- Objetivo</w:t>
      </w:r>
      <w:r w:rsidRPr="00D1279A">
        <w:rPr>
          <w:rFonts w:ascii="Palatino Linotype" w:eastAsia="Times New Roman" w:hAnsi="Palatino Linotype"/>
          <w:sz w:val="21"/>
          <w:szCs w:val="21"/>
        </w:rPr>
        <w:t xml:space="preserve">.  </w:t>
      </w:r>
      <w:r w:rsidRPr="00D1279A">
        <w:rPr>
          <w:rFonts w:ascii="Palatino Linotype" w:hAnsi="Palatino Linotype"/>
          <w:sz w:val="21"/>
          <w:szCs w:val="21"/>
        </w:rPr>
        <w:t xml:space="preserve">3.- Características.  a.- Carácter aseguratorio.  b.- Instrumentalidad.  c.- Adaptables y mutables.  d.- Provisionales.  </w:t>
      </w:r>
      <w:r w:rsidRPr="00D1279A">
        <w:rPr>
          <w:rFonts w:ascii="Palatino Linotype" w:hAnsi="Palatino Linotype"/>
          <w:sz w:val="21"/>
          <w:szCs w:val="21"/>
          <w:lang w:val="es-CR"/>
        </w:rPr>
        <w:t xml:space="preserve">e.-  Proporcionales.  </w:t>
      </w:r>
      <w:r w:rsidRPr="00D1279A">
        <w:rPr>
          <w:rFonts w:ascii="Palatino Linotype" w:hAnsi="Palatino Linotype"/>
          <w:sz w:val="21"/>
          <w:szCs w:val="21"/>
        </w:rPr>
        <w:t xml:space="preserve">4.- Presupuestos de las medidas cautelares.  </w:t>
      </w:r>
      <w:r w:rsidRPr="00D1279A">
        <w:rPr>
          <w:rFonts w:ascii="Palatino Linotype" w:eastAsia="Times New Roman" w:hAnsi="Palatino Linotype"/>
          <w:sz w:val="21"/>
          <w:szCs w:val="21"/>
          <w:lang w:val="es-CR"/>
        </w:rPr>
        <w:t xml:space="preserve">a.- Presupuestos procesales de admisibilidad.  </w:t>
      </w:r>
      <w:r w:rsidRPr="00D1279A">
        <w:rPr>
          <w:rFonts w:ascii="Palatino Linotype" w:hAnsi="Palatino Linotype"/>
          <w:sz w:val="21"/>
          <w:szCs w:val="21"/>
        </w:rPr>
        <w:t xml:space="preserve">i.- Se solicitan a instancia de parte.  ii.- Pendencia respecto al proceso principal.  iii.- Jurisdicción y competencia.  iv.- Otros aspectos generales.  </w:t>
      </w:r>
      <w:r w:rsidRPr="00D1279A">
        <w:rPr>
          <w:rFonts w:ascii="Palatino Linotype" w:eastAsia="Times New Roman" w:hAnsi="Palatino Linotype"/>
          <w:sz w:val="21"/>
          <w:szCs w:val="21"/>
          <w:lang w:val="es-CR"/>
        </w:rPr>
        <w:t xml:space="preserve">b.- Presupuestos materiales de admisibilidad.  </w:t>
      </w:r>
      <w:r w:rsidRPr="00D1279A">
        <w:rPr>
          <w:rFonts w:ascii="Palatino Linotype" w:hAnsi="Palatino Linotype"/>
          <w:sz w:val="21"/>
          <w:szCs w:val="21"/>
          <w:lang w:val="es-CR"/>
        </w:rPr>
        <w:t xml:space="preserve">i.- </w:t>
      </w:r>
      <w:r w:rsidRPr="00D1279A">
        <w:rPr>
          <w:rFonts w:ascii="Palatino Linotype" w:eastAsia="Times New Roman" w:hAnsi="Palatino Linotype"/>
          <w:sz w:val="21"/>
          <w:szCs w:val="21"/>
          <w:lang w:val="es-CR"/>
        </w:rPr>
        <w:t xml:space="preserve">Peligro en la demora.  ii.- Apariencia de buen derecho.  6.- Garantías.  </w:t>
      </w:r>
      <w:r w:rsidRPr="00D1279A">
        <w:rPr>
          <w:rFonts w:ascii="Palatino Linotype" w:eastAsia="Times New Roman" w:hAnsi="Palatino Linotype"/>
          <w:sz w:val="21"/>
          <w:szCs w:val="21"/>
        </w:rPr>
        <w:t xml:space="preserve">7.- Tipos de medidas. </w:t>
      </w:r>
      <w:r w:rsidRPr="00D1279A">
        <w:rPr>
          <w:rFonts w:ascii="Palatino Linotype" w:eastAsia="Calibri" w:hAnsi="Palatino Linotype"/>
          <w:sz w:val="21"/>
          <w:szCs w:val="21"/>
        </w:rPr>
        <w:t xml:space="preserve">a.- Embargo preventivo.  b.- Anotación de demanda.  c.- Intervención o administración de bienes productivos.  </w:t>
      </w:r>
      <w:r w:rsidRPr="00D1279A">
        <w:rPr>
          <w:rFonts w:ascii="Palatino Linotype" w:eastAsia="Times New Roman" w:hAnsi="Palatino Linotype"/>
          <w:sz w:val="21"/>
          <w:szCs w:val="21"/>
          <w:lang w:val="es-CR"/>
        </w:rPr>
        <w:t xml:space="preserve">d.- Suspensión provisional de acuerdos sociales, condominales y similares.  </w:t>
      </w:r>
      <w:r w:rsidRPr="00D1279A">
        <w:rPr>
          <w:rFonts w:ascii="Palatino Linotype" w:eastAsia="Calibri" w:hAnsi="Palatino Linotype"/>
          <w:sz w:val="21"/>
          <w:szCs w:val="21"/>
        </w:rPr>
        <w:t xml:space="preserve">e.- Depósito de cosa mueble o inmueble.  f.- Acciones conminatorias.  </w:t>
      </w:r>
      <w:r w:rsidRPr="00D1279A">
        <w:rPr>
          <w:rFonts w:ascii="Palatino Linotype" w:eastAsia="Times New Roman" w:hAnsi="Palatino Linotype"/>
          <w:sz w:val="21"/>
          <w:szCs w:val="21"/>
          <w:lang w:val="es-CR"/>
        </w:rPr>
        <w:t>8.- Medidas atípicas.  9.- Aspectos probatorios de las medidas cautelares.  10.- Procedimiento.  A modo de conclusión</w:t>
      </w:r>
    </w:p>
    <w:p w:rsidR="008A0E38" w:rsidRPr="008A0E38" w:rsidRDefault="008A0E38" w:rsidP="008A0E38">
      <w:pPr>
        <w:rPr>
          <w:lang w:val="es-CR"/>
        </w:rPr>
      </w:pPr>
    </w:p>
    <w:p w:rsidR="00563A13" w:rsidRPr="00E10347" w:rsidRDefault="00563A13" w:rsidP="00E10347">
      <w:pPr>
        <w:pStyle w:val="Ttulo2"/>
        <w:spacing w:before="0"/>
        <w:rPr>
          <w:rFonts w:ascii="Palatino Linotype" w:eastAsia="Times New Roman" w:hAnsi="Palatino Linotype"/>
          <w:color w:val="auto"/>
          <w:sz w:val="21"/>
          <w:szCs w:val="21"/>
          <w:lang w:val="es-CR"/>
        </w:rPr>
      </w:pPr>
      <w:r w:rsidRPr="00E10347">
        <w:rPr>
          <w:rFonts w:ascii="Palatino Linotype" w:eastAsia="Times New Roman" w:hAnsi="Palatino Linotype"/>
          <w:color w:val="auto"/>
          <w:sz w:val="21"/>
          <w:szCs w:val="21"/>
          <w:lang w:val="es-CR"/>
        </w:rPr>
        <w:t>A modo de introducción</w:t>
      </w:r>
      <w:bookmarkEnd w:id="29"/>
    </w:p>
    <w:p w:rsidR="00563A13" w:rsidRPr="00E10347" w:rsidRDefault="00563A13" w:rsidP="00E10347">
      <w:pPr>
        <w:tabs>
          <w:tab w:val="left" w:pos="-720"/>
        </w:tabs>
        <w:suppressAutoHyphens/>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 xml:space="preserve">Publicado en La Gaceta número 68 del ocho de abril del dos mil dieciséis, el nuevo Código Procesal Civil –en adelante nuevo CPC-, ley 9342 firmado el tres de febrero de ese año, entrará en vigencia el ocho de octubre del dos mil dieciocho. Este código cambia un paradigma en los procesos civiles, la escritura, para acercarnos más a modelos enfocados a procesos por audiencias donde la oralidad juega un papel muy relevante. </w:t>
      </w:r>
    </w:p>
    <w:p w:rsidR="00563A13" w:rsidRPr="00E10347" w:rsidRDefault="00563A13" w:rsidP="00E10347">
      <w:pPr>
        <w:tabs>
          <w:tab w:val="left" w:pos="-720"/>
        </w:tabs>
        <w:suppressAutoHyphens/>
        <w:ind w:firstLine="709"/>
        <w:jc w:val="both"/>
        <w:rPr>
          <w:rFonts w:ascii="Palatino Linotype" w:hAnsi="Palatino Linotype"/>
          <w:spacing w:val="-3"/>
          <w:sz w:val="21"/>
          <w:szCs w:val="21"/>
          <w:lang w:val="es-ES_tradnl"/>
        </w:rPr>
      </w:pPr>
      <w:r w:rsidRPr="00E10347">
        <w:rPr>
          <w:rFonts w:ascii="Palatino Linotype" w:eastAsia="Times New Roman" w:hAnsi="Palatino Linotype"/>
          <w:sz w:val="21"/>
          <w:szCs w:val="21"/>
          <w:lang w:val="es-CR"/>
        </w:rPr>
        <w:t xml:space="preserve">El nuevo CPC a partir de sus artículo 77 regula el título III destinado a la tutela cautelar; para ello, marca un hito diferenciador con el modelo del Código Procesal Civil anterior, al establecer procedimientos para su otorgamiento; replantea el tema de las medidas cautelares típicas, incluyendo algunas innovadoras, manteniendo además </w:t>
      </w:r>
      <w:r w:rsidRPr="00E10347">
        <w:rPr>
          <w:rFonts w:ascii="Palatino Linotype" w:hAnsi="Palatino Linotype"/>
          <w:spacing w:val="-3"/>
          <w:sz w:val="21"/>
          <w:szCs w:val="21"/>
          <w:lang w:val="es-ES_tradnl"/>
        </w:rPr>
        <w:t xml:space="preserve">un sistema cautelar de </w:t>
      </w:r>
      <w:r w:rsidRPr="00E10347">
        <w:rPr>
          <w:rFonts w:ascii="Palatino Linotype" w:hAnsi="Palatino Linotype"/>
          <w:i/>
          <w:spacing w:val="-3"/>
          <w:sz w:val="21"/>
          <w:szCs w:val="21"/>
          <w:lang w:val="es-ES_tradnl"/>
        </w:rPr>
        <w:t xml:space="preserve">numerus apertus </w:t>
      </w:r>
      <w:r w:rsidRPr="00E10347">
        <w:rPr>
          <w:rFonts w:ascii="Palatino Linotype" w:hAnsi="Palatino Linotype"/>
          <w:spacing w:val="-3"/>
          <w:sz w:val="21"/>
          <w:szCs w:val="21"/>
          <w:lang w:val="es-ES_tradnl"/>
        </w:rPr>
        <w:t>permitiendo a las partes optar por ende con un amplio espectro de posibilidades.</w:t>
      </w:r>
    </w:p>
    <w:p w:rsidR="00563A13" w:rsidRPr="00E10347" w:rsidRDefault="00563A13" w:rsidP="00E10347">
      <w:pPr>
        <w:tabs>
          <w:tab w:val="left" w:pos="-720"/>
        </w:tabs>
        <w:suppressAutoHyphens/>
        <w:ind w:firstLine="709"/>
        <w:jc w:val="both"/>
        <w:rPr>
          <w:rFonts w:ascii="Palatino Linotype" w:hAnsi="Palatino Linotype"/>
          <w:spacing w:val="-3"/>
          <w:sz w:val="21"/>
          <w:szCs w:val="21"/>
          <w:lang w:val="es-ES_tradnl"/>
        </w:rPr>
      </w:pPr>
      <w:r w:rsidRPr="00E10347">
        <w:rPr>
          <w:rFonts w:ascii="Palatino Linotype" w:hAnsi="Palatino Linotype"/>
          <w:spacing w:val="-3"/>
          <w:sz w:val="21"/>
          <w:szCs w:val="21"/>
          <w:lang w:val="es-ES_tradnl"/>
        </w:rPr>
        <w:t xml:space="preserve">Para ello; el código desarrolla un primer apartado atendiendo a aspectos de oportunidad, legitimación, responsabilidad y presupuestos para el otorgamiento de las medidas, luego aclara e incluye el tema relativo a la posibilidad de su modificación, </w:t>
      </w:r>
      <w:r w:rsidRPr="00E10347">
        <w:rPr>
          <w:rFonts w:ascii="Palatino Linotype" w:hAnsi="Palatino Linotype"/>
          <w:spacing w:val="-3"/>
          <w:sz w:val="21"/>
          <w:szCs w:val="21"/>
          <w:lang w:val="es-ES_tradnl"/>
        </w:rPr>
        <w:lastRenderedPageBreak/>
        <w:t xml:space="preserve">sustitución y levantamiento; temas álgidos que fueron desarrollados jurisprudencialmente en las últimas décadas por nuestros tribunales,  para más adelante abrir a una nutrida gama de medidas consideradas típicas y dejando claro acerca de la posibilidad del establecimiento de otras distintas, sin mezclar todas estas con otros tipos de procedimientos anticipados que no son parte formal de la tutela cautelar. Finalmente; a partir del numeral 93, el nuevo CPC  desarrolla el procedimiento a seguir, afianzando la seguridad jurídica y el debido proceso. </w:t>
      </w:r>
    </w:p>
    <w:p w:rsidR="00B600D3" w:rsidRDefault="00B600D3" w:rsidP="00E10347">
      <w:pPr>
        <w:pStyle w:val="Ttulo2"/>
        <w:spacing w:before="0"/>
        <w:rPr>
          <w:rFonts w:ascii="Palatino Linotype" w:eastAsia="Times New Roman" w:hAnsi="Palatino Linotype"/>
          <w:color w:val="auto"/>
          <w:sz w:val="21"/>
          <w:szCs w:val="21"/>
          <w:lang w:val="es-CR"/>
        </w:rPr>
      </w:pPr>
      <w:bookmarkStart w:id="30" w:name="_Toc478576409"/>
    </w:p>
    <w:p w:rsidR="00563A13" w:rsidRPr="00E10347" w:rsidRDefault="006130EF" w:rsidP="00E10347">
      <w:pPr>
        <w:pStyle w:val="Ttulo2"/>
        <w:spacing w:before="0"/>
        <w:rPr>
          <w:rFonts w:ascii="Palatino Linotype" w:eastAsia="Times New Roman" w:hAnsi="Palatino Linotype"/>
          <w:color w:val="auto"/>
          <w:sz w:val="21"/>
          <w:szCs w:val="21"/>
          <w:lang w:val="es-CR"/>
        </w:rPr>
      </w:pPr>
      <w:r w:rsidRPr="00E10347">
        <w:rPr>
          <w:rFonts w:ascii="Palatino Linotype" w:eastAsia="Times New Roman" w:hAnsi="Palatino Linotype"/>
          <w:color w:val="auto"/>
          <w:sz w:val="21"/>
          <w:szCs w:val="21"/>
          <w:lang w:val="es-CR"/>
        </w:rPr>
        <w:t xml:space="preserve">1.- </w:t>
      </w:r>
      <w:r w:rsidR="00563A13" w:rsidRPr="00E10347">
        <w:rPr>
          <w:rFonts w:ascii="Palatino Linotype" w:eastAsia="Times New Roman" w:hAnsi="Palatino Linotype"/>
          <w:color w:val="auto"/>
          <w:sz w:val="21"/>
          <w:szCs w:val="21"/>
          <w:lang w:val="es-CR"/>
        </w:rPr>
        <w:t>Conceptualización</w:t>
      </w:r>
      <w:bookmarkEnd w:id="30"/>
      <w:r w:rsidR="00563A13" w:rsidRPr="00E10347">
        <w:rPr>
          <w:rFonts w:ascii="Palatino Linotype" w:eastAsia="Times New Roman" w:hAnsi="Palatino Linotype"/>
          <w:color w:val="auto"/>
          <w:sz w:val="21"/>
          <w:szCs w:val="21"/>
          <w:lang w:val="es-CR"/>
        </w:rPr>
        <w:t xml:space="preserve"> </w:t>
      </w:r>
    </w:p>
    <w:p w:rsidR="00563A13" w:rsidRPr="00E10347" w:rsidRDefault="00563A13" w:rsidP="00E10347">
      <w:pPr>
        <w:ind w:firstLine="709"/>
        <w:jc w:val="both"/>
        <w:rPr>
          <w:rFonts w:ascii="Palatino Linotype" w:hAnsi="Palatino Linotype"/>
          <w:sz w:val="21"/>
          <w:szCs w:val="21"/>
        </w:rPr>
      </w:pPr>
      <w:r w:rsidRPr="00E10347">
        <w:rPr>
          <w:rFonts w:ascii="Palatino Linotype" w:eastAsiaTheme="minorHAnsi" w:hAnsi="Palatino Linotype"/>
          <w:sz w:val="21"/>
          <w:szCs w:val="21"/>
          <w:lang w:val="es-CR"/>
        </w:rPr>
        <w:t xml:space="preserve">Las medidas cautelares aseguran </w:t>
      </w:r>
      <w:r w:rsidRPr="00E10347">
        <w:rPr>
          <w:rFonts w:ascii="Palatino Linotype" w:hAnsi="Palatino Linotype"/>
          <w:sz w:val="21"/>
          <w:szCs w:val="21"/>
        </w:rPr>
        <w:t xml:space="preserve">el cumplimiento de la garantía constitucional de la tutela judicial efectiva; se constituyen en </w:t>
      </w:r>
      <w:r w:rsidRPr="00E10347">
        <w:rPr>
          <w:rFonts w:ascii="Palatino Linotype" w:eastAsiaTheme="minorHAnsi" w:hAnsi="Palatino Linotype"/>
          <w:sz w:val="21"/>
          <w:szCs w:val="21"/>
          <w:lang w:val="es-CR"/>
        </w:rPr>
        <w:t>un modo</w:t>
      </w:r>
      <w:r w:rsidRPr="00E10347">
        <w:rPr>
          <w:rFonts w:ascii="Palatino Linotype" w:hAnsi="Palatino Linotype"/>
          <w:sz w:val="21"/>
          <w:szCs w:val="21"/>
        </w:rPr>
        <w:t xml:space="preserve"> para evitar el incumplimiento y/o la desaparición de lo que pueda disponer una eventual sentencia. </w:t>
      </w:r>
    </w:p>
    <w:p w:rsidR="00563A13" w:rsidRPr="00E10347" w:rsidRDefault="00563A13" w:rsidP="00E10347">
      <w:pPr>
        <w:ind w:firstLine="709"/>
        <w:jc w:val="both"/>
        <w:rPr>
          <w:rFonts w:ascii="Palatino Linotype" w:hAnsi="Palatino Linotype"/>
          <w:sz w:val="21"/>
          <w:szCs w:val="21"/>
        </w:rPr>
      </w:pPr>
      <w:r w:rsidRPr="00E10347">
        <w:rPr>
          <w:rFonts w:ascii="Palatino Linotype" w:hAnsi="Palatino Linotype"/>
          <w:sz w:val="21"/>
          <w:szCs w:val="21"/>
        </w:rPr>
        <w:t>El autor Osorio Acorta define las medidas cautelares como:</w:t>
      </w:r>
    </w:p>
    <w:p w:rsidR="00563A13" w:rsidRPr="00E10347" w:rsidRDefault="00563A13" w:rsidP="00E10347">
      <w:pPr>
        <w:ind w:left="708"/>
        <w:jc w:val="both"/>
        <w:rPr>
          <w:rFonts w:ascii="Palatino Linotype" w:hAnsi="Palatino Linotype"/>
          <w:sz w:val="21"/>
          <w:szCs w:val="21"/>
        </w:rPr>
      </w:pPr>
      <w:r w:rsidRPr="00E10347">
        <w:rPr>
          <w:rFonts w:ascii="Palatino Linotype" w:hAnsi="Palatino Linotype"/>
          <w:sz w:val="21"/>
          <w:szCs w:val="21"/>
        </w:rPr>
        <w:t>“aquellas actuaciones de tutela sumaria que pueden acordarse, en el seno de un proceso jurisdiccional o arbitral, para evitar que el tiempo que tarde en resolverse ese litigio pueda suponer un perjuicio para el demandante, para lo cual se asegura la efectividad de la sentencia que pudiera recaer anticipando provisionalmente el resultado, si la pretensión del demandante tiene apariencia de que va a ser estimada.”</w:t>
      </w:r>
      <w:r w:rsidRPr="00E10347">
        <w:rPr>
          <w:rStyle w:val="Refdenotaalpie"/>
          <w:rFonts w:ascii="Palatino Linotype" w:hAnsi="Palatino Linotype"/>
          <w:sz w:val="21"/>
          <w:szCs w:val="21"/>
        </w:rPr>
        <w:footnoteReference w:id="303"/>
      </w:r>
      <w:r w:rsidRPr="00E10347">
        <w:rPr>
          <w:rFonts w:ascii="Palatino Linotype" w:hAnsi="Palatino Linotype"/>
          <w:sz w:val="21"/>
          <w:szCs w:val="21"/>
        </w:rPr>
        <w:t xml:space="preserve"> </w:t>
      </w:r>
    </w:p>
    <w:p w:rsidR="00563A13" w:rsidRPr="00E10347" w:rsidRDefault="00563A13" w:rsidP="00E10347">
      <w:pPr>
        <w:tabs>
          <w:tab w:val="left" w:pos="-720"/>
        </w:tabs>
        <w:suppressAutoHyphens/>
        <w:ind w:firstLine="709"/>
        <w:jc w:val="both"/>
        <w:rPr>
          <w:rFonts w:ascii="Palatino Linotype" w:hAnsi="Palatino Linotype"/>
          <w:spacing w:val="-3"/>
          <w:sz w:val="21"/>
          <w:szCs w:val="21"/>
          <w:lang w:val="es-ES_tradnl"/>
        </w:rPr>
      </w:pPr>
      <w:r w:rsidRPr="00E10347">
        <w:rPr>
          <w:rFonts w:ascii="Palatino Linotype" w:hAnsi="Palatino Linotype"/>
          <w:spacing w:val="-3"/>
          <w:sz w:val="21"/>
          <w:szCs w:val="21"/>
          <w:lang w:val="es-ES_tradnl"/>
        </w:rPr>
        <w:t>La Sala Constitucional de la Corte Suprema de justicia, en el voto 7190-94 de las quince horas veinticuatro minutos del seis de diciembre de mil novecientos noventa y cuatro se refirió a su concepto indicando que:</w:t>
      </w:r>
    </w:p>
    <w:p w:rsidR="00563A13" w:rsidRPr="00E10347" w:rsidRDefault="00563A13" w:rsidP="00E10347">
      <w:pPr>
        <w:tabs>
          <w:tab w:val="left" w:pos="-720"/>
        </w:tabs>
        <w:suppressAutoHyphens/>
        <w:ind w:left="708" w:firstLine="709"/>
        <w:jc w:val="both"/>
        <w:rPr>
          <w:rFonts w:ascii="Palatino Linotype" w:hAnsi="Palatino Linotype"/>
          <w:spacing w:val="-3"/>
          <w:sz w:val="21"/>
          <w:szCs w:val="21"/>
          <w:lang w:val="es-ES_tradnl"/>
        </w:rPr>
      </w:pPr>
      <w:r w:rsidRPr="00E10347">
        <w:rPr>
          <w:rFonts w:ascii="Palatino Linotype" w:hAnsi="Palatino Linotype"/>
          <w:spacing w:val="-3"/>
          <w:sz w:val="21"/>
          <w:szCs w:val="21"/>
          <w:lang w:val="es-ES_tradnl"/>
        </w:rPr>
        <w:t>"(...) Las medidas asegurativas o cautelares, según la más calificada doctrina, surgen en el proceso como una necesidad que permita garantizar una tutela jurisdiccional efectiva y por ello se pueden conceptualizar como "un conjunto de potestades procesales del juez -sea justicia jurisdiccional o administrativa- para resolver antes del fallo, con el específico fin de conservar las condiciones reales indispensables para la emisión y ejecución del acto final".</w:t>
      </w:r>
    </w:p>
    <w:p w:rsidR="00563A13" w:rsidRPr="00E10347" w:rsidRDefault="00563A13" w:rsidP="00E10347">
      <w:pPr>
        <w:tabs>
          <w:tab w:val="left" w:pos="-720"/>
        </w:tabs>
        <w:suppressAutoHyphens/>
        <w:ind w:firstLine="709"/>
        <w:jc w:val="both"/>
        <w:rPr>
          <w:rFonts w:ascii="Palatino Linotype" w:hAnsi="Palatino Linotype"/>
          <w:spacing w:val="-3"/>
          <w:sz w:val="21"/>
          <w:szCs w:val="21"/>
          <w:lang w:val="es-ES_tradnl"/>
        </w:rPr>
      </w:pPr>
      <w:r w:rsidRPr="00E10347">
        <w:rPr>
          <w:rFonts w:ascii="Palatino Linotype" w:hAnsi="Palatino Linotype"/>
          <w:spacing w:val="-3"/>
          <w:sz w:val="21"/>
          <w:szCs w:val="21"/>
          <w:lang w:val="es-ES_tradnl"/>
        </w:rPr>
        <w:t xml:space="preserve">Sin duda alguna; el interesado que tiene en el fondo de la cuestión la razón, no puede ni debería ver sus derechos violentados durante años hasta que logre obtener una eventual sentencia estimatoria; por ello el ordenamiento jurídico debe de disponer </w:t>
      </w:r>
      <w:r w:rsidRPr="00E10347">
        <w:rPr>
          <w:rFonts w:ascii="Palatino Linotype" w:hAnsi="Palatino Linotype"/>
          <w:spacing w:val="-3"/>
          <w:sz w:val="21"/>
          <w:szCs w:val="21"/>
          <w:lang w:val="es-ES_tradnl"/>
        </w:rPr>
        <w:lastRenderedPageBreak/>
        <w:t xml:space="preserve">de medidas que permitan brindarle protección; siempre y cuando acredite una serie de condiciones objetivas y subjetivas, y a la vez, responda por aquellos daños y perjuicios que pueda causar con su actuar si es que finalmente no se le da la razón.  </w:t>
      </w:r>
    </w:p>
    <w:p w:rsidR="00B600D3" w:rsidRDefault="00B600D3" w:rsidP="00E10347">
      <w:pPr>
        <w:pStyle w:val="Ttulo2"/>
        <w:spacing w:before="0"/>
        <w:rPr>
          <w:rFonts w:ascii="Palatino Linotype" w:eastAsia="Times New Roman" w:hAnsi="Palatino Linotype"/>
          <w:color w:val="auto"/>
          <w:sz w:val="21"/>
          <w:szCs w:val="21"/>
          <w:lang w:val="es-CR"/>
        </w:rPr>
      </w:pPr>
      <w:bookmarkStart w:id="31" w:name="_Toc478576410"/>
    </w:p>
    <w:p w:rsidR="00563A13" w:rsidRPr="00E10347" w:rsidRDefault="006130EF" w:rsidP="00E10347">
      <w:pPr>
        <w:pStyle w:val="Ttulo2"/>
        <w:spacing w:before="0"/>
        <w:rPr>
          <w:rFonts w:ascii="Palatino Linotype" w:eastAsia="Times New Roman" w:hAnsi="Palatino Linotype"/>
          <w:color w:val="auto"/>
          <w:sz w:val="21"/>
          <w:szCs w:val="21"/>
          <w:lang w:val="es-CR"/>
        </w:rPr>
      </w:pPr>
      <w:r w:rsidRPr="00E10347">
        <w:rPr>
          <w:rFonts w:ascii="Palatino Linotype" w:eastAsia="Times New Roman" w:hAnsi="Palatino Linotype"/>
          <w:color w:val="auto"/>
          <w:sz w:val="21"/>
          <w:szCs w:val="21"/>
          <w:lang w:val="es-CR"/>
        </w:rPr>
        <w:t xml:space="preserve">2.- </w:t>
      </w:r>
      <w:r w:rsidR="00563A13" w:rsidRPr="00E10347">
        <w:rPr>
          <w:rFonts w:ascii="Palatino Linotype" w:eastAsia="Times New Roman" w:hAnsi="Palatino Linotype"/>
          <w:color w:val="auto"/>
          <w:sz w:val="21"/>
          <w:szCs w:val="21"/>
          <w:lang w:val="es-CR"/>
        </w:rPr>
        <w:t>Objetivo</w:t>
      </w:r>
      <w:bookmarkEnd w:id="31"/>
    </w:p>
    <w:p w:rsidR="00563A13" w:rsidRPr="00E10347" w:rsidRDefault="00563A13" w:rsidP="00E10347">
      <w:pPr>
        <w:ind w:firstLine="709"/>
        <w:jc w:val="both"/>
        <w:rPr>
          <w:rFonts w:ascii="Palatino Linotype" w:hAnsi="Palatino Linotype"/>
          <w:sz w:val="21"/>
          <w:szCs w:val="21"/>
        </w:rPr>
      </w:pPr>
      <w:r w:rsidRPr="00E10347">
        <w:rPr>
          <w:rFonts w:ascii="Palatino Linotype" w:eastAsia="Times New Roman" w:hAnsi="Palatino Linotype"/>
          <w:sz w:val="21"/>
          <w:szCs w:val="21"/>
          <w:lang w:val="es-CR"/>
        </w:rPr>
        <w:t xml:space="preserve">La cautela cautelar </w:t>
      </w:r>
      <w:r w:rsidRPr="00E10347">
        <w:rPr>
          <w:rFonts w:ascii="Palatino Linotype" w:hAnsi="Palatino Linotype"/>
          <w:sz w:val="21"/>
          <w:szCs w:val="21"/>
        </w:rPr>
        <w:t>tiende a asegurar la efectividad de la tutela del derecho ejercitado, disminuyendo el peligro en la demora subjetiva, sea que el demandado con acciones u omisiones frustre el futuro de la ejecución y el peligro en la demora objetiva que achaca al proceso en sí mismo, cuyo desarrollo requiere de un tiempo necesario para el cumplimiento de los trámites y contradictorio debido para su buen fin. Es claro, ese solo transcurso de tiempo le genera un daño a la parte que lleva razón en su pretensión la cual consiste en no poder ejercer un derecho que le pertenece, es por esto que en cuanto al objetivo jurídico que persiguen, podemos encontrar su justificación inmediata en asegurar la efectividad de la sentencia estimatoria, además, de forma teleológica afirmamos que estas procuran alcanzar la tutela judicial efectiva, asegurando el cumplimiento efectivo de lo que ejecución de lo resuelto.</w:t>
      </w:r>
    </w:p>
    <w:p w:rsidR="00563A13" w:rsidRPr="00E10347" w:rsidRDefault="00563A13" w:rsidP="00E10347">
      <w:pPr>
        <w:tabs>
          <w:tab w:val="left" w:pos="-720"/>
        </w:tabs>
        <w:suppressAutoHyphens/>
        <w:ind w:firstLine="709"/>
        <w:jc w:val="both"/>
        <w:rPr>
          <w:rFonts w:ascii="Palatino Linotype" w:hAnsi="Palatino Linotype"/>
          <w:spacing w:val="-3"/>
          <w:sz w:val="21"/>
          <w:szCs w:val="21"/>
          <w:lang w:val="es-ES_tradnl"/>
        </w:rPr>
      </w:pPr>
      <w:r w:rsidRPr="00E10347">
        <w:rPr>
          <w:rFonts w:ascii="Palatino Linotype" w:hAnsi="Palatino Linotype"/>
          <w:spacing w:val="-3"/>
          <w:sz w:val="21"/>
          <w:szCs w:val="21"/>
          <w:lang w:val="es-ES_tradnl"/>
        </w:rPr>
        <w:t xml:space="preserve">Respecto a su finalidad, el voto 3463 de las catorce horas cincuenta y cuatro minutos del veinte de julio de mil novecientos noventa y tres de la Sala Constitucional de la Corte Suprema de Justicia indicó que las medidas cautelares: </w:t>
      </w:r>
    </w:p>
    <w:p w:rsidR="00563A13" w:rsidRPr="00E10347" w:rsidRDefault="00563A13" w:rsidP="00E10347">
      <w:pPr>
        <w:tabs>
          <w:tab w:val="left" w:pos="-720"/>
        </w:tabs>
        <w:suppressAutoHyphens/>
        <w:ind w:left="708" w:firstLine="709"/>
        <w:jc w:val="both"/>
        <w:rPr>
          <w:rFonts w:ascii="Palatino Linotype" w:hAnsi="Palatino Linotype"/>
          <w:spacing w:val="-3"/>
          <w:sz w:val="21"/>
          <w:szCs w:val="21"/>
          <w:lang w:val="es-ES_tradnl"/>
        </w:rPr>
      </w:pPr>
      <w:r w:rsidRPr="00E10347">
        <w:rPr>
          <w:rFonts w:ascii="Palatino Linotype" w:hAnsi="Palatino Linotype"/>
          <w:i/>
          <w:spacing w:val="-3"/>
          <w:sz w:val="21"/>
          <w:szCs w:val="21"/>
          <w:lang w:val="es-ES_tradnl"/>
        </w:rPr>
        <w:t>"(...) tienden a posibilitar la ejecución de la sentencia y la conservación de los bienes y cosas que deberán ser apreciados por el tribunal con posterioridad” y cuya finalidad es la de “ (…) posibilitar la actuación del derecho, es decir, con el propósito de asegurar efectivamente el resultado del proceso, tienden a crear la certeza necesaria para que el eventual reconocimiento de un derecho en una sentencia definitiva pueda hacerse efectivo."</w:t>
      </w:r>
      <w:r w:rsidRPr="00E10347">
        <w:rPr>
          <w:rFonts w:ascii="Palatino Linotype" w:hAnsi="Palatino Linotype"/>
          <w:spacing w:val="-3"/>
          <w:sz w:val="21"/>
          <w:szCs w:val="21"/>
          <w:lang w:val="es-ES_tradnl"/>
        </w:rPr>
        <w:t xml:space="preserve"> </w:t>
      </w:r>
    </w:p>
    <w:p w:rsidR="00563A13" w:rsidRPr="00E10347" w:rsidRDefault="00563A13" w:rsidP="00E10347">
      <w:pPr>
        <w:ind w:firstLine="709"/>
        <w:jc w:val="both"/>
        <w:rPr>
          <w:rFonts w:ascii="Palatino Linotype" w:eastAsia="Times New Roman" w:hAnsi="Palatino Linotype"/>
          <w:sz w:val="21"/>
          <w:szCs w:val="21"/>
          <w:lang w:val="es-CR" w:eastAsia="es-ES"/>
        </w:rPr>
      </w:pPr>
      <w:r w:rsidRPr="00E10347">
        <w:rPr>
          <w:rFonts w:ascii="Palatino Linotype" w:eastAsia="Times New Roman" w:hAnsi="Palatino Linotype"/>
          <w:sz w:val="21"/>
          <w:szCs w:val="21"/>
          <w:lang w:val="es-CR" w:eastAsia="es-ES"/>
        </w:rPr>
        <w:t xml:space="preserve">Siguiendo palabras del Juez Superior José Rodolfo León días, las medidas cautelares procuran  evitar  la lesión del derecho cuando aún esta no ha comenzado a darse, cesar su transgresión cuando se está produciendo,  o bien tienden a asegurar su efectiva restitución o resarcimiento en de violaciones a derechos ya consumadas.     </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 xml:space="preserve">Este requisito lo podemos observar en el nuevo CPC en el artículo 78 al expresar: </w:t>
      </w:r>
    </w:p>
    <w:p w:rsidR="00563A13" w:rsidRPr="00E10347" w:rsidRDefault="00563A13" w:rsidP="00E10347">
      <w:pPr>
        <w:ind w:left="708"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 xml:space="preserve">“Las medidas cautelares serán admisibles cuando exista peligro de pérdida, alteración, daño actual o potencial del derecho o intereses jurídicamente relevantes, o cuando sea necesario asegurar resultados </w:t>
      </w:r>
      <w:r w:rsidRPr="00E10347">
        <w:rPr>
          <w:rFonts w:ascii="Palatino Linotype" w:eastAsia="Times New Roman" w:hAnsi="Palatino Linotype"/>
          <w:sz w:val="21"/>
          <w:szCs w:val="21"/>
          <w:lang w:val="es-CR"/>
        </w:rPr>
        <w:lastRenderedPageBreak/>
        <w:t>futuros o consolidar situaciones jurídicas ciertas o posibles. (…)”</w:t>
      </w:r>
    </w:p>
    <w:p w:rsidR="00563A13" w:rsidRPr="00E10347" w:rsidRDefault="00563A13" w:rsidP="00E10347">
      <w:pPr>
        <w:ind w:firstLine="709"/>
        <w:jc w:val="both"/>
        <w:rPr>
          <w:rFonts w:ascii="Palatino Linotype" w:eastAsia="Times New Roman" w:hAnsi="Palatino Linotype"/>
          <w:i/>
          <w:sz w:val="21"/>
          <w:szCs w:val="21"/>
          <w:lang w:val="es-CR" w:eastAsia="es-ES"/>
        </w:rPr>
      </w:pPr>
      <w:r w:rsidRPr="00E10347">
        <w:rPr>
          <w:rFonts w:ascii="Palatino Linotype" w:eastAsia="Times New Roman" w:hAnsi="Palatino Linotype"/>
          <w:sz w:val="21"/>
          <w:szCs w:val="21"/>
          <w:lang w:val="es-CR" w:eastAsia="es-ES"/>
        </w:rPr>
        <w:t xml:space="preserve">Así también se señala  en  la exposición de motivos de nuevo Código, al afirmarse que las medidas cautelares  son </w:t>
      </w:r>
      <w:r w:rsidRPr="00E10347">
        <w:rPr>
          <w:rFonts w:ascii="Palatino Linotype" w:eastAsia="Times New Roman" w:hAnsi="Palatino Linotype"/>
          <w:i/>
          <w:sz w:val="21"/>
          <w:szCs w:val="21"/>
          <w:lang w:val="es-CR" w:eastAsia="es-ES"/>
        </w:rPr>
        <w:t>“… un instrumento imprescindible para evitar que la tardanza en la resolución de un proceso y en la ejecución de lo decidido, cause daño grave o irreparable al derecho de la parte vencedora”.</w:t>
      </w:r>
    </w:p>
    <w:p w:rsidR="00B600D3" w:rsidRDefault="00B600D3" w:rsidP="00E10347">
      <w:pPr>
        <w:pStyle w:val="Ttulo2"/>
        <w:spacing w:before="0"/>
        <w:rPr>
          <w:rFonts w:ascii="Palatino Linotype" w:hAnsi="Palatino Linotype"/>
          <w:color w:val="auto"/>
          <w:sz w:val="21"/>
          <w:szCs w:val="21"/>
        </w:rPr>
      </w:pPr>
      <w:bookmarkStart w:id="32" w:name="_Toc478576411"/>
    </w:p>
    <w:p w:rsidR="00563A13" w:rsidRPr="00E10347" w:rsidRDefault="006130EF" w:rsidP="00E10347">
      <w:pPr>
        <w:pStyle w:val="Ttulo2"/>
        <w:spacing w:before="0"/>
        <w:rPr>
          <w:rFonts w:ascii="Palatino Linotype" w:hAnsi="Palatino Linotype"/>
          <w:color w:val="auto"/>
          <w:sz w:val="21"/>
          <w:szCs w:val="21"/>
        </w:rPr>
      </w:pPr>
      <w:r w:rsidRPr="00E10347">
        <w:rPr>
          <w:rFonts w:ascii="Palatino Linotype" w:hAnsi="Palatino Linotype"/>
          <w:color w:val="auto"/>
          <w:sz w:val="21"/>
          <w:szCs w:val="21"/>
        </w:rPr>
        <w:t xml:space="preserve">3.- </w:t>
      </w:r>
      <w:r w:rsidR="00563A13" w:rsidRPr="00E10347">
        <w:rPr>
          <w:rFonts w:ascii="Palatino Linotype" w:hAnsi="Palatino Linotype"/>
          <w:color w:val="auto"/>
          <w:sz w:val="21"/>
          <w:szCs w:val="21"/>
        </w:rPr>
        <w:t>Características</w:t>
      </w:r>
      <w:bookmarkEnd w:id="32"/>
    </w:p>
    <w:p w:rsidR="00563A13" w:rsidRPr="00E10347" w:rsidRDefault="00563A13" w:rsidP="00E10347">
      <w:pPr>
        <w:ind w:firstLine="709"/>
        <w:jc w:val="both"/>
        <w:rPr>
          <w:rFonts w:ascii="Palatino Linotype" w:hAnsi="Palatino Linotype"/>
          <w:sz w:val="21"/>
          <w:szCs w:val="21"/>
        </w:rPr>
      </w:pPr>
      <w:r w:rsidRPr="00E10347">
        <w:rPr>
          <w:rFonts w:ascii="Palatino Linotype" w:hAnsi="Palatino Linotype"/>
          <w:sz w:val="21"/>
          <w:szCs w:val="21"/>
        </w:rPr>
        <w:t>Al encontrarse presentes estas en todas ellas, sus características nos permiten delimitar aquellos  elementos que diferencian las medidas cautelares de otros institutos jurídicos por ello, aún cuando exista algún tipo de medida con algún carácter adicional propio; por sus caracteres distintivos, en principio se podría discriminar estas de situaciones similares, que no forman parte de esta categoría como lo son por ejem</w:t>
      </w:r>
      <w:bookmarkStart w:id="33" w:name="_Toc478576412"/>
      <w:r w:rsidR="009D5804" w:rsidRPr="00E10347">
        <w:rPr>
          <w:rFonts w:ascii="Palatino Linotype" w:hAnsi="Palatino Linotype"/>
          <w:sz w:val="21"/>
          <w:szCs w:val="21"/>
        </w:rPr>
        <w:t>plo la anticipación probatoria.</w:t>
      </w:r>
      <w:bookmarkEnd w:id="33"/>
      <w:r w:rsidRPr="00E10347">
        <w:rPr>
          <w:rFonts w:ascii="Palatino Linotype" w:hAnsi="Palatino Linotype"/>
          <w:sz w:val="21"/>
          <w:szCs w:val="21"/>
        </w:rPr>
        <w:t xml:space="preserve"> </w:t>
      </w:r>
    </w:p>
    <w:p w:rsidR="00B600D3" w:rsidRDefault="00B600D3" w:rsidP="00E10347">
      <w:pPr>
        <w:rPr>
          <w:rFonts w:ascii="Palatino Linotype" w:hAnsi="Palatino Linotype"/>
          <w:b/>
          <w:sz w:val="21"/>
          <w:szCs w:val="21"/>
        </w:rPr>
      </w:pPr>
    </w:p>
    <w:p w:rsidR="00563A13" w:rsidRPr="00E10347" w:rsidRDefault="009D5804" w:rsidP="00E10347">
      <w:pPr>
        <w:rPr>
          <w:rFonts w:ascii="Palatino Linotype" w:hAnsi="Palatino Linotype"/>
          <w:b/>
          <w:sz w:val="21"/>
          <w:szCs w:val="21"/>
        </w:rPr>
      </w:pPr>
      <w:r w:rsidRPr="00E10347">
        <w:rPr>
          <w:rFonts w:ascii="Palatino Linotype" w:hAnsi="Palatino Linotype"/>
          <w:b/>
          <w:sz w:val="21"/>
          <w:szCs w:val="21"/>
        </w:rPr>
        <w:t>a.- Carácter aseguratorio</w:t>
      </w:r>
    </w:p>
    <w:p w:rsidR="00563A13" w:rsidRPr="00E10347" w:rsidRDefault="00563A13" w:rsidP="00E10347">
      <w:pPr>
        <w:ind w:firstLine="709"/>
        <w:jc w:val="both"/>
        <w:rPr>
          <w:rFonts w:ascii="Palatino Linotype" w:hAnsi="Palatino Linotype"/>
          <w:sz w:val="21"/>
          <w:szCs w:val="21"/>
        </w:rPr>
      </w:pPr>
      <w:r w:rsidRPr="00E10347">
        <w:rPr>
          <w:rFonts w:ascii="Palatino Linotype" w:hAnsi="Palatino Linotype"/>
          <w:sz w:val="21"/>
          <w:szCs w:val="21"/>
        </w:rPr>
        <w:t xml:space="preserve">Las medidas cautelares aseguran la efectividad de una eventual sentencia procurando la conservación de una situación de hecho o derecho, por ende, tiene su límite en la ejecución que se alcanzaría con la ejecución de la pretensión perseguida sin que llegue a ser tan gravosa para el afectado que radique en imposibilidad de cumplimiento. Su cumplimiento lo localizamos en el artículo 79 ibídem al referirse a la proporcionalidad y razonabilidad de la medida </w:t>
      </w:r>
      <w:bookmarkStart w:id="34" w:name="_Toc478576413"/>
      <w:r w:rsidR="009D5804" w:rsidRPr="00E10347">
        <w:rPr>
          <w:rFonts w:ascii="Palatino Linotype" w:hAnsi="Palatino Linotype"/>
          <w:sz w:val="21"/>
          <w:szCs w:val="21"/>
        </w:rPr>
        <w:t>y su ligamen con la pretensión.</w:t>
      </w:r>
      <w:bookmarkEnd w:id="34"/>
      <w:r w:rsidRPr="00E10347">
        <w:rPr>
          <w:rFonts w:ascii="Palatino Linotype" w:hAnsi="Palatino Linotype"/>
          <w:sz w:val="21"/>
          <w:szCs w:val="21"/>
        </w:rPr>
        <w:t xml:space="preserve"> </w:t>
      </w:r>
    </w:p>
    <w:p w:rsidR="00B600D3" w:rsidRDefault="00B600D3" w:rsidP="00E10347">
      <w:pPr>
        <w:rPr>
          <w:rFonts w:ascii="Palatino Linotype" w:hAnsi="Palatino Linotype"/>
          <w:b/>
          <w:sz w:val="21"/>
          <w:szCs w:val="21"/>
        </w:rPr>
      </w:pPr>
    </w:p>
    <w:p w:rsidR="00563A13" w:rsidRPr="00E10347" w:rsidRDefault="009D5804" w:rsidP="00E10347">
      <w:pPr>
        <w:rPr>
          <w:rFonts w:ascii="Palatino Linotype" w:hAnsi="Palatino Linotype"/>
          <w:b/>
          <w:sz w:val="21"/>
          <w:szCs w:val="21"/>
        </w:rPr>
      </w:pPr>
      <w:r w:rsidRPr="00E10347">
        <w:rPr>
          <w:rFonts w:ascii="Palatino Linotype" w:hAnsi="Palatino Linotype"/>
          <w:b/>
          <w:sz w:val="21"/>
          <w:szCs w:val="21"/>
        </w:rPr>
        <w:t>b.- Instrumentalidad</w:t>
      </w:r>
    </w:p>
    <w:p w:rsidR="00563A13" w:rsidRPr="00E10347" w:rsidRDefault="00563A13" w:rsidP="00E10347">
      <w:pPr>
        <w:ind w:firstLine="709"/>
        <w:jc w:val="both"/>
        <w:rPr>
          <w:rFonts w:ascii="Palatino Linotype" w:hAnsi="Palatino Linotype"/>
          <w:sz w:val="21"/>
          <w:szCs w:val="21"/>
        </w:rPr>
      </w:pPr>
      <w:r w:rsidRPr="00E10347">
        <w:rPr>
          <w:rFonts w:ascii="Palatino Linotype" w:hAnsi="Palatino Linotype"/>
          <w:sz w:val="21"/>
          <w:szCs w:val="21"/>
        </w:rPr>
        <w:t xml:space="preserve">Las medidas cautelares no deben considerarse como una pretensión material en sí mismas; dependen de un proceso principal en trámite o próximo a iniciar y por ende, correrán con la suerte del mismo. A consecuencia de lo anterior; no se podrán solicitar medidas cuya finalidad  no tenga un pronunciamiento judicial futuro tal y como se extrae de los numerales 77 y 79 del código.  </w:t>
      </w:r>
    </w:p>
    <w:p w:rsidR="00B600D3" w:rsidRDefault="00B600D3" w:rsidP="00E10347">
      <w:pPr>
        <w:rPr>
          <w:rFonts w:ascii="Palatino Linotype" w:hAnsi="Palatino Linotype"/>
          <w:b/>
          <w:sz w:val="21"/>
          <w:szCs w:val="21"/>
        </w:rPr>
      </w:pPr>
    </w:p>
    <w:p w:rsidR="00563A13" w:rsidRPr="00E10347" w:rsidRDefault="009D5804" w:rsidP="00E10347">
      <w:pPr>
        <w:rPr>
          <w:rFonts w:ascii="Palatino Linotype" w:hAnsi="Palatino Linotype"/>
          <w:b/>
          <w:sz w:val="21"/>
          <w:szCs w:val="21"/>
        </w:rPr>
      </w:pPr>
      <w:r w:rsidRPr="00E10347">
        <w:rPr>
          <w:rFonts w:ascii="Palatino Linotype" w:hAnsi="Palatino Linotype"/>
          <w:b/>
          <w:sz w:val="21"/>
          <w:szCs w:val="21"/>
        </w:rPr>
        <w:t xml:space="preserve">c.- Adaptables y mutables </w:t>
      </w:r>
    </w:p>
    <w:p w:rsidR="00563A13" w:rsidRPr="00E10347" w:rsidRDefault="00563A13" w:rsidP="00E10347">
      <w:pPr>
        <w:ind w:firstLine="709"/>
        <w:jc w:val="both"/>
        <w:rPr>
          <w:rFonts w:ascii="Palatino Linotype" w:hAnsi="Palatino Linotype"/>
          <w:sz w:val="21"/>
          <w:szCs w:val="21"/>
        </w:rPr>
      </w:pPr>
      <w:r w:rsidRPr="00E10347">
        <w:rPr>
          <w:rFonts w:ascii="Palatino Linotype" w:hAnsi="Palatino Linotype"/>
          <w:sz w:val="21"/>
          <w:szCs w:val="21"/>
        </w:rPr>
        <w:t xml:space="preserve">Las medidas a aplicarse dependerán del cuadro fáctico que en el momento exista, por ende; de variar las circunstancias, las mismas podrán también variar; siendo entonces, modificables, revisables, variables; en otras palabras, mutarán conforme la situación fáctica de las partes varíe. Así, el artículo 79 explica que “Se podrá disponer una medida cautelar distinta de la solicitada si se considera </w:t>
      </w:r>
      <w:r w:rsidRPr="00E10347">
        <w:rPr>
          <w:rFonts w:ascii="Palatino Linotype" w:hAnsi="Palatino Linotype"/>
          <w:sz w:val="21"/>
          <w:szCs w:val="21"/>
        </w:rPr>
        <w:lastRenderedPageBreak/>
        <w:t>adecuada y suficiente.”</w:t>
      </w:r>
    </w:p>
    <w:p w:rsidR="00563A13" w:rsidRPr="00E10347" w:rsidRDefault="00563A13" w:rsidP="00E10347">
      <w:pPr>
        <w:ind w:firstLine="709"/>
        <w:jc w:val="both"/>
        <w:rPr>
          <w:rFonts w:ascii="Palatino Linotype" w:eastAsia="Calibri" w:hAnsi="Palatino Linotype"/>
          <w:sz w:val="21"/>
          <w:szCs w:val="21"/>
        </w:rPr>
      </w:pPr>
      <w:r w:rsidRPr="00E10347">
        <w:rPr>
          <w:rFonts w:ascii="Palatino Linotype" w:hAnsi="Palatino Linotype"/>
          <w:sz w:val="21"/>
          <w:szCs w:val="21"/>
        </w:rPr>
        <w:t xml:space="preserve">Bajo este supuesto es que bien puede el perjudicado con una medida otorgada, solicitar su levantamiento o modificación posterior; incluso </w:t>
      </w:r>
      <w:r w:rsidRPr="00E10347">
        <w:rPr>
          <w:rFonts w:ascii="Palatino Linotype" w:eastAsia="Calibri" w:hAnsi="Palatino Linotype"/>
          <w:sz w:val="21"/>
          <w:szCs w:val="21"/>
        </w:rPr>
        <w:t>por el propio demandante</w:t>
      </w:r>
      <w:r w:rsidRPr="00E10347">
        <w:rPr>
          <w:rStyle w:val="Refdenotaalpie"/>
          <w:rFonts w:ascii="Palatino Linotype" w:eastAsia="Calibri" w:hAnsi="Palatino Linotype"/>
          <w:sz w:val="21"/>
          <w:szCs w:val="21"/>
        </w:rPr>
        <w:footnoteReference w:id="304"/>
      </w:r>
      <w:r w:rsidRPr="00E10347">
        <w:rPr>
          <w:rFonts w:ascii="Palatino Linotype" w:eastAsia="Calibri" w:hAnsi="Palatino Linotype"/>
          <w:sz w:val="21"/>
          <w:szCs w:val="21"/>
        </w:rPr>
        <w:t>, tomando en consideración hechos o circunstancias que no se consideraron cuando se acordaron. Lo anterior sin dejar de lado; la posibilidad del actor de reintentar su petición, cuando fueron rechazadas si cambian las circunstancias de aquel rechazo siempre y cuando no se violente el numeral 84 en cuando establece que “Rechazada, levantada o declarada la caducidad será prohibido decretar las mismas medidas cautelares, salvo que se aleguen motivos diferentes, sustentados e</w:t>
      </w:r>
      <w:bookmarkStart w:id="35" w:name="_Toc478576415"/>
      <w:r w:rsidR="009D5804" w:rsidRPr="00E10347">
        <w:rPr>
          <w:rFonts w:ascii="Palatino Linotype" w:eastAsia="Calibri" w:hAnsi="Palatino Linotype"/>
          <w:sz w:val="21"/>
          <w:szCs w:val="21"/>
        </w:rPr>
        <w:t xml:space="preserve">n hechos nuevos o distintos.”. </w:t>
      </w:r>
      <w:bookmarkEnd w:id="35"/>
    </w:p>
    <w:p w:rsidR="00B600D3" w:rsidRDefault="00B600D3" w:rsidP="00E10347">
      <w:pPr>
        <w:rPr>
          <w:rFonts w:ascii="Palatino Linotype" w:hAnsi="Palatino Linotype"/>
          <w:b/>
          <w:sz w:val="21"/>
          <w:szCs w:val="21"/>
        </w:rPr>
      </w:pPr>
    </w:p>
    <w:p w:rsidR="00563A13" w:rsidRPr="00E10347" w:rsidRDefault="009D5804" w:rsidP="00E10347">
      <w:pPr>
        <w:rPr>
          <w:rFonts w:ascii="Palatino Linotype" w:hAnsi="Palatino Linotype"/>
          <w:b/>
          <w:sz w:val="21"/>
          <w:szCs w:val="21"/>
        </w:rPr>
      </w:pPr>
      <w:r w:rsidRPr="00E10347">
        <w:rPr>
          <w:rFonts w:ascii="Palatino Linotype" w:hAnsi="Palatino Linotype"/>
          <w:b/>
          <w:sz w:val="21"/>
          <w:szCs w:val="21"/>
        </w:rPr>
        <w:t>d.- Provisionales</w:t>
      </w:r>
    </w:p>
    <w:p w:rsidR="00563A13" w:rsidRPr="00E10347" w:rsidRDefault="00563A13" w:rsidP="00E10347">
      <w:pPr>
        <w:ind w:firstLine="709"/>
        <w:jc w:val="both"/>
        <w:rPr>
          <w:rFonts w:ascii="Palatino Linotype" w:hAnsi="Palatino Linotype"/>
          <w:sz w:val="21"/>
          <w:szCs w:val="21"/>
        </w:rPr>
      </w:pPr>
      <w:r w:rsidRPr="00E10347">
        <w:rPr>
          <w:rFonts w:ascii="Palatino Linotype" w:eastAsia="Calibri" w:hAnsi="Palatino Linotype"/>
          <w:sz w:val="21"/>
          <w:szCs w:val="21"/>
        </w:rPr>
        <w:t xml:space="preserve">Ninguna medida cautelar es perpetua; dependen de la existencia del proceso principal; por ende, una vez definida en aquel la situación jurídica que sirvió de sustento para su otorgamiento, las mismas dejarán de subsistir </w:t>
      </w:r>
      <w:r w:rsidRPr="00E10347">
        <w:rPr>
          <w:rFonts w:ascii="Palatino Linotype" w:hAnsi="Palatino Linotype"/>
          <w:sz w:val="21"/>
          <w:szCs w:val="21"/>
        </w:rPr>
        <w:t>como elemento derivado de la seguridad jurídica.</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 xml:space="preserve">La figura precautoria cesa con la terminación del proceso principal perdiendo sus efectos al no tener nada más que asegurar alcanzando la finalidad por la cual se ordeno, ya sea mediante una sentencia estimatoria caso en el cual dicha medida en lugar de asegurar la ejecución se transforma en elemento de ejecución de lo dispuesto en el fallo o bien si es desestimatoria nos encontraríamos en presencia de una medida infundada y por consiguiente al deber constitucional de responder por los daños que la parte que solicito la medida hubiere causado. </w:t>
      </w:r>
    </w:p>
    <w:p w:rsidR="00563A13" w:rsidRPr="00E10347" w:rsidRDefault="00563A13" w:rsidP="00E10347">
      <w:pPr>
        <w:ind w:firstLine="709"/>
        <w:jc w:val="both"/>
        <w:rPr>
          <w:rFonts w:ascii="Palatino Linotype" w:eastAsia="Calibri" w:hAnsi="Palatino Linotype"/>
          <w:sz w:val="21"/>
          <w:szCs w:val="21"/>
          <w:lang w:val="es-CR"/>
        </w:rPr>
      </w:pPr>
      <w:r w:rsidRPr="00E10347">
        <w:rPr>
          <w:rFonts w:ascii="Palatino Linotype" w:eastAsia="Calibri" w:hAnsi="Palatino Linotype"/>
          <w:sz w:val="21"/>
          <w:szCs w:val="21"/>
          <w:lang w:val="es-CR"/>
        </w:rPr>
        <w:t>Esta característica queda plasmada en la nueva normativa en el artículo 79 al indicar “Cuando se admita se determinará su contenido, duración y se prevendrá garantía si es necesaria.” Lo cual va de la mano con lo dispuesto en los numerales 81 y 82 respecto a la modificación, sustitución y levantamiento de las medidas.</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 xml:space="preserve">Este elemento de provisionalidad también lo podemos observar en la caducidad de las mismas –artículo 83-. Cuando la medida sea solicitada de manera previa al establecimiento del proceso principal, esta caducaría si no se presenta la demanda principal en el plazo de ley  pues guardan una relación de </w:t>
      </w:r>
      <w:r w:rsidRPr="00E10347">
        <w:rPr>
          <w:rFonts w:ascii="Palatino Linotype" w:hAnsi="Palatino Linotype"/>
          <w:sz w:val="21"/>
          <w:szCs w:val="21"/>
        </w:rPr>
        <w:t>dependencia o subordinación respecto del proceso de fondo.</w:t>
      </w:r>
    </w:p>
    <w:p w:rsidR="00B600D3" w:rsidRDefault="00B600D3" w:rsidP="00E10347">
      <w:pPr>
        <w:rPr>
          <w:rFonts w:ascii="Palatino Linotype" w:hAnsi="Palatino Linotype"/>
          <w:b/>
          <w:sz w:val="21"/>
          <w:szCs w:val="21"/>
          <w:lang w:val="es-CR"/>
        </w:rPr>
      </w:pPr>
    </w:p>
    <w:p w:rsidR="00563A13" w:rsidRPr="00E10347" w:rsidRDefault="009D5804" w:rsidP="00E10347">
      <w:pPr>
        <w:rPr>
          <w:rFonts w:ascii="Palatino Linotype" w:hAnsi="Palatino Linotype"/>
          <w:b/>
          <w:sz w:val="21"/>
          <w:szCs w:val="21"/>
          <w:lang w:val="es-CR"/>
        </w:rPr>
      </w:pPr>
      <w:r w:rsidRPr="00E10347">
        <w:rPr>
          <w:rFonts w:ascii="Palatino Linotype" w:hAnsi="Palatino Linotype"/>
          <w:b/>
          <w:sz w:val="21"/>
          <w:szCs w:val="21"/>
          <w:lang w:val="es-CR"/>
        </w:rPr>
        <w:lastRenderedPageBreak/>
        <w:t>d.-  Proporcionales</w:t>
      </w:r>
    </w:p>
    <w:p w:rsidR="00563A13" w:rsidRPr="00E10347" w:rsidRDefault="00563A13" w:rsidP="00E10347">
      <w:pPr>
        <w:ind w:firstLine="709"/>
        <w:jc w:val="both"/>
        <w:rPr>
          <w:rFonts w:ascii="Palatino Linotype" w:eastAsia="Calibri" w:hAnsi="Palatino Linotype"/>
          <w:sz w:val="21"/>
          <w:szCs w:val="21"/>
        </w:rPr>
      </w:pPr>
      <w:r w:rsidRPr="00E10347">
        <w:rPr>
          <w:rFonts w:ascii="Palatino Linotype" w:eastAsia="Calibri" w:hAnsi="Palatino Linotype"/>
          <w:sz w:val="21"/>
          <w:szCs w:val="21"/>
        </w:rPr>
        <w:t>Su adopción se realiza procurando mantener una estricta relación entre el derecho pretendido en la sentencia y la situación de hecho o de derecho al momento de solicitarse la medida; pero además; procurando la menor onerosidad y perjuicio para quien se vea afectado por la misma. Lo anterior sin dejar de considerar; toda medida impuesta causa básicamente perjuicio a la contraparte; lo cual no puede convertirse en elemento imposibilitador para su orden; dicha característica está contenida en el artículo 79 del código de rito.</w:t>
      </w:r>
    </w:p>
    <w:p w:rsidR="00563A13" w:rsidRPr="00E10347" w:rsidRDefault="00563A13" w:rsidP="00E10347">
      <w:pPr>
        <w:ind w:firstLine="709"/>
        <w:jc w:val="both"/>
        <w:rPr>
          <w:rFonts w:ascii="Palatino Linotype" w:eastAsia="Times New Roman" w:hAnsi="Palatino Linotype"/>
          <w:sz w:val="21"/>
          <w:szCs w:val="21"/>
          <w:lang w:val="es-CR" w:eastAsia="es-ES"/>
        </w:rPr>
      </w:pPr>
      <w:r w:rsidRPr="00E10347">
        <w:rPr>
          <w:rFonts w:ascii="Palatino Linotype" w:eastAsia="Times New Roman" w:hAnsi="Palatino Linotype"/>
          <w:sz w:val="21"/>
          <w:szCs w:val="21"/>
          <w:lang w:val="es-CR" w:eastAsia="es-ES"/>
        </w:rPr>
        <w:t>La proporcionalidad es relevante; considerando que el presupuesto para su otorgamiento no llega a ser plenario; por ende, no podría en caso alguno descartarse el alea que significa que el proceso finalice desestimado; de tal manera; que las medidas si bien deben sustentarse de forma suficiente para tutelar una eventual sentencia estimatoria; además, no deben resultar excesivamente graves o dañinas para la contraparte pues podría ocasionarse un daño  de mayor envergadura  que lo que se pretende tutelar e incluso hasta de difícil o  imposible reparación.</w:t>
      </w:r>
    </w:p>
    <w:p w:rsidR="00B600D3" w:rsidRDefault="00B600D3" w:rsidP="00E10347">
      <w:pPr>
        <w:pStyle w:val="Ttulo2"/>
        <w:spacing w:before="0"/>
        <w:rPr>
          <w:rFonts w:ascii="Palatino Linotype" w:hAnsi="Palatino Linotype"/>
          <w:color w:val="auto"/>
          <w:sz w:val="21"/>
          <w:szCs w:val="21"/>
        </w:rPr>
      </w:pPr>
      <w:bookmarkStart w:id="36" w:name="_Toc478576417"/>
    </w:p>
    <w:p w:rsidR="00563A13" w:rsidRPr="00E10347" w:rsidRDefault="0035457D" w:rsidP="00E10347">
      <w:pPr>
        <w:pStyle w:val="Ttulo2"/>
        <w:spacing w:before="0"/>
        <w:rPr>
          <w:rFonts w:ascii="Palatino Linotype" w:hAnsi="Palatino Linotype"/>
          <w:color w:val="auto"/>
          <w:sz w:val="21"/>
          <w:szCs w:val="21"/>
        </w:rPr>
      </w:pPr>
      <w:r w:rsidRPr="00E10347">
        <w:rPr>
          <w:rFonts w:ascii="Palatino Linotype" w:hAnsi="Palatino Linotype"/>
          <w:color w:val="auto"/>
          <w:sz w:val="21"/>
          <w:szCs w:val="21"/>
        </w:rPr>
        <w:t xml:space="preserve">4.- </w:t>
      </w:r>
      <w:r w:rsidR="00563A13" w:rsidRPr="00E10347">
        <w:rPr>
          <w:rFonts w:ascii="Palatino Linotype" w:hAnsi="Palatino Linotype"/>
          <w:color w:val="auto"/>
          <w:sz w:val="21"/>
          <w:szCs w:val="21"/>
        </w:rPr>
        <w:t>Presupuestos de las medidas cautelares</w:t>
      </w:r>
      <w:bookmarkEnd w:id="36"/>
    </w:p>
    <w:p w:rsidR="00563A13" w:rsidRPr="00E10347" w:rsidRDefault="00563A13" w:rsidP="00E10347">
      <w:pPr>
        <w:ind w:firstLine="709"/>
        <w:jc w:val="both"/>
        <w:rPr>
          <w:rFonts w:ascii="Palatino Linotype" w:hAnsi="Palatino Linotype"/>
          <w:sz w:val="21"/>
          <w:szCs w:val="21"/>
        </w:rPr>
      </w:pPr>
      <w:r w:rsidRPr="00E10347">
        <w:rPr>
          <w:rFonts w:ascii="Palatino Linotype" w:hAnsi="Palatino Linotype"/>
          <w:sz w:val="21"/>
          <w:szCs w:val="21"/>
        </w:rPr>
        <w:t>El nuevo CPC permite a la parte solicitar la medida cautelar que considere más adecuada según el derecho a tutelar, en otras palabras, no identifica una lista de situaciones y las medidas que pueden ser solicitadas para amparar estas, tampoco se trata de fórmulas tasadas, pero, el nuevo CPC si establece los presupuestos tanto procesales como de fondo que deben concurrir para el otorgamiento de una medida.</w:t>
      </w:r>
    </w:p>
    <w:p w:rsidR="00B600D3" w:rsidRDefault="00B600D3" w:rsidP="00E10347">
      <w:pPr>
        <w:pStyle w:val="Ttulo3"/>
        <w:spacing w:before="0"/>
        <w:rPr>
          <w:rFonts w:ascii="Palatino Linotype" w:eastAsia="Times New Roman" w:hAnsi="Palatino Linotype"/>
          <w:color w:val="auto"/>
          <w:sz w:val="21"/>
          <w:szCs w:val="21"/>
          <w:lang w:val="es-CR"/>
        </w:rPr>
      </w:pPr>
      <w:bookmarkStart w:id="37" w:name="_Toc478576418"/>
    </w:p>
    <w:p w:rsidR="00563A13" w:rsidRPr="00E10347" w:rsidRDefault="0035457D" w:rsidP="00E10347">
      <w:pPr>
        <w:pStyle w:val="Ttulo3"/>
        <w:spacing w:before="0"/>
        <w:rPr>
          <w:rFonts w:ascii="Palatino Linotype" w:eastAsia="Times New Roman" w:hAnsi="Palatino Linotype"/>
          <w:color w:val="auto"/>
          <w:sz w:val="21"/>
          <w:szCs w:val="21"/>
          <w:lang w:val="es-CR"/>
        </w:rPr>
      </w:pPr>
      <w:r w:rsidRPr="00E10347">
        <w:rPr>
          <w:rFonts w:ascii="Palatino Linotype" w:eastAsia="Times New Roman" w:hAnsi="Palatino Linotype"/>
          <w:color w:val="auto"/>
          <w:sz w:val="21"/>
          <w:szCs w:val="21"/>
          <w:lang w:val="es-CR"/>
        </w:rPr>
        <w:t xml:space="preserve">a.- </w:t>
      </w:r>
      <w:r w:rsidR="00563A13" w:rsidRPr="00E10347">
        <w:rPr>
          <w:rFonts w:ascii="Palatino Linotype" w:eastAsia="Times New Roman" w:hAnsi="Palatino Linotype"/>
          <w:color w:val="auto"/>
          <w:sz w:val="21"/>
          <w:szCs w:val="21"/>
          <w:lang w:val="es-CR"/>
        </w:rPr>
        <w:t>Presupuestos procesales de admisibilidad</w:t>
      </w:r>
      <w:bookmarkEnd w:id="37"/>
    </w:p>
    <w:p w:rsidR="00563A13" w:rsidRPr="00E10347" w:rsidRDefault="0035457D" w:rsidP="00E10347">
      <w:pPr>
        <w:rPr>
          <w:rFonts w:ascii="Palatino Linotype" w:hAnsi="Palatino Linotype"/>
          <w:b/>
          <w:sz w:val="21"/>
          <w:szCs w:val="21"/>
        </w:rPr>
      </w:pPr>
      <w:r w:rsidRPr="00E10347">
        <w:rPr>
          <w:rFonts w:ascii="Palatino Linotype" w:hAnsi="Palatino Linotype"/>
          <w:b/>
          <w:sz w:val="21"/>
          <w:szCs w:val="21"/>
        </w:rPr>
        <w:t>i</w:t>
      </w:r>
      <w:r w:rsidR="009570CC" w:rsidRPr="00E10347">
        <w:rPr>
          <w:rFonts w:ascii="Palatino Linotype" w:hAnsi="Palatino Linotype"/>
          <w:b/>
          <w:sz w:val="21"/>
          <w:szCs w:val="21"/>
        </w:rPr>
        <w:t xml:space="preserve">.- </w:t>
      </w:r>
      <w:bookmarkStart w:id="38" w:name="_Toc478576419"/>
      <w:r w:rsidR="009570CC" w:rsidRPr="00E10347">
        <w:rPr>
          <w:rFonts w:ascii="Palatino Linotype" w:hAnsi="Palatino Linotype"/>
          <w:b/>
          <w:sz w:val="21"/>
          <w:szCs w:val="21"/>
        </w:rPr>
        <w:t>Se solicitan a instancia de parte</w:t>
      </w:r>
      <w:bookmarkEnd w:id="38"/>
    </w:p>
    <w:p w:rsidR="00563A13" w:rsidRPr="00E10347" w:rsidRDefault="00563A13" w:rsidP="00E10347">
      <w:pPr>
        <w:ind w:firstLine="709"/>
        <w:jc w:val="both"/>
        <w:rPr>
          <w:rFonts w:ascii="Palatino Linotype" w:hAnsi="Palatino Linotype"/>
          <w:sz w:val="21"/>
          <w:szCs w:val="21"/>
        </w:rPr>
      </w:pPr>
      <w:r w:rsidRPr="00E10347">
        <w:rPr>
          <w:rFonts w:ascii="Palatino Linotype" w:hAnsi="Palatino Linotype"/>
          <w:sz w:val="21"/>
          <w:szCs w:val="21"/>
        </w:rPr>
        <w:t xml:space="preserve">En materia civil, conforme el principio dispositivo –numerales 2.4 y 77- le corresponde a la parte solicitar la orden de una medida cautelar; no puede el tribunal actuar de oficio; por ende; también quedan sujetas a las mismas; aquellos actos de disposición como lo son el allanamiento, renuncia o desistimiento. </w:t>
      </w:r>
    </w:p>
    <w:p w:rsidR="00563A13" w:rsidRPr="00E10347" w:rsidRDefault="00563A13" w:rsidP="00E10347">
      <w:pPr>
        <w:ind w:firstLine="709"/>
        <w:jc w:val="both"/>
        <w:rPr>
          <w:rFonts w:ascii="Palatino Linotype" w:hAnsi="Palatino Linotype"/>
          <w:sz w:val="21"/>
          <w:szCs w:val="21"/>
        </w:rPr>
      </w:pPr>
      <w:r w:rsidRPr="00E10347">
        <w:rPr>
          <w:rFonts w:ascii="Palatino Linotype" w:hAnsi="Palatino Linotype"/>
          <w:sz w:val="21"/>
          <w:szCs w:val="21"/>
        </w:rPr>
        <w:t xml:space="preserve">Tampoco puede este; acordar medidas más graves que las solicitadas; siendo un requisito intrínseco de la solicitud es que el derecho afectado con la medida cautelar solicitada pertenezca o lo posea la persona contra la cual se enfila la misma; caso contrario no podría entrarse siquiera a conocer los aspectos </w:t>
      </w:r>
      <w:r w:rsidRPr="00E10347">
        <w:rPr>
          <w:rFonts w:ascii="Palatino Linotype" w:hAnsi="Palatino Linotype"/>
          <w:sz w:val="21"/>
          <w:szCs w:val="21"/>
        </w:rPr>
        <w:lastRenderedPageBreak/>
        <w:t>sustantivos de la cuestión, debiendo rechazarse de plano la petición</w:t>
      </w:r>
      <w:r w:rsidRPr="00E10347">
        <w:rPr>
          <w:rStyle w:val="Refdenotaalpie"/>
          <w:rFonts w:ascii="Palatino Linotype" w:hAnsi="Palatino Linotype"/>
          <w:sz w:val="21"/>
          <w:szCs w:val="21"/>
        </w:rPr>
        <w:footnoteReference w:id="305"/>
      </w:r>
      <w:r w:rsidRPr="00E10347">
        <w:rPr>
          <w:rFonts w:ascii="Palatino Linotype" w:hAnsi="Palatino Linotype"/>
          <w:sz w:val="21"/>
          <w:szCs w:val="21"/>
        </w:rPr>
        <w:t xml:space="preserve">. </w:t>
      </w:r>
    </w:p>
    <w:p w:rsidR="00B600D3" w:rsidRDefault="00B600D3" w:rsidP="00E10347">
      <w:pPr>
        <w:pStyle w:val="Ttulo3"/>
        <w:spacing w:before="0"/>
        <w:rPr>
          <w:rFonts w:ascii="Palatino Linotype" w:hAnsi="Palatino Linotype"/>
          <w:color w:val="auto"/>
          <w:sz w:val="21"/>
          <w:szCs w:val="21"/>
        </w:rPr>
      </w:pPr>
    </w:p>
    <w:p w:rsidR="00563A13" w:rsidRPr="00E10347" w:rsidRDefault="0035457D" w:rsidP="00E10347">
      <w:pPr>
        <w:pStyle w:val="Ttulo3"/>
        <w:spacing w:before="0"/>
        <w:rPr>
          <w:rFonts w:ascii="Palatino Linotype" w:hAnsi="Palatino Linotype"/>
          <w:color w:val="auto"/>
          <w:sz w:val="21"/>
          <w:szCs w:val="21"/>
        </w:rPr>
      </w:pPr>
      <w:r w:rsidRPr="00E10347">
        <w:rPr>
          <w:rFonts w:ascii="Palatino Linotype" w:hAnsi="Palatino Linotype"/>
          <w:color w:val="auto"/>
          <w:sz w:val="21"/>
          <w:szCs w:val="21"/>
        </w:rPr>
        <w:t>ii</w:t>
      </w:r>
      <w:r w:rsidR="009570CC" w:rsidRPr="00E10347">
        <w:rPr>
          <w:rFonts w:ascii="Palatino Linotype" w:hAnsi="Palatino Linotype"/>
          <w:color w:val="auto"/>
          <w:sz w:val="21"/>
          <w:szCs w:val="21"/>
        </w:rPr>
        <w:t xml:space="preserve">.- </w:t>
      </w:r>
      <w:bookmarkStart w:id="39" w:name="_Toc478576420"/>
      <w:r w:rsidR="009570CC" w:rsidRPr="00E10347">
        <w:rPr>
          <w:rFonts w:ascii="Palatino Linotype" w:hAnsi="Palatino Linotype"/>
          <w:color w:val="auto"/>
          <w:sz w:val="21"/>
          <w:szCs w:val="21"/>
        </w:rPr>
        <w:t>Pendencia respecto al proceso principal</w:t>
      </w:r>
      <w:bookmarkEnd w:id="39"/>
    </w:p>
    <w:p w:rsidR="00563A13" w:rsidRPr="00E10347" w:rsidRDefault="00563A13" w:rsidP="00E10347">
      <w:pPr>
        <w:ind w:firstLine="709"/>
        <w:jc w:val="both"/>
        <w:rPr>
          <w:rFonts w:ascii="Palatino Linotype" w:hAnsi="Palatino Linotype"/>
          <w:sz w:val="21"/>
          <w:szCs w:val="21"/>
        </w:rPr>
      </w:pPr>
      <w:r w:rsidRPr="00E10347">
        <w:rPr>
          <w:rFonts w:ascii="Palatino Linotype" w:hAnsi="Palatino Linotype"/>
          <w:sz w:val="21"/>
          <w:szCs w:val="21"/>
        </w:rPr>
        <w:t xml:space="preserve">Si bien las medidas pueden ser solicitadas antes o durante la tramitación del proceso; un requisito indispensable de las mismas, es la existencia del proceso principal, así lo establece el artículo 77 del código; de tal manera, un requisitos indispensable para su admisión es la pendencia de un asunto en trámite o bien próximo a iniciar; caso en el cual, debe tomarse en consideración lo correspondiente a su caducidad. </w:t>
      </w:r>
    </w:p>
    <w:p w:rsidR="00B600D3" w:rsidRDefault="00B600D3" w:rsidP="00E10347">
      <w:pPr>
        <w:pStyle w:val="Ttulo3"/>
        <w:spacing w:before="0"/>
        <w:rPr>
          <w:rFonts w:ascii="Palatino Linotype" w:hAnsi="Palatino Linotype"/>
          <w:color w:val="auto"/>
          <w:sz w:val="21"/>
          <w:szCs w:val="21"/>
        </w:rPr>
      </w:pPr>
    </w:p>
    <w:p w:rsidR="00563A13" w:rsidRPr="00E10347" w:rsidRDefault="0035457D" w:rsidP="00E10347">
      <w:pPr>
        <w:pStyle w:val="Ttulo3"/>
        <w:spacing w:before="0"/>
        <w:rPr>
          <w:rFonts w:ascii="Palatino Linotype" w:hAnsi="Palatino Linotype"/>
          <w:color w:val="auto"/>
          <w:sz w:val="21"/>
          <w:szCs w:val="21"/>
        </w:rPr>
      </w:pPr>
      <w:r w:rsidRPr="00E10347">
        <w:rPr>
          <w:rFonts w:ascii="Palatino Linotype" w:hAnsi="Palatino Linotype"/>
          <w:color w:val="auto"/>
          <w:sz w:val="21"/>
          <w:szCs w:val="21"/>
        </w:rPr>
        <w:t>iii</w:t>
      </w:r>
      <w:r w:rsidR="009570CC" w:rsidRPr="00E10347">
        <w:rPr>
          <w:rFonts w:ascii="Palatino Linotype" w:hAnsi="Palatino Linotype"/>
          <w:color w:val="auto"/>
          <w:sz w:val="21"/>
          <w:szCs w:val="21"/>
        </w:rPr>
        <w:t xml:space="preserve">.- </w:t>
      </w:r>
      <w:bookmarkStart w:id="40" w:name="_Toc478576421"/>
      <w:r w:rsidR="009570CC" w:rsidRPr="00E10347">
        <w:rPr>
          <w:rFonts w:ascii="Palatino Linotype" w:hAnsi="Palatino Linotype"/>
          <w:color w:val="auto"/>
          <w:sz w:val="21"/>
          <w:szCs w:val="21"/>
        </w:rPr>
        <w:t>Jurisdicción y competencia</w:t>
      </w:r>
      <w:bookmarkEnd w:id="40"/>
    </w:p>
    <w:p w:rsidR="00563A13" w:rsidRPr="00E10347" w:rsidRDefault="00563A13" w:rsidP="00E10347">
      <w:pPr>
        <w:ind w:firstLine="709"/>
        <w:jc w:val="both"/>
        <w:rPr>
          <w:rFonts w:ascii="Palatino Linotype" w:hAnsi="Palatino Linotype"/>
          <w:sz w:val="21"/>
          <w:szCs w:val="21"/>
        </w:rPr>
      </w:pPr>
      <w:r w:rsidRPr="00E10347">
        <w:rPr>
          <w:rFonts w:ascii="Palatino Linotype" w:hAnsi="Palatino Linotype"/>
          <w:sz w:val="21"/>
          <w:szCs w:val="21"/>
        </w:rPr>
        <w:t xml:space="preserve">Solo podrán solicitarse y por ende otorgarse medidas, para asuntos en los cuales el juez tenga jurisdicción; de esta forma por ejemplo, un tribunal civil no tendrá jurisdicción para adoptar medidas cuya pretensión persiga asuntos de índole laboral, penal u otra. </w:t>
      </w:r>
    </w:p>
    <w:p w:rsidR="00563A13" w:rsidRPr="00E10347" w:rsidRDefault="00563A13" w:rsidP="00E10347">
      <w:pPr>
        <w:ind w:firstLine="709"/>
        <w:jc w:val="both"/>
        <w:rPr>
          <w:rFonts w:ascii="Palatino Linotype" w:hAnsi="Palatino Linotype"/>
          <w:sz w:val="21"/>
          <w:szCs w:val="21"/>
        </w:rPr>
      </w:pPr>
      <w:r w:rsidRPr="00E10347">
        <w:rPr>
          <w:rFonts w:ascii="Palatino Linotype" w:hAnsi="Palatino Linotype"/>
          <w:sz w:val="21"/>
          <w:szCs w:val="21"/>
        </w:rPr>
        <w:t xml:space="preserve">Respecto a la competencia; la solicitud </w:t>
      </w:r>
      <w:r w:rsidRPr="00E10347">
        <w:rPr>
          <w:rFonts w:ascii="Palatino Linotype" w:hAnsi="Palatino Linotype"/>
          <w:i/>
          <w:sz w:val="21"/>
          <w:szCs w:val="21"/>
        </w:rPr>
        <w:t>ante litem</w:t>
      </w:r>
      <w:r w:rsidRPr="00E10347">
        <w:rPr>
          <w:rFonts w:ascii="Palatino Linotype" w:hAnsi="Palatino Linotype"/>
          <w:sz w:val="21"/>
          <w:szCs w:val="21"/>
        </w:rPr>
        <w:t xml:space="preserve"> debe realizarse siguiendo las reglas de competencia que en derecho corresponda a la cuestión; de esta forma, no podemos dejar de lado el artículo 2.2 del nuevo CPC en relación de que la finalidad de las normas procesales es dar aplicación a las de fondo; el 7.2 respecto a la competencia preventiva y puntualmente el artículo 8.4 relacionado a la competencia objetiva para el caso de actividades cautelares y preparatorias cuya competencia se le asigna al tribunal que le corresponde conocer del proceso principal ya sea que se trate de un Juzgado Civil o bien un Tribunal de Apelación y solo en caso de urgencia “podrán plantearse ante cualquier tribunal.”</w:t>
      </w:r>
    </w:p>
    <w:p w:rsidR="00563A13" w:rsidRPr="00E10347" w:rsidRDefault="00563A13" w:rsidP="00E10347">
      <w:pPr>
        <w:ind w:firstLine="709"/>
        <w:jc w:val="both"/>
        <w:rPr>
          <w:rFonts w:ascii="Palatino Linotype" w:hAnsi="Palatino Linotype"/>
          <w:sz w:val="21"/>
          <w:szCs w:val="21"/>
        </w:rPr>
      </w:pPr>
      <w:r w:rsidRPr="00E10347">
        <w:rPr>
          <w:rFonts w:ascii="Palatino Linotype" w:hAnsi="Palatino Linotype"/>
          <w:sz w:val="21"/>
          <w:szCs w:val="21"/>
        </w:rPr>
        <w:t xml:space="preserve">Importante además de observar lo establecido en el párrafo segundo del 8.4 mencionado en cuanto de forma expresa aborda el tema de las medidas cautelares en los procesos arbitrales nacionales o jurisdiccionales o arbitrales extranjeros indicando: “Si se solicita en relación con un proceso arbitral nacional o un proceso jurisdiccional o arbitral extranjero, será competente el tribunal de primera instancia del lugar donde se deba ejecutar el laudo o la sentencia, o donde deban surtir efecto las medidas a elección del promovente.”. Todo lo anterior sin dejar de lado algunas </w:t>
      </w:r>
      <w:r w:rsidRPr="00E10347">
        <w:rPr>
          <w:rFonts w:ascii="Palatino Linotype" w:hAnsi="Palatino Linotype"/>
          <w:sz w:val="21"/>
          <w:szCs w:val="21"/>
        </w:rPr>
        <w:lastRenderedPageBreak/>
        <w:t>otras reglas, como lo son las de incompetencia internacional según el artículo 11.3 del código de rito.</w:t>
      </w:r>
    </w:p>
    <w:p w:rsidR="00B600D3" w:rsidRDefault="00B600D3" w:rsidP="00E10347">
      <w:pPr>
        <w:pStyle w:val="Ttulo3"/>
        <w:spacing w:before="0"/>
        <w:rPr>
          <w:rFonts w:ascii="Palatino Linotype" w:hAnsi="Palatino Linotype"/>
          <w:color w:val="auto"/>
          <w:sz w:val="21"/>
          <w:szCs w:val="21"/>
        </w:rPr>
      </w:pPr>
    </w:p>
    <w:p w:rsidR="00563A13" w:rsidRPr="00E10347" w:rsidRDefault="0035457D" w:rsidP="00E10347">
      <w:pPr>
        <w:pStyle w:val="Ttulo3"/>
        <w:spacing w:before="0"/>
        <w:rPr>
          <w:rFonts w:ascii="Palatino Linotype" w:hAnsi="Palatino Linotype"/>
          <w:color w:val="auto"/>
          <w:sz w:val="21"/>
          <w:szCs w:val="21"/>
        </w:rPr>
      </w:pPr>
      <w:r w:rsidRPr="00E10347">
        <w:rPr>
          <w:rFonts w:ascii="Palatino Linotype" w:hAnsi="Palatino Linotype"/>
          <w:color w:val="auto"/>
          <w:sz w:val="21"/>
          <w:szCs w:val="21"/>
        </w:rPr>
        <w:t>iv</w:t>
      </w:r>
      <w:r w:rsidR="009570CC" w:rsidRPr="00E10347">
        <w:rPr>
          <w:rFonts w:ascii="Palatino Linotype" w:hAnsi="Palatino Linotype"/>
          <w:color w:val="auto"/>
          <w:sz w:val="21"/>
          <w:szCs w:val="21"/>
        </w:rPr>
        <w:t xml:space="preserve">.- </w:t>
      </w:r>
      <w:bookmarkStart w:id="41" w:name="_Toc478576422"/>
      <w:r w:rsidR="009570CC" w:rsidRPr="00E10347">
        <w:rPr>
          <w:rFonts w:ascii="Palatino Linotype" w:hAnsi="Palatino Linotype"/>
          <w:color w:val="auto"/>
          <w:sz w:val="21"/>
          <w:szCs w:val="21"/>
        </w:rPr>
        <w:t>Otros aspectos generales</w:t>
      </w:r>
      <w:bookmarkEnd w:id="41"/>
    </w:p>
    <w:p w:rsidR="00563A13" w:rsidRPr="00E10347" w:rsidRDefault="00563A13" w:rsidP="00E10347">
      <w:pPr>
        <w:ind w:firstLine="709"/>
        <w:jc w:val="both"/>
        <w:rPr>
          <w:rFonts w:ascii="Palatino Linotype" w:hAnsi="Palatino Linotype"/>
          <w:sz w:val="21"/>
          <w:szCs w:val="21"/>
        </w:rPr>
      </w:pPr>
      <w:r w:rsidRPr="00E10347">
        <w:rPr>
          <w:rFonts w:ascii="Palatino Linotype" w:hAnsi="Palatino Linotype"/>
          <w:sz w:val="21"/>
          <w:szCs w:val="21"/>
        </w:rPr>
        <w:t>Estos se refieren a otras cuestiones propias para el establecimiento de cualquier proceso judicial, entre ellos aspectos de requisitos mínimos del escrito inicial, la capacidad, autenticación de escritos, especies fiscales, etc., para lo cual entre una variedad podemos citar los artículos 19.1, 19.2, 20, 21, 22.1, 23.1, 24 y 27 del nuevo CPC.</w:t>
      </w:r>
    </w:p>
    <w:p w:rsidR="00B600D3" w:rsidRDefault="00B600D3" w:rsidP="00E10347">
      <w:pPr>
        <w:pStyle w:val="Ttulo3"/>
        <w:spacing w:before="0"/>
        <w:rPr>
          <w:rFonts w:ascii="Palatino Linotype" w:eastAsia="Times New Roman" w:hAnsi="Palatino Linotype"/>
          <w:color w:val="auto"/>
          <w:sz w:val="21"/>
          <w:szCs w:val="21"/>
          <w:lang w:val="es-CR"/>
        </w:rPr>
      </w:pPr>
      <w:bookmarkStart w:id="42" w:name="_Toc478576423"/>
    </w:p>
    <w:p w:rsidR="009570CC" w:rsidRPr="00E10347" w:rsidRDefault="0035457D" w:rsidP="00E10347">
      <w:pPr>
        <w:pStyle w:val="Ttulo3"/>
        <w:spacing w:before="0"/>
        <w:rPr>
          <w:rFonts w:ascii="Palatino Linotype" w:eastAsia="Times New Roman" w:hAnsi="Palatino Linotype"/>
          <w:color w:val="auto"/>
          <w:sz w:val="21"/>
          <w:szCs w:val="21"/>
          <w:lang w:val="es-CR"/>
        </w:rPr>
      </w:pPr>
      <w:r w:rsidRPr="00E10347">
        <w:rPr>
          <w:rFonts w:ascii="Palatino Linotype" w:eastAsia="Times New Roman" w:hAnsi="Palatino Linotype"/>
          <w:color w:val="auto"/>
          <w:sz w:val="21"/>
          <w:szCs w:val="21"/>
          <w:lang w:val="es-CR"/>
        </w:rPr>
        <w:t xml:space="preserve">b.- </w:t>
      </w:r>
      <w:r w:rsidR="00563A13" w:rsidRPr="00E10347">
        <w:rPr>
          <w:rFonts w:ascii="Palatino Linotype" w:eastAsia="Times New Roman" w:hAnsi="Palatino Linotype"/>
          <w:color w:val="auto"/>
          <w:sz w:val="21"/>
          <w:szCs w:val="21"/>
          <w:lang w:val="es-CR"/>
        </w:rPr>
        <w:t>Presupuestos materiales de admisibilidad</w:t>
      </w:r>
      <w:bookmarkEnd w:id="42"/>
    </w:p>
    <w:p w:rsidR="009570CC" w:rsidRPr="00E10347" w:rsidRDefault="0035457D" w:rsidP="00E10347">
      <w:pPr>
        <w:rPr>
          <w:rFonts w:ascii="Palatino Linotype" w:hAnsi="Palatino Linotype"/>
          <w:b/>
          <w:sz w:val="21"/>
          <w:szCs w:val="21"/>
          <w:lang w:val="es-CR"/>
        </w:rPr>
      </w:pPr>
      <w:r w:rsidRPr="00E10347">
        <w:rPr>
          <w:rFonts w:ascii="Palatino Linotype" w:hAnsi="Palatino Linotype"/>
          <w:b/>
          <w:sz w:val="21"/>
          <w:szCs w:val="21"/>
          <w:lang w:val="es-CR"/>
        </w:rPr>
        <w:t>i</w:t>
      </w:r>
      <w:r w:rsidR="009570CC" w:rsidRPr="00E10347">
        <w:rPr>
          <w:rFonts w:ascii="Palatino Linotype" w:hAnsi="Palatino Linotype"/>
          <w:b/>
          <w:sz w:val="21"/>
          <w:szCs w:val="21"/>
          <w:lang w:val="es-CR"/>
        </w:rPr>
        <w:t xml:space="preserve">.- </w:t>
      </w:r>
      <w:bookmarkStart w:id="43" w:name="_Toc478576424"/>
      <w:r w:rsidR="009570CC" w:rsidRPr="00E10347">
        <w:rPr>
          <w:rFonts w:ascii="Palatino Linotype" w:eastAsia="Times New Roman" w:hAnsi="Palatino Linotype"/>
          <w:b/>
          <w:sz w:val="21"/>
          <w:szCs w:val="21"/>
          <w:lang w:val="es-CR"/>
        </w:rPr>
        <w:t>Peligro en la demora</w:t>
      </w:r>
      <w:bookmarkEnd w:id="43"/>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bCs/>
          <w:sz w:val="21"/>
          <w:szCs w:val="21"/>
          <w:lang w:val="es-CR"/>
        </w:rPr>
        <w:t xml:space="preserve">El </w:t>
      </w:r>
      <w:r w:rsidRPr="00E10347">
        <w:rPr>
          <w:rFonts w:ascii="Palatino Linotype" w:eastAsia="Times New Roman" w:hAnsi="Palatino Linotype"/>
          <w:bCs/>
          <w:i/>
          <w:sz w:val="21"/>
          <w:szCs w:val="21"/>
          <w:lang w:val="es-CR"/>
        </w:rPr>
        <w:t>periculum in mora</w:t>
      </w:r>
      <w:r w:rsidRPr="00E10347">
        <w:rPr>
          <w:rFonts w:ascii="Palatino Linotype" w:eastAsia="Times New Roman" w:hAnsi="Palatino Linotype"/>
          <w:bCs/>
          <w:sz w:val="21"/>
          <w:szCs w:val="21"/>
          <w:lang w:val="es-CR"/>
        </w:rPr>
        <w:t xml:space="preserve"> se refiere a la </w:t>
      </w:r>
      <w:r w:rsidRPr="00E10347">
        <w:rPr>
          <w:rFonts w:ascii="Palatino Linotype" w:hAnsi="Palatino Linotype"/>
          <w:sz w:val="21"/>
          <w:szCs w:val="21"/>
        </w:rPr>
        <w:t>aptitud para combatir la infructuosidad del proceso a causa de la demora judicial en su tutela efectiva</w:t>
      </w:r>
      <w:r w:rsidRPr="00E10347">
        <w:rPr>
          <w:rFonts w:ascii="Palatino Linotype" w:eastAsia="Times New Roman" w:hAnsi="Palatino Linotype"/>
          <w:bCs/>
          <w:sz w:val="21"/>
          <w:szCs w:val="21"/>
          <w:lang w:val="es-CR"/>
        </w:rPr>
        <w:t xml:space="preserve">, </w:t>
      </w:r>
      <w:r w:rsidRPr="00E10347">
        <w:rPr>
          <w:rFonts w:ascii="Palatino Linotype" w:eastAsia="Times New Roman" w:hAnsi="Palatino Linotype"/>
          <w:sz w:val="21"/>
          <w:szCs w:val="21"/>
          <w:lang w:val="es-CR"/>
        </w:rPr>
        <w:t xml:space="preserve">lo que refiere al peligro de que el derecho que se reclama se extinga por el tiempo de espera que transcurre desde que inicia el proceso hasta que se llega a la etapa conclusiva con la sentencia. </w:t>
      </w:r>
    </w:p>
    <w:p w:rsidR="00563A13" w:rsidRPr="00E10347" w:rsidRDefault="00563A13" w:rsidP="00E10347">
      <w:pPr>
        <w:ind w:firstLine="709"/>
        <w:jc w:val="both"/>
        <w:rPr>
          <w:rFonts w:ascii="Palatino Linotype" w:eastAsia="Times New Roman" w:hAnsi="Palatino Linotype"/>
          <w:bCs/>
          <w:iCs/>
          <w:sz w:val="21"/>
          <w:szCs w:val="21"/>
          <w:lang w:val="es-CR"/>
        </w:rPr>
      </w:pPr>
      <w:r w:rsidRPr="00E10347">
        <w:rPr>
          <w:rFonts w:ascii="Palatino Linotype" w:eastAsia="Times New Roman" w:hAnsi="Palatino Linotype"/>
          <w:sz w:val="21"/>
          <w:szCs w:val="21"/>
          <w:lang w:val="es-CR"/>
        </w:rPr>
        <w:t xml:space="preserve">Los autores Andrés de la Oliva Santos, Ignacio Diez-Picaso y Jaime Vegas explican </w:t>
      </w:r>
      <w:r w:rsidRPr="00E10347">
        <w:rPr>
          <w:rFonts w:ascii="Palatino Linotype" w:eastAsia="Times New Roman" w:hAnsi="Palatino Linotype"/>
          <w:bCs/>
          <w:iCs/>
          <w:sz w:val="21"/>
          <w:szCs w:val="21"/>
          <w:lang w:val="es-CR"/>
        </w:rPr>
        <w:t>"que más que un presupuesto es el fundamento o razón de ser de las medidas cautelares: el riesgo de inefectivilidad de la eventual futura sentencia estimatoria"</w:t>
      </w:r>
      <w:r w:rsidRPr="00E10347">
        <w:rPr>
          <w:rStyle w:val="Refdenotaalpie"/>
          <w:rFonts w:ascii="Palatino Linotype" w:eastAsia="Times New Roman" w:hAnsi="Palatino Linotype"/>
          <w:bCs/>
          <w:iCs/>
          <w:sz w:val="21"/>
          <w:szCs w:val="21"/>
          <w:lang w:val="es-CR"/>
        </w:rPr>
        <w:footnoteReference w:id="306"/>
      </w:r>
      <w:r w:rsidRPr="00E10347">
        <w:rPr>
          <w:rFonts w:ascii="Palatino Linotype" w:eastAsia="Times New Roman" w:hAnsi="Palatino Linotype"/>
          <w:bCs/>
          <w:iCs/>
          <w:sz w:val="21"/>
          <w:szCs w:val="21"/>
          <w:lang w:val="es-CR"/>
        </w:rPr>
        <w:t xml:space="preserve">. </w:t>
      </w:r>
    </w:p>
    <w:p w:rsidR="00563A13" w:rsidRPr="00E10347" w:rsidRDefault="00563A13" w:rsidP="00E10347">
      <w:pPr>
        <w:ind w:firstLine="709"/>
        <w:jc w:val="both"/>
        <w:rPr>
          <w:rFonts w:ascii="Palatino Linotype" w:eastAsia="Times New Roman" w:hAnsi="Palatino Linotype"/>
          <w:bCs/>
          <w:iCs/>
          <w:sz w:val="21"/>
          <w:szCs w:val="21"/>
          <w:lang w:val="es-CR"/>
        </w:rPr>
      </w:pPr>
      <w:r w:rsidRPr="00E10347">
        <w:rPr>
          <w:rFonts w:ascii="Palatino Linotype" w:eastAsia="Times New Roman" w:hAnsi="Palatino Linotype"/>
          <w:bCs/>
          <w:iCs/>
          <w:sz w:val="21"/>
          <w:szCs w:val="21"/>
          <w:lang w:val="es-CR"/>
        </w:rPr>
        <w:t xml:space="preserve">Y es que efectivamente, la presupuesto jurídico base de las medidas cautelaras se encuentran en la prevención de que el derecho a tutelar se vea frustrado por el transcurso del tiempo, o por una actitud abusiva de la parte contraria para retrasar el asunto si más fin que el de alargar el cumplimiento. </w:t>
      </w:r>
    </w:p>
    <w:p w:rsidR="00563A13" w:rsidRPr="00E10347" w:rsidRDefault="00563A13" w:rsidP="00E10347">
      <w:pPr>
        <w:ind w:firstLine="709"/>
        <w:jc w:val="both"/>
        <w:rPr>
          <w:rFonts w:ascii="Palatino Linotype" w:eastAsia="Times New Roman" w:hAnsi="Palatino Linotype"/>
          <w:bCs/>
          <w:iCs/>
          <w:sz w:val="21"/>
          <w:szCs w:val="21"/>
          <w:lang w:val="es-CR"/>
        </w:rPr>
      </w:pPr>
      <w:r w:rsidRPr="00E10347">
        <w:rPr>
          <w:rFonts w:ascii="Palatino Linotype" w:eastAsia="Times New Roman" w:hAnsi="Palatino Linotype"/>
          <w:bCs/>
          <w:iCs/>
          <w:sz w:val="21"/>
          <w:szCs w:val="21"/>
          <w:lang w:val="es-CR"/>
        </w:rPr>
        <w:t>Este requisito se observa en el numeral 79 del nuevo CPC  en cuanto indica la observancia a la “eventual afectación a terceros o al interés público.”</w:t>
      </w:r>
    </w:p>
    <w:p w:rsidR="00B600D3" w:rsidRDefault="00B600D3" w:rsidP="00E10347">
      <w:pPr>
        <w:pStyle w:val="Ttulo3"/>
        <w:spacing w:before="0"/>
        <w:rPr>
          <w:rFonts w:ascii="Palatino Linotype" w:eastAsia="Times New Roman" w:hAnsi="Palatino Linotype"/>
          <w:color w:val="auto"/>
          <w:sz w:val="21"/>
          <w:szCs w:val="21"/>
          <w:lang w:val="es-CR"/>
        </w:rPr>
      </w:pPr>
    </w:p>
    <w:p w:rsidR="00563A13" w:rsidRPr="00E10347" w:rsidRDefault="0035457D" w:rsidP="00E10347">
      <w:pPr>
        <w:pStyle w:val="Ttulo3"/>
        <w:spacing w:before="0"/>
        <w:rPr>
          <w:rFonts w:ascii="Palatino Linotype" w:eastAsia="Times New Roman" w:hAnsi="Palatino Linotype"/>
          <w:color w:val="auto"/>
          <w:sz w:val="21"/>
          <w:szCs w:val="21"/>
          <w:lang w:val="es-CR"/>
        </w:rPr>
      </w:pPr>
      <w:r w:rsidRPr="00E10347">
        <w:rPr>
          <w:rFonts w:ascii="Palatino Linotype" w:eastAsia="Times New Roman" w:hAnsi="Palatino Linotype"/>
          <w:color w:val="auto"/>
          <w:sz w:val="21"/>
          <w:szCs w:val="21"/>
          <w:lang w:val="es-CR"/>
        </w:rPr>
        <w:t>ii</w:t>
      </w:r>
      <w:r w:rsidR="009570CC" w:rsidRPr="00E10347">
        <w:rPr>
          <w:rFonts w:ascii="Palatino Linotype" w:eastAsia="Times New Roman" w:hAnsi="Palatino Linotype"/>
          <w:color w:val="auto"/>
          <w:sz w:val="21"/>
          <w:szCs w:val="21"/>
          <w:lang w:val="es-CR"/>
        </w:rPr>
        <w:t xml:space="preserve">.- </w:t>
      </w:r>
      <w:bookmarkStart w:id="44" w:name="_Toc478576425"/>
      <w:r w:rsidR="009570CC" w:rsidRPr="00E10347">
        <w:rPr>
          <w:rFonts w:ascii="Palatino Linotype" w:eastAsia="Times New Roman" w:hAnsi="Palatino Linotype"/>
          <w:color w:val="auto"/>
          <w:sz w:val="21"/>
          <w:szCs w:val="21"/>
          <w:lang w:val="es-CR"/>
        </w:rPr>
        <w:t>Apariencia de buen derecho</w:t>
      </w:r>
      <w:bookmarkEnd w:id="44"/>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bCs/>
          <w:sz w:val="21"/>
          <w:szCs w:val="21"/>
          <w:lang w:val="es-CR"/>
        </w:rPr>
        <w:t xml:space="preserve">Sustentado en el numeral 79 del nuevo código, el </w:t>
      </w:r>
      <w:r w:rsidRPr="00E10347">
        <w:rPr>
          <w:rFonts w:ascii="Palatino Linotype" w:eastAsia="Times New Roman" w:hAnsi="Palatino Linotype"/>
          <w:bCs/>
          <w:i/>
          <w:sz w:val="21"/>
          <w:szCs w:val="21"/>
          <w:lang w:val="es-CR"/>
        </w:rPr>
        <w:t>fumus bonis iuris</w:t>
      </w:r>
      <w:r w:rsidRPr="00E10347">
        <w:rPr>
          <w:rFonts w:ascii="Palatino Linotype" w:eastAsia="Times New Roman" w:hAnsi="Palatino Linotype"/>
          <w:bCs/>
          <w:sz w:val="21"/>
          <w:szCs w:val="21"/>
          <w:lang w:val="es-CR"/>
        </w:rPr>
        <w:t xml:space="preserve"> encuentra sustento en el derecho que invoca el solicitante como justificante de la pretensión;  p</w:t>
      </w:r>
      <w:r w:rsidRPr="00E10347">
        <w:rPr>
          <w:rFonts w:ascii="Palatino Linotype" w:eastAsia="Times New Roman" w:hAnsi="Palatino Linotype"/>
          <w:sz w:val="21"/>
          <w:szCs w:val="21"/>
          <w:lang w:val="es-CR"/>
        </w:rPr>
        <w:t xml:space="preserve">ara su cumplimiento, quien solicita la medida debe fundamentar la misma en la probabilidad que tiene de que en sentencia se dicte esta como fundada. </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lastRenderedPageBreak/>
        <w:t xml:space="preserve">No se trata acá de acreditar o dar certeza completa del derecho de fondo pretendido, pues esto desbordaría el cauce normal del proceso principal, sino el </w:t>
      </w:r>
      <w:r w:rsidRPr="00E10347">
        <w:rPr>
          <w:rFonts w:ascii="Palatino Linotype" w:eastAsia="Times New Roman" w:hAnsi="Palatino Linotype"/>
          <w:i/>
          <w:sz w:val="21"/>
          <w:szCs w:val="21"/>
          <w:lang w:val="es-CR"/>
        </w:rPr>
        <w:t>fumus</w:t>
      </w:r>
      <w:r w:rsidRPr="00E10347">
        <w:rPr>
          <w:rFonts w:ascii="Palatino Linotype" w:eastAsia="Times New Roman" w:hAnsi="Palatino Linotype"/>
          <w:sz w:val="21"/>
          <w:szCs w:val="21"/>
          <w:lang w:val="es-CR"/>
        </w:rPr>
        <w:t xml:space="preserve"> (humo) de su existencia, la apariencia del mismo. </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 xml:space="preserve">Existen casos donde la propia ley releva el cumplimiento de este presupuesto como lo es el embargo preventivo; esto es así porque el legislador inclina la balanza en la protección de otro presupuesto, el peligro en la demora y las consecuencias que del mismo se puedan acarrear; suavizando la afectación al establecer una cautela, documental o monetaria.  </w:t>
      </w:r>
    </w:p>
    <w:p w:rsidR="00B600D3" w:rsidRDefault="00B600D3" w:rsidP="00E10347">
      <w:pPr>
        <w:pStyle w:val="Ttulo3"/>
        <w:spacing w:before="0"/>
        <w:rPr>
          <w:rFonts w:ascii="Palatino Linotype" w:eastAsia="Times New Roman" w:hAnsi="Palatino Linotype"/>
          <w:color w:val="auto"/>
          <w:sz w:val="21"/>
          <w:szCs w:val="21"/>
          <w:lang w:val="es-CR"/>
        </w:rPr>
      </w:pPr>
    </w:p>
    <w:p w:rsidR="00563A13" w:rsidRPr="00E10347" w:rsidRDefault="0035457D" w:rsidP="00E10347">
      <w:pPr>
        <w:pStyle w:val="Ttulo3"/>
        <w:spacing w:before="0"/>
        <w:rPr>
          <w:rFonts w:ascii="Palatino Linotype" w:eastAsia="Times New Roman" w:hAnsi="Palatino Linotype"/>
          <w:color w:val="auto"/>
          <w:sz w:val="21"/>
          <w:szCs w:val="21"/>
          <w:lang w:val="es-CR"/>
        </w:rPr>
      </w:pPr>
      <w:r w:rsidRPr="00E10347">
        <w:rPr>
          <w:rFonts w:ascii="Palatino Linotype" w:eastAsia="Times New Roman" w:hAnsi="Palatino Linotype"/>
          <w:color w:val="auto"/>
          <w:sz w:val="21"/>
          <w:szCs w:val="21"/>
          <w:lang w:val="es-CR"/>
        </w:rPr>
        <w:t>6</w:t>
      </w:r>
      <w:r w:rsidR="009570CC" w:rsidRPr="00E10347">
        <w:rPr>
          <w:rFonts w:ascii="Palatino Linotype" w:eastAsia="Times New Roman" w:hAnsi="Palatino Linotype"/>
          <w:color w:val="auto"/>
          <w:sz w:val="21"/>
          <w:szCs w:val="21"/>
          <w:lang w:val="es-CR"/>
        </w:rPr>
        <w:t xml:space="preserve">.- </w:t>
      </w:r>
      <w:bookmarkStart w:id="45" w:name="_Toc478576426"/>
      <w:r w:rsidR="009570CC" w:rsidRPr="00E10347">
        <w:rPr>
          <w:rFonts w:ascii="Palatino Linotype" w:eastAsia="Times New Roman" w:hAnsi="Palatino Linotype"/>
          <w:color w:val="auto"/>
          <w:sz w:val="21"/>
          <w:szCs w:val="21"/>
          <w:lang w:val="es-CR"/>
        </w:rPr>
        <w:t>Garantías</w:t>
      </w:r>
      <w:bookmarkEnd w:id="45"/>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 xml:space="preserve">Este no es un presupuesto que se toma para todas las medidas cautelares, sino por consiguiente es la normativa la que  indica las medidas en las que se debe presentar caución para poder ejecutar las mismas; por ello, doctrinalmente se ha admitido no ser un requisito de admisibilidad de la medida sino de ejecutoriedad de la misma.  </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 xml:space="preserve">El nuevo código parte del supuesto de que la garantía es la regla y el otorgamiento de una medida sin esta es la excepción; sí indica el numeral 79 y luego el 80 desarrollando: </w:t>
      </w:r>
    </w:p>
    <w:p w:rsidR="00563A13" w:rsidRPr="00E10347" w:rsidRDefault="00563A13" w:rsidP="00E10347">
      <w:pPr>
        <w:ind w:left="708"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“Para solicitar y decretar una medida cautelar será necesario que se rinda una garantía, salvo que por disposición expresa se exima de esa carga. En la misma resolución en la que se conceda la medida se fijará el importe de la caución, según lo dispuesto por este Código en cuanto a garantías. La medida no se ejecutará mientras la caución no se haya rendido. Excepcionalmente, a criterio del tribunal podrá eximirse de rendir garantía a quien solicite una medida cautelar, cuando existan motivos fundados o prueba fehaciente de la seriedad de la pretensión o se trate de procesos de interés social.”</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 xml:space="preserve">Respecto al monto de la caución debemos acudir a la letra de la ley o en caso de no fijarla esta, será el juez al que le  corresponde prudencialmente establecer el monto de manera pertinente y equilibrada considerando el tipo de medida que se solicita; para ello se requiere entonces por parte del solicitante el ofrecimiento desde su petición de caución, especificando el tipo, extensión y justificantes para ello como manifestación expresa de voluntad de que se está en la disposición de reparar los daños y perjuicios que se puedan generar con la adopción de la medida máxime que conforme dicho numeral, es discrecional del tribunal la posibilidad de eximir de su </w:t>
      </w:r>
      <w:r w:rsidRPr="00E10347">
        <w:rPr>
          <w:rFonts w:ascii="Palatino Linotype" w:eastAsia="Times New Roman" w:hAnsi="Palatino Linotype"/>
          <w:sz w:val="21"/>
          <w:szCs w:val="21"/>
          <w:lang w:val="es-CR"/>
        </w:rPr>
        <w:lastRenderedPageBreak/>
        <w:t xml:space="preserve">rendición solo por causas basadas en la seriedad de la pretensión o procesos de interés social, casos en los cuales, deberá además la parte su acreditación. </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 xml:space="preserve">Lo que busca este presupuesto es que la parte sea responsable; que en caso de que la sentencia sea desestimatoria o en su defecto no se diera fundamento para mantenerla se tenga una garantía que cubra los daños y perjuicios que se le causen a la contraparte; asegurando por un lado el derecho al actor de lo pretendido, pero al mismo tiempo al demandado la efectividad del resarcimiento de los daños que se pudieran causar en caso de resultar estéril el proceso. </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 xml:space="preserve">En relación a la caución; en nuestro medio se acostumbra la entrega en depósito de sumas de dinero o títulos negociables de la mano con lo establecido como garantía para el embargo preventivo; incluso, en boga se han venido ofreciendo garantías de cumplimiento bancarias –de lo cual mucho podría hablarse-; pero bien podría también tratarse de la entrega de fianzas personales, avales de primer requerimiento, declaraciones juradas de cumplimiento, de hipotecas o garantías mobiliarias, de la expedición de pólizas de seguros entre una gran variedad de supuestos. </w:t>
      </w:r>
    </w:p>
    <w:p w:rsidR="00B600D3" w:rsidRDefault="00B600D3" w:rsidP="00E10347">
      <w:pPr>
        <w:pStyle w:val="Ttulo2"/>
        <w:spacing w:before="0"/>
        <w:rPr>
          <w:rFonts w:ascii="Palatino Linotype" w:eastAsia="Times New Roman" w:hAnsi="Palatino Linotype"/>
          <w:color w:val="auto"/>
          <w:sz w:val="21"/>
          <w:szCs w:val="21"/>
        </w:rPr>
      </w:pPr>
      <w:bookmarkStart w:id="46" w:name="_Toc478576427"/>
    </w:p>
    <w:p w:rsidR="00563A13" w:rsidRPr="00E10347" w:rsidRDefault="0035457D" w:rsidP="00E10347">
      <w:pPr>
        <w:pStyle w:val="Ttulo2"/>
        <w:spacing w:before="0"/>
        <w:rPr>
          <w:rFonts w:ascii="Palatino Linotype" w:eastAsia="Times New Roman" w:hAnsi="Palatino Linotype"/>
          <w:color w:val="auto"/>
          <w:sz w:val="21"/>
          <w:szCs w:val="21"/>
        </w:rPr>
      </w:pPr>
      <w:r w:rsidRPr="00E10347">
        <w:rPr>
          <w:rFonts w:ascii="Palatino Linotype" w:eastAsia="Times New Roman" w:hAnsi="Palatino Linotype"/>
          <w:color w:val="auto"/>
          <w:sz w:val="21"/>
          <w:szCs w:val="21"/>
        </w:rPr>
        <w:t xml:space="preserve">7.- </w:t>
      </w:r>
      <w:r w:rsidR="00563A13" w:rsidRPr="00E10347">
        <w:rPr>
          <w:rFonts w:ascii="Palatino Linotype" w:eastAsia="Times New Roman" w:hAnsi="Palatino Linotype"/>
          <w:color w:val="auto"/>
          <w:sz w:val="21"/>
          <w:szCs w:val="21"/>
        </w:rPr>
        <w:t>Tipos de medidas</w:t>
      </w:r>
      <w:bookmarkEnd w:id="46"/>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El nuevo Código Procesal Civil establece de manera específica una serie de acciones consideras en la doctrina como medidas cautelares típicas pero también deja  números abiertos respecto a la posibilidad de acudir a aquellas precautorias que no se encuentren ahí de forma taxativa conocidas como atípicas o indeterminadas.</w:t>
      </w:r>
    </w:p>
    <w:p w:rsidR="00B600D3" w:rsidRDefault="00B600D3" w:rsidP="00E10347">
      <w:pPr>
        <w:pStyle w:val="Ttulo3"/>
        <w:spacing w:before="0"/>
        <w:ind w:firstLine="709"/>
        <w:rPr>
          <w:rFonts w:ascii="Palatino Linotype" w:eastAsia="Times New Roman" w:hAnsi="Palatino Linotype"/>
          <w:color w:val="auto"/>
          <w:sz w:val="21"/>
          <w:szCs w:val="21"/>
          <w:lang w:val="es-CR"/>
        </w:rPr>
      </w:pPr>
      <w:bookmarkStart w:id="47" w:name="_Toc478576428"/>
    </w:p>
    <w:p w:rsidR="00563A13" w:rsidRPr="00E10347" w:rsidRDefault="00563A13" w:rsidP="00E10347">
      <w:pPr>
        <w:pStyle w:val="Ttulo3"/>
        <w:spacing w:before="0"/>
        <w:ind w:firstLine="709"/>
        <w:rPr>
          <w:rFonts w:ascii="Palatino Linotype" w:eastAsia="Times New Roman" w:hAnsi="Palatino Linotype"/>
          <w:color w:val="auto"/>
          <w:sz w:val="21"/>
          <w:szCs w:val="21"/>
          <w:lang w:val="es-CR"/>
        </w:rPr>
      </w:pPr>
      <w:r w:rsidRPr="00E10347">
        <w:rPr>
          <w:rFonts w:ascii="Palatino Linotype" w:eastAsia="Times New Roman" w:hAnsi="Palatino Linotype"/>
          <w:color w:val="auto"/>
          <w:sz w:val="21"/>
          <w:szCs w:val="21"/>
          <w:lang w:val="es-CR"/>
        </w:rPr>
        <w:t>Medidas típicas</w:t>
      </w:r>
      <w:bookmarkEnd w:id="47"/>
    </w:p>
    <w:p w:rsidR="00563A13" w:rsidRPr="00E10347" w:rsidRDefault="009570CC" w:rsidP="00E10347">
      <w:pPr>
        <w:pStyle w:val="Ttulo3"/>
        <w:spacing w:before="0"/>
        <w:rPr>
          <w:rFonts w:ascii="Palatino Linotype" w:eastAsia="Calibri" w:hAnsi="Palatino Linotype"/>
          <w:color w:val="auto"/>
          <w:sz w:val="21"/>
          <w:szCs w:val="21"/>
        </w:rPr>
      </w:pPr>
      <w:r w:rsidRPr="00E10347">
        <w:rPr>
          <w:rFonts w:ascii="Palatino Linotype" w:eastAsia="Calibri" w:hAnsi="Palatino Linotype"/>
          <w:color w:val="auto"/>
          <w:sz w:val="21"/>
          <w:szCs w:val="21"/>
        </w:rPr>
        <w:t xml:space="preserve">a.- </w:t>
      </w:r>
      <w:bookmarkStart w:id="48" w:name="_Toc478576429"/>
      <w:r w:rsidRPr="00E10347">
        <w:rPr>
          <w:rFonts w:ascii="Palatino Linotype" w:eastAsia="Calibri" w:hAnsi="Palatino Linotype"/>
          <w:color w:val="auto"/>
          <w:sz w:val="21"/>
          <w:szCs w:val="21"/>
        </w:rPr>
        <w:t>Embargo preventivo</w:t>
      </w:r>
      <w:bookmarkEnd w:id="48"/>
    </w:p>
    <w:p w:rsidR="00563A13" w:rsidRPr="00E10347" w:rsidRDefault="00563A13" w:rsidP="00E10347">
      <w:pPr>
        <w:ind w:firstLine="709"/>
        <w:jc w:val="both"/>
        <w:rPr>
          <w:rFonts w:ascii="Palatino Linotype" w:eastAsia="Calibri" w:hAnsi="Palatino Linotype"/>
          <w:sz w:val="21"/>
          <w:szCs w:val="21"/>
        </w:rPr>
      </w:pPr>
      <w:r w:rsidRPr="00E10347">
        <w:rPr>
          <w:rFonts w:ascii="Palatino Linotype" w:eastAsia="Calibri" w:hAnsi="Palatino Linotype"/>
          <w:sz w:val="21"/>
          <w:szCs w:val="21"/>
        </w:rPr>
        <w:t>Propio de procesos de responsabilidad patrimonial donde se procura una condena de carácter dinerario, el embargo preventivo lo que procura es evitar que el deudor impida un eventual resarcimiento del actor, mediante la ocultación o distracción de bienes de todo o parte de su patrimonio.</w:t>
      </w:r>
    </w:p>
    <w:p w:rsidR="00563A13" w:rsidRPr="00E10347" w:rsidRDefault="00563A13" w:rsidP="00E10347">
      <w:pPr>
        <w:ind w:firstLine="709"/>
        <w:jc w:val="both"/>
        <w:rPr>
          <w:rFonts w:ascii="Palatino Linotype" w:eastAsia="Calibri" w:hAnsi="Palatino Linotype"/>
          <w:sz w:val="21"/>
          <w:szCs w:val="21"/>
        </w:rPr>
      </w:pPr>
      <w:r w:rsidRPr="00E10347">
        <w:rPr>
          <w:rFonts w:ascii="Palatino Linotype" w:eastAsia="Calibri" w:hAnsi="Palatino Linotype"/>
          <w:sz w:val="21"/>
          <w:szCs w:val="21"/>
        </w:rPr>
        <w:t xml:space="preserve">Para su procedencia; el artículo citado fija como regla un depósito de garantía equivalente al “veinticinco por ciento (25%) del monto por el cual se pide el embargo”, resultando innecesaria cuando la gestión se funda en un título ejecutivo. Se deben considerar acá al menos un par de novedades; como primer punto, se deja de lado la diferencia entre una garantía en dinero en efectivo y de </w:t>
      </w:r>
      <w:r w:rsidRPr="00E10347">
        <w:rPr>
          <w:rFonts w:ascii="Palatino Linotype" w:eastAsia="Calibri" w:hAnsi="Palatino Linotype"/>
          <w:sz w:val="21"/>
          <w:szCs w:val="21"/>
        </w:rPr>
        <w:lastRenderedPageBreak/>
        <w:t xml:space="preserve">valores de comercio que mantiene el código vigente y por otro lado, se establece la posibilidad de reducir la misma “en proporción al valor de lo efectivamente embargado, cuando no se encuentren suficientes bienes del deudor en los cuales hacer recaer la medida.” </w:t>
      </w:r>
    </w:p>
    <w:p w:rsidR="00563A13" w:rsidRPr="00E10347" w:rsidRDefault="00563A13" w:rsidP="00E10347">
      <w:pPr>
        <w:ind w:firstLine="709"/>
        <w:jc w:val="both"/>
        <w:rPr>
          <w:rFonts w:ascii="Palatino Linotype" w:eastAsia="Calibri" w:hAnsi="Palatino Linotype"/>
          <w:sz w:val="21"/>
          <w:szCs w:val="21"/>
        </w:rPr>
      </w:pPr>
      <w:r w:rsidRPr="00E10347">
        <w:rPr>
          <w:rFonts w:ascii="Palatino Linotype" w:eastAsia="Calibri" w:hAnsi="Palatino Linotype"/>
          <w:sz w:val="21"/>
          <w:szCs w:val="21"/>
        </w:rPr>
        <w:t>Generalmente</w:t>
      </w:r>
      <w:r w:rsidRPr="00E10347">
        <w:rPr>
          <w:rStyle w:val="Refdenotaalpie"/>
          <w:rFonts w:ascii="Palatino Linotype" w:eastAsia="Calibri" w:hAnsi="Palatino Linotype"/>
          <w:sz w:val="21"/>
          <w:szCs w:val="21"/>
        </w:rPr>
        <w:footnoteReference w:id="307"/>
      </w:r>
      <w:r w:rsidRPr="00E10347">
        <w:rPr>
          <w:rFonts w:ascii="Palatino Linotype" w:eastAsia="Calibri" w:hAnsi="Palatino Linotype"/>
          <w:sz w:val="21"/>
          <w:szCs w:val="21"/>
        </w:rPr>
        <w:t xml:space="preserve">, el embargo preventivo trae consigo además la petición de su anotación preventiva, la cual es uno de los posibles efectos del decreto de embargo pero no indispensable del mismo. Con el mismo se procura dar publicidad de su traba sobre determinado bien o derecho inscrito, garantizando el derecho de y  sujetando o subordinando los derechos nacidos con su posterioridad al mismo. </w:t>
      </w:r>
    </w:p>
    <w:p w:rsidR="00B600D3" w:rsidRDefault="00B600D3" w:rsidP="00E10347">
      <w:pPr>
        <w:pStyle w:val="Ttulo3"/>
        <w:spacing w:before="0"/>
        <w:rPr>
          <w:rFonts w:ascii="Palatino Linotype" w:eastAsia="Calibri" w:hAnsi="Palatino Linotype"/>
          <w:color w:val="auto"/>
          <w:sz w:val="21"/>
          <w:szCs w:val="21"/>
        </w:rPr>
      </w:pPr>
    </w:p>
    <w:p w:rsidR="00563A13" w:rsidRPr="00E10347" w:rsidRDefault="009570CC" w:rsidP="00E10347">
      <w:pPr>
        <w:pStyle w:val="Ttulo3"/>
        <w:spacing w:before="0"/>
        <w:rPr>
          <w:rFonts w:ascii="Palatino Linotype" w:eastAsia="Calibri" w:hAnsi="Palatino Linotype"/>
          <w:color w:val="auto"/>
          <w:sz w:val="21"/>
          <w:szCs w:val="21"/>
        </w:rPr>
      </w:pPr>
      <w:r w:rsidRPr="00E10347">
        <w:rPr>
          <w:rFonts w:ascii="Palatino Linotype" w:eastAsia="Calibri" w:hAnsi="Palatino Linotype"/>
          <w:color w:val="auto"/>
          <w:sz w:val="21"/>
          <w:szCs w:val="21"/>
        </w:rPr>
        <w:t xml:space="preserve">b.- </w:t>
      </w:r>
      <w:bookmarkStart w:id="49" w:name="_Toc478576430"/>
      <w:r w:rsidRPr="00E10347">
        <w:rPr>
          <w:rFonts w:ascii="Palatino Linotype" w:eastAsia="Calibri" w:hAnsi="Palatino Linotype"/>
          <w:color w:val="auto"/>
          <w:sz w:val="21"/>
          <w:szCs w:val="21"/>
        </w:rPr>
        <w:t>Anotación de demanda</w:t>
      </w:r>
      <w:bookmarkEnd w:id="49"/>
    </w:p>
    <w:p w:rsidR="00563A13" w:rsidRPr="00E10347" w:rsidRDefault="00563A13" w:rsidP="00E10347">
      <w:pPr>
        <w:ind w:firstLine="709"/>
        <w:jc w:val="both"/>
        <w:rPr>
          <w:rFonts w:ascii="Palatino Linotype" w:eastAsia="Calibri" w:hAnsi="Palatino Linotype"/>
          <w:sz w:val="21"/>
          <w:szCs w:val="21"/>
        </w:rPr>
      </w:pPr>
      <w:r w:rsidRPr="00E10347">
        <w:rPr>
          <w:rFonts w:ascii="Palatino Linotype" w:eastAsia="Calibri" w:hAnsi="Palatino Linotype"/>
          <w:sz w:val="21"/>
          <w:szCs w:val="21"/>
        </w:rPr>
        <w:t xml:space="preserve">Tiene por objeto el dar a conocer mediante la publicidad que permiten los asientos registrales de la existencia de un proceso pendiente que en caso de obtenerse una sentencia estimatoria pueda afectar el derecho real sobre el mismo; además de desalentar la realización de ulteriores actos de o negocios que puedan tornarse litigiosos sobre tal derecho rompiendo con el principio de tercero de buena fe. </w:t>
      </w:r>
    </w:p>
    <w:p w:rsidR="00563A13" w:rsidRPr="00E10347" w:rsidRDefault="00563A13" w:rsidP="00E10347">
      <w:pPr>
        <w:ind w:firstLine="709"/>
        <w:jc w:val="both"/>
        <w:rPr>
          <w:rFonts w:ascii="Palatino Linotype" w:eastAsia="Times New Roman" w:hAnsi="Palatino Linotype"/>
          <w:sz w:val="21"/>
          <w:szCs w:val="21"/>
          <w:lang w:val="es-CR" w:eastAsia="es-ES"/>
        </w:rPr>
      </w:pPr>
      <w:r w:rsidRPr="00E10347">
        <w:rPr>
          <w:rFonts w:ascii="Palatino Linotype" w:eastAsia="Times New Roman" w:hAnsi="Palatino Linotype"/>
          <w:sz w:val="21"/>
          <w:szCs w:val="21"/>
          <w:lang w:val="es-CR" w:eastAsia="es-ES"/>
        </w:rPr>
        <w:t>La nueva normativa además admite la anotación en registros privados como lo pueden ser los registros de accionistas al indicar “ (…) en registros públicos o privados que afecten a terceros” mientras pretendan la “ (…) extinción de un derecho real” o bien “ (…) personal con efectos reales”; última categoría dentro de las que pueden citarse las relacionadas al uso y disfrute de bienes, como  lo pueden ser arrendamientos, la posesión, el uso,  habitación, propiedad en condominio por ejemplo.</w:t>
      </w:r>
    </w:p>
    <w:p w:rsidR="00563A13" w:rsidRPr="00E10347" w:rsidRDefault="00563A13" w:rsidP="00E10347">
      <w:pPr>
        <w:ind w:firstLine="709"/>
        <w:jc w:val="both"/>
        <w:rPr>
          <w:rFonts w:ascii="Palatino Linotype" w:eastAsia="Calibri" w:hAnsi="Palatino Linotype"/>
          <w:sz w:val="21"/>
          <w:szCs w:val="21"/>
        </w:rPr>
      </w:pPr>
      <w:r w:rsidRPr="00E10347">
        <w:rPr>
          <w:rFonts w:ascii="Palatino Linotype" w:eastAsia="Calibri" w:hAnsi="Palatino Linotype"/>
          <w:sz w:val="21"/>
          <w:szCs w:val="21"/>
        </w:rPr>
        <w:t xml:space="preserve">En términos probatorios, se debe hacer ver; que el art 87 nuevo CPC, no precisa expresamente como requisito la alegación y acreditación concreta de la apariencia de buen derecho, bastando por ello, la existencia de un riesgo abstracto derivado de la duración del proceso y por ende, de la distracción del derecho alegado. No obstante; conforme lo ha manifestado en alguna oportunidad el Juez León Díaz, uno de los co redactores de esta nueva normativa, una mejor lectura del nuevo CPC nos permitiría considerar que conforme los artículos 2.3, 4.1.4, 4.2, 5.3 y 78  podría entrar el tribunal en tal valoración e incluso eventualmente rechazar la medida cuando no existan elementos suficientes para decretarla o bien, sea evidente </w:t>
      </w:r>
      <w:r w:rsidRPr="00E10347">
        <w:rPr>
          <w:rFonts w:ascii="Palatino Linotype" w:eastAsia="Calibri" w:hAnsi="Palatino Linotype"/>
          <w:sz w:val="21"/>
          <w:szCs w:val="21"/>
        </w:rPr>
        <w:lastRenderedPageBreak/>
        <w:t xml:space="preserve">la intención insustentada de la gestión. </w:t>
      </w:r>
    </w:p>
    <w:p w:rsidR="00B600D3" w:rsidRDefault="00B600D3" w:rsidP="00E10347">
      <w:pPr>
        <w:pStyle w:val="Ttulo3"/>
        <w:spacing w:before="0"/>
        <w:rPr>
          <w:rFonts w:ascii="Palatino Linotype" w:eastAsia="Calibri" w:hAnsi="Palatino Linotype"/>
          <w:color w:val="auto"/>
          <w:sz w:val="21"/>
          <w:szCs w:val="21"/>
        </w:rPr>
      </w:pPr>
    </w:p>
    <w:p w:rsidR="00563A13" w:rsidRPr="00E10347" w:rsidRDefault="009570CC" w:rsidP="00E10347">
      <w:pPr>
        <w:pStyle w:val="Ttulo3"/>
        <w:spacing w:before="0"/>
        <w:rPr>
          <w:rFonts w:ascii="Palatino Linotype" w:eastAsia="Calibri" w:hAnsi="Palatino Linotype"/>
          <w:color w:val="auto"/>
          <w:sz w:val="21"/>
          <w:szCs w:val="21"/>
        </w:rPr>
      </w:pPr>
      <w:r w:rsidRPr="00E10347">
        <w:rPr>
          <w:rFonts w:ascii="Palatino Linotype" w:eastAsia="Calibri" w:hAnsi="Palatino Linotype"/>
          <w:color w:val="auto"/>
          <w:sz w:val="21"/>
          <w:szCs w:val="21"/>
        </w:rPr>
        <w:t xml:space="preserve">c.- </w:t>
      </w:r>
      <w:bookmarkStart w:id="50" w:name="_Toc478576431"/>
      <w:r w:rsidRPr="00E10347">
        <w:rPr>
          <w:rFonts w:ascii="Palatino Linotype" w:eastAsia="Calibri" w:hAnsi="Palatino Linotype"/>
          <w:color w:val="auto"/>
          <w:sz w:val="21"/>
          <w:szCs w:val="21"/>
        </w:rPr>
        <w:t>Intervención o administración de bienes productivos</w:t>
      </w:r>
      <w:bookmarkEnd w:id="50"/>
    </w:p>
    <w:p w:rsidR="00563A13" w:rsidRPr="00E10347" w:rsidRDefault="00563A13" w:rsidP="00E10347">
      <w:pPr>
        <w:ind w:firstLine="709"/>
        <w:jc w:val="both"/>
        <w:rPr>
          <w:rFonts w:ascii="Palatino Linotype" w:eastAsia="Calibri" w:hAnsi="Palatino Linotype"/>
          <w:sz w:val="21"/>
          <w:szCs w:val="21"/>
        </w:rPr>
      </w:pPr>
      <w:r w:rsidRPr="00E10347">
        <w:rPr>
          <w:rFonts w:ascii="Palatino Linotype" w:eastAsia="Calibri" w:hAnsi="Palatino Linotype"/>
          <w:sz w:val="21"/>
          <w:szCs w:val="21"/>
        </w:rPr>
        <w:t>El sustento de este supuesto radica en varias opciones; como primer punto doctrinalmente se sostiene, podrían solicitarse para asegurar obligaciones dinerarias en supuestos en los cuales el deudor, para no hacer frente al pago de sus deudas, procura un decaimiento en la actividad productiva haciéndola entrar en pérdidas por ejemplo. Lo que aquí se persigue “no es el mantenimiento de la actividad productiva para evitar su minusvaloración, sino garantizar su normal desenvolvimiento para, con el producto obtenido, poder hacer frente al pago reclamado por el demandante.”</w:t>
      </w:r>
      <w:r w:rsidRPr="00E10347">
        <w:rPr>
          <w:rStyle w:val="Refdenotaalpie"/>
          <w:rFonts w:ascii="Palatino Linotype" w:eastAsia="Calibri" w:hAnsi="Palatino Linotype"/>
          <w:sz w:val="21"/>
          <w:szCs w:val="21"/>
        </w:rPr>
        <w:footnoteReference w:id="308"/>
      </w:r>
      <w:r w:rsidRPr="00E10347">
        <w:rPr>
          <w:rFonts w:ascii="Palatino Linotype" w:eastAsia="Calibri" w:hAnsi="Palatino Linotype"/>
          <w:sz w:val="21"/>
          <w:szCs w:val="21"/>
        </w:rPr>
        <w:t xml:space="preserve"> </w:t>
      </w:r>
    </w:p>
    <w:p w:rsidR="00563A13" w:rsidRPr="00E10347" w:rsidRDefault="00563A13" w:rsidP="00E10347">
      <w:pPr>
        <w:ind w:firstLine="709"/>
        <w:jc w:val="both"/>
        <w:rPr>
          <w:rFonts w:ascii="Palatino Linotype" w:eastAsia="Calibri" w:hAnsi="Palatino Linotype"/>
          <w:sz w:val="21"/>
          <w:szCs w:val="21"/>
        </w:rPr>
      </w:pPr>
      <w:r w:rsidRPr="00E10347">
        <w:rPr>
          <w:rFonts w:ascii="Palatino Linotype" w:eastAsia="Calibri" w:hAnsi="Palatino Linotype"/>
          <w:sz w:val="21"/>
          <w:szCs w:val="21"/>
        </w:rPr>
        <w:t>Por otro lado, también sirve esta medida para resguardar condenas de dar o de entregar tendientes a evitar el cese de la actividad determinada, evitando por ejemplo desviación de clientes, celebración de contratos perniciosos.  En este último supuesto, debe además valorarse dos circunstancias; el posible nombramiento de un interventor o administrador, siendo el tribunal el que determine el grado de interferencia en la actividad empresarial por parte de los mismos, funciones, rendición de cuenta; y por otro, la valoración en la apariencia de buen derecho, el porcentaje de participación de lo pretendido frente a la proporcionalidad de la medida.</w:t>
      </w:r>
    </w:p>
    <w:p w:rsidR="00563A13" w:rsidRPr="00E10347" w:rsidRDefault="00563A13" w:rsidP="00E10347">
      <w:pPr>
        <w:ind w:firstLine="709"/>
        <w:jc w:val="both"/>
        <w:rPr>
          <w:rFonts w:ascii="Palatino Linotype" w:eastAsia="Calibri" w:hAnsi="Palatino Linotype"/>
          <w:sz w:val="21"/>
          <w:szCs w:val="21"/>
        </w:rPr>
      </w:pPr>
      <w:r w:rsidRPr="00E10347">
        <w:rPr>
          <w:rFonts w:ascii="Palatino Linotype" w:eastAsia="Calibri" w:hAnsi="Palatino Linotype"/>
          <w:sz w:val="21"/>
          <w:szCs w:val="21"/>
        </w:rPr>
        <w:t>Estos supuestos podrían considerarse contenidos en la norma en estudio, en esos términos el artículo 88 del nuevo código indica:</w:t>
      </w:r>
    </w:p>
    <w:p w:rsidR="00563A13" w:rsidRPr="00E10347" w:rsidRDefault="00563A13" w:rsidP="00E10347">
      <w:pPr>
        <w:ind w:left="708" w:firstLine="709"/>
        <w:jc w:val="both"/>
        <w:rPr>
          <w:rFonts w:ascii="Palatino Linotype" w:eastAsia="Calibri" w:hAnsi="Palatino Linotype"/>
          <w:sz w:val="21"/>
          <w:szCs w:val="21"/>
        </w:rPr>
      </w:pPr>
      <w:r w:rsidRPr="00E10347">
        <w:rPr>
          <w:rFonts w:ascii="Palatino Linotype" w:eastAsia="Calibri" w:hAnsi="Palatino Linotype"/>
          <w:sz w:val="21"/>
          <w:szCs w:val="21"/>
        </w:rPr>
        <w:t xml:space="preserve">“Se podrá disponer la administración o intervención de bienes productivos, cuando se pretenda su entrega a título de dueño, usufructuario o cualquier otro que comporte interés legítimo en mantener o mejorar la productividad, o cuando la garantía de esta sea de primordial interés para la efectividad de la condena que pudiera recaer.” </w:t>
      </w:r>
    </w:p>
    <w:p w:rsidR="00563A13" w:rsidRPr="00E10347" w:rsidRDefault="00563A13" w:rsidP="00E10347">
      <w:pPr>
        <w:ind w:firstLine="709"/>
        <w:rPr>
          <w:rFonts w:ascii="Palatino Linotype" w:eastAsia="Calibri" w:hAnsi="Palatino Linotype"/>
          <w:sz w:val="21"/>
          <w:szCs w:val="21"/>
        </w:rPr>
      </w:pPr>
      <w:r w:rsidRPr="00E10347">
        <w:rPr>
          <w:rFonts w:ascii="Palatino Linotype" w:eastAsia="Calibri" w:hAnsi="Palatino Linotype"/>
          <w:sz w:val="21"/>
          <w:szCs w:val="21"/>
        </w:rPr>
        <w:t xml:space="preserve">Respecto al nombramiento de interventor o administrador dicho numeral 88.1 en relación al 88.2 lo desarrolla junto con sus responsabilidades. </w:t>
      </w:r>
    </w:p>
    <w:p w:rsidR="00B600D3" w:rsidRDefault="00B600D3" w:rsidP="00E10347">
      <w:pPr>
        <w:pStyle w:val="Ttulo3"/>
        <w:spacing w:before="0"/>
        <w:rPr>
          <w:rFonts w:ascii="Palatino Linotype" w:eastAsia="Times New Roman" w:hAnsi="Palatino Linotype"/>
          <w:color w:val="auto"/>
          <w:sz w:val="21"/>
          <w:szCs w:val="21"/>
          <w:lang w:val="es-CR"/>
        </w:rPr>
      </w:pPr>
    </w:p>
    <w:p w:rsidR="00563A13" w:rsidRPr="00E10347" w:rsidRDefault="009570CC" w:rsidP="00E10347">
      <w:pPr>
        <w:pStyle w:val="Ttulo3"/>
        <w:spacing w:before="0"/>
        <w:rPr>
          <w:rFonts w:ascii="Palatino Linotype" w:eastAsia="Times New Roman" w:hAnsi="Palatino Linotype"/>
          <w:color w:val="auto"/>
          <w:sz w:val="21"/>
          <w:szCs w:val="21"/>
          <w:lang w:val="es-CR"/>
        </w:rPr>
      </w:pPr>
      <w:r w:rsidRPr="00E10347">
        <w:rPr>
          <w:rFonts w:ascii="Palatino Linotype" w:eastAsia="Times New Roman" w:hAnsi="Palatino Linotype"/>
          <w:color w:val="auto"/>
          <w:sz w:val="21"/>
          <w:szCs w:val="21"/>
          <w:lang w:val="es-CR"/>
        </w:rPr>
        <w:t xml:space="preserve">d.- </w:t>
      </w:r>
      <w:bookmarkStart w:id="51" w:name="_Toc478576432"/>
      <w:r w:rsidRPr="00E10347">
        <w:rPr>
          <w:rFonts w:ascii="Palatino Linotype" w:eastAsia="Times New Roman" w:hAnsi="Palatino Linotype"/>
          <w:color w:val="auto"/>
          <w:sz w:val="21"/>
          <w:szCs w:val="21"/>
          <w:lang w:val="es-CR"/>
        </w:rPr>
        <w:t>Suspensión provisional de acuerdos sociales, condominales y similares</w:t>
      </w:r>
      <w:bookmarkEnd w:id="51"/>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 xml:space="preserve">Esta medida tiende a evitar los peligros de un acuerdo de tipo asociativo gravemente perjudicial a alguno de los socios, condóminos u otra entidad de </w:t>
      </w:r>
      <w:r w:rsidRPr="00E10347">
        <w:rPr>
          <w:rFonts w:ascii="Palatino Linotype" w:eastAsia="Times New Roman" w:hAnsi="Palatino Linotype"/>
          <w:sz w:val="21"/>
          <w:szCs w:val="21"/>
          <w:lang w:val="es-CR"/>
        </w:rPr>
        <w:lastRenderedPageBreak/>
        <w:t xml:space="preserve">organización similar; para lo cual se exige la acreditación de una legitimación plena por parte del demandante al indicar la norma 89 ibídem: </w:t>
      </w:r>
    </w:p>
    <w:p w:rsidR="00563A13" w:rsidRPr="00E10347" w:rsidRDefault="00563A13" w:rsidP="00E10347">
      <w:pPr>
        <w:ind w:left="708"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“Cuando se tratara de sociedades comerciales, el solicitante deberá demostrar y representar al menos el diez por ciento (10%) del capital. Si se tratara de otras personas jurídicas o entidades, deberá demostrar que es titular de cuotas en la misma proporción.”</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 xml:space="preserve">Según mi punto de vista, estos </w:t>
      </w:r>
      <w:r w:rsidRPr="00E10347">
        <w:rPr>
          <w:rFonts w:ascii="Palatino Linotype" w:eastAsia="Times New Roman" w:hAnsi="Palatino Linotype"/>
          <w:noProof/>
          <w:sz w:val="21"/>
          <w:szCs w:val="21"/>
          <w:lang w:val="es-CR" w:eastAsia="es-CR"/>
        </w:rPr>
        <w:t xml:space="preserve">porcentajes deben acreditarse se tuvieron en el momento en que se solicita la medida, </w:t>
      </w:r>
      <w:r w:rsidRPr="00E10347">
        <w:rPr>
          <w:rFonts w:ascii="Palatino Linotype" w:eastAsia="Times New Roman" w:hAnsi="Palatino Linotype"/>
          <w:i/>
          <w:noProof/>
          <w:sz w:val="21"/>
          <w:szCs w:val="21"/>
          <w:lang w:val="es-CR" w:eastAsia="es-CR"/>
        </w:rPr>
        <w:t>a priori</w:t>
      </w:r>
      <w:r w:rsidRPr="00E10347">
        <w:rPr>
          <w:rFonts w:ascii="Palatino Linotype" w:eastAsia="Times New Roman" w:hAnsi="Palatino Linotype"/>
          <w:noProof/>
          <w:sz w:val="21"/>
          <w:szCs w:val="21"/>
          <w:lang w:val="es-CR" w:eastAsia="es-CR"/>
        </w:rPr>
        <w:t xml:space="preserve"> de la misma cuando se dio el acuerdo y  </w:t>
      </w:r>
      <w:r w:rsidRPr="00E10347">
        <w:rPr>
          <w:rFonts w:ascii="Palatino Linotype" w:eastAsia="Times New Roman" w:hAnsi="Palatino Linotype"/>
          <w:i/>
          <w:noProof/>
          <w:sz w:val="21"/>
          <w:szCs w:val="21"/>
          <w:lang w:val="es-CR" w:eastAsia="es-CR"/>
        </w:rPr>
        <w:t>a posteriori</w:t>
      </w:r>
      <w:r w:rsidRPr="00E10347">
        <w:rPr>
          <w:rFonts w:ascii="Palatino Linotype" w:eastAsia="Times New Roman" w:hAnsi="Palatino Linotype"/>
          <w:noProof/>
          <w:sz w:val="21"/>
          <w:szCs w:val="21"/>
          <w:lang w:val="es-CR" w:eastAsia="es-CR"/>
        </w:rPr>
        <w:t xml:space="preserve"> durante toda la vigencia de la medida para no evadir la finalidad de la misma. </w:t>
      </w:r>
    </w:p>
    <w:p w:rsidR="00563A13" w:rsidRPr="00E10347" w:rsidRDefault="009570CC" w:rsidP="00E10347">
      <w:pPr>
        <w:pStyle w:val="Ttulo3"/>
        <w:spacing w:before="0"/>
        <w:rPr>
          <w:rFonts w:ascii="Palatino Linotype" w:eastAsia="Calibri" w:hAnsi="Palatino Linotype"/>
          <w:color w:val="auto"/>
          <w:sz w:val="21"/>
          <w:szCs w:val="21"/>
        </w:rPr>
      </w:pPr>
      <w:r w:rsidRPr="00E10347">
        <w:rPr>
          <w:rFonts w:ascii="Palatino Linotype" w:eastAsia="Calibri" w:hAnsi="Palatino Linotype"/>
          <w:color w:val="auto"/>
          <w:sz w:val="21"/>
          <w:szCs w:val="21"/>
        </w:rPr>
        <w:t xml:space="preserve">e.- </w:t>
      </w:r>
      <w:bookmarkStart w:id="52" w:name="_Toc478576433"/>
      <w:r w:rsidRPr="00E10347">
        <w:rPr>
          <w:rFonts w:ascii="Palatino Linotype" w:eastAsia="Calibri" w:hAnsi="Palatino Linotype"/>
          <w:color w:val="auto"/>
          <w:sz w:val="21"/>
          <w:szCs w:val="21"/>
        </w:rPr>
        <w:t>Depósito de cosa mueble o inmueble</w:t>
      </w:r>
      <w:bookmarkEnd w:id="52"/>
    </w:p>
    <w:p w:rsidR="00563A13" w:rsidRPr="00E10347" w:rsidRDefault="00563A13" w:rsidP="00E10347">
      <w:pPr>
        <w:ind w:firstLine="709"/>
        <w:jc w:val="both"/>
        <w:rPr>
          <w:rFonts w:ascii="Palatino Linotype" w:eastAsia="Calibri" w:hAnsi="Palatino Linotype"/>
          <w:sz w:val="21"/>
          <w:szCs w:val="21"/>
        </w:rPr>
      </w:pPr>
      <w:r w:rsidRPr="00E10347">
        <w:rPr>
          <w:rFonts w:ascii="Palatino Linotype" w:eastAsia="Calibri" w:hAnsi="Palatino Linotype"/>
          <w:sz w:val="21"/>
          <w:szCs w:val="21"/>
        </w:rPr>
        <w:t xml:space="preserve">Otro tipo de medida en pretensiones de dar o entregar algo la encontramos en el depósito de cosa mueble o inmueble, donde la pretensión versa sobre la entrega de una cosa que se encuentra en poder del demandado o un tercero designado por este, procurando que la misma sea depositaba fuera de la posibilidad de disposición del demandado hasta tanto se resuelva sobre su legitimidad; de lo cual, preliminarmente, se podría decir que la carga probatoria de esa apariencia de buen derecho debe ser bastante fuerte. </w:t>
      </w:r>
    </w:p>
    <w:p w:rsidR="00B600D3" w:rsidRDefault="00B600D3" w:rsidP="00E10347">
      <w:pPr>
        <w:pStyle w:val="Ttulo3"/>
        <w:spacing w:before="0"/>
        <w:rPr>
          <w:rFonts w:ascii="Palatino Linotype" w:eastAsia="Calibri" w:hAnsi="Palatino Linotype"/>
          <w:color w:val="auto"/>
          <w:sz w:val="21"/>
          <w:szCs w:val="21"/>
        </w:rPr>
      </w:pPr>
      <w:bookmarkStart w:id="53" w:name="_Toc478576434"/>
    </w:p>
    <w:p w:rsidR="00563A13" w:rsidRPr="00E10347" w:rsidRDefault="003E3FFE" w:rsidP="00E10347">
      <w:pPr>
        <w:pStyle w:val="Ttulo3"/>
        <w:spacing w:before="0"/>
        <w:rPr>
          <w:rFonts w:ascii="Palatino Linotype" w:eastAsia="Calibri" w:hAnsi="Palatino Linotype"/>
          <w:color w:val="auto"/>
          <w:sz w:val="21"/>
          <w:szCs w:val="21"/>
        </w:rPr>
      </w:pPr>
      <w:r w:rsidRPr="00E10347">
        <w:rPr>
          <w:rFonts w:ascii="Palatino Linotype" w:eastAsia="Calibri" w:hAnsi="Palatino Linotype"/>
          <w:color w:val="auto"/>
          <w:sz w:val="21"/>
          <w:szCs w:val="21"/>
        </w:rPr>
        <w:t xml:space="preserve">f.- </w:t>
      </w:r>
      <w:r w:rsidR="00563A13" w:rsidRPr="00E10347">
        <w:rPr>
          <w:rFonts w:ascii="Palatino Linotype" w:eastAsia="Calibri" w:hAnsi="Palatino Linotype"/>
          <w:color w:val="auto"/>
          <w:sz w:val="21"/>
          <w:szCs w:val="21"/>
        </w:rPr>
        <w:t>Acciones conminatorias</w:t>
      </w:r>
      <w:bookmarkEnd w:id="53"/>
    </w:p>
    <w:p w:rsidR="00563A13" w:rsidRPr="00E10347" w:rsidRDefault="00563A13" w:rsidP="00E10347">
      <w:pPr>
        <w:ind w:firstLine="709"/>
        <w:jc w:val="both"/>
        <w:rPr>
          <w:rFonts w:ascii="Palatino Linotype" w:eastAsia="Calibri" w:hAnsi="Palatino Linotype"/>
          <w:sz w:val="21"/>
          <w:szCs w:val="21"/>
        </w:rPr>
      </w:pPr>
      <w:r w:rsidRPr="00E10347">
        <w:rPr>
          <w:rFonts w:ascii="Palatino Linotype" w:eastAsia="Calibri" w:hAnsi="Palatino Linotype"/>
          <w:sz w:val="21"/>
          <w:szCs w:val="21"/>
        </w:rPr>
        <w:t xml:space="preserve">Por otro lado, respecto a pretensiones de condena a no hacer algo, encontramos disposiciones en el nuevo CPC –artículo 91- destinadas a emitir órdenes conminatorias como el de cesar provisionalmente una actividad. Por su naturaleza, su aplicabilidad es considerada de carácter limitado al tender no a garantizar los efectos de una sentencia sino a anticipar sus efectos ocupando la valoración del peligro de la demora un lugar relevante. </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 xml:space="preserve">Un ejemplo de lo anterior lo encontramos en el artículo 5 de la Ley de Procedimientos de Observancia de los Derechos de Propiedad Intelectual en cuanto establece: </w:t>
      </w:r>
    </w:p>
    <w:p w:rsidR="00563A13" w:rsidRPr="00E10347" w:rsidRDefault="00563A13" w:rsidP="00E10347">
      <w:pPr>
        <w:ind w:left="1416" w:firstLine="2"/>
        <w:rPr>
          <w:rFonts w:ascii="Palatino Linotype" w:hAnsi="Palatino Linotype"/>
          <w:sz w:val="21"/>
          <w:szCs w:val="21"/>
        </w:rPr>
      </w:pPr>
      <w:r w:rsidRPr="00E10347">
        <w:rPr>
          <w:rFonts w:ascii="Palatino Linotype" w:hAnsi="Palatino Linotype"/>
          <w:sz w:val="21"/>
          <w:szCs w:val="21"/>
        </w:rPr>
        <w:t>“Artículo 5º-Medidas. Podrán ordenarse, entre otras, las siguientes medidas cautelares:</w:t>
      </w:r>
      <w:r w:rsidRPr="00E10347">
        <w:rPr>
          <w:rFonts w:ascii="Palatino Linotype" w:hAnsi="Palatino Linotype"/>
          <w:sz w:val="21"/>
          <w:szCs w:val="21"/>
        </w:rPr>
        <w:br/>
        <w:t>a) El cese inmediato de los actos que constituyen la infracción.</w:t>
      </w:r>
    </w:p>
    <w:p w:rsidR="00563A13" w:rsidRPr="00E10347" w:rsidRDefault="00563A13" w:rsidP="00E10347">
      <w:pPr>
        <w:ind w:left="709" w:firstLine="709"/>
        <w:rPr>
          <w:rFonts w:ascii="Palatino Linotype" w:hAnsi="Palatino Linotype"/>
          <w:sz w:val="21"/>
          <w:szCs w:val="21"/>
        </w:rPr>
      </w:pPr>
      <w:r w:rsidRPr="00E10347">
        <w:rPr>
          <w:rFonts w:ascii="Palatino Linotype" w:hAnsi="Palatino Linotype"/>
          <w:sz w:val="21"/>
          <w:szCs w:val="21"/>
        </w:rPr>
        <w:t>b) El embargo de las mercancías falsificadas o ilegales.</w:t>
      </w:r>
    </w:p>
    <w:p w:rsidR="00563A13" w:rsidRPr="00E10347" w:rsidRDefault="00563A13" w:rsidP="00E10347">
      <w:pPr>
        <w:ind w:left="709" w:firstLine="709"/>
        <w:rPr>
          <w:rFonts w:ascii="Palatino Linotype" w:hAnsi="Palatino Linotype"/>
          <w:sz w:val="21"/>
          <w:szCs w:val="21"/>
        </w:rPr>
      </w:pPr>
      <w:r w:rsidRPr="00E10347">
        <w:rPr>
          <w:rFonts w:ascii="Palatino Linotype" w:hAnsi="Palatino Linotype"/>
          <w:sz w:val="21"/>
          <w:szCs w:val="21"/>
        </w:rPr>
        <w:t>c) La suspensión del despacho aduanero de las mercancías, materiales o medios referidos en el inciso b).</w:t>
      </w:r>
    </w:p>
    <w:p w:rsidR="00563A13" w:rsidRPr="00E10347" w:rsidRDefault="00563A13" w:rsidP="00E10347">
      <w:pPr>
        <w:ind w:left="709" w:firstLine="709"/>
        <w:rPr>
          <w:rFonts w:ascii="Palatino Linotype" w:hAnsi="Palatino Linotype"/>
          <w:sz w:val="21"/>
          <w:szCs w:val="21"/>
        </w:rPr>
      </w:pPr>
      <w:r w:rsidRPr="00E10347">
        <w:rPr>
          <w:rFonts w:ascii="Palatino Linotype" w:hAnsi="Palatino Linotype"/>
          <w:sz w:val="21"/>
          <w:szCs w:val="21"/>
        </w:rPr>
        <w:lastRenderedPageBreak/>
        <w:t>d) La caución, por el presunto infractor, de una fianza u otra garantía suficiente.”</w:t>
      </w:r>
    </w:p>
    <w:p w:rsidR="00563A13" w:rsidRPr="00E10347" w:rsidRDefault="00563A13" w:rsidP="00E10347">
      <w:pPr>
        <w:ind w:firstLine="709"/>
        <w:jc w:val="both"/>
        <w:rPr>
          <w:rFonts w:ascii="Palatino Linotype" w:eastAsia="Times New Roman" w:hAnsi="Palatino Linotype"/>
          <w:sz w:val="21"/>
          <w:szCs w:val="21"/>
        </w:rPr>
      </w:pPr>
      <w:r w:rsidRPr="00E10347">
        <w:rPr>
          <w:rFonts w:ascii="Palatino Linotype" w:eastAsia="Times New Roman" w:hAnsi="Palatino Linotype"/>
          <w:sz w:val="21"/>
          <w:szCs w:val="21"/>
        </w:rPr>
        <w:t xml:space="preserve">Encontramos además otros ejemplos en la legislación; como el solicitar el demandado se abstenga de construir mejoras en un inmueble en disputa, de finiquitar contratos que puedan poner en peligro alguna administración; entre otras. </w:t>
      </w:r>
    </w:p>
    <w:p w:rsidR="00B600D3" w:rsidRDefault="00B600D3" w:rsidP="00E10347">
      <w:pPr>
        <w:pStyle w:val="Ttulo3"/>
        <w:spacing w:before="0"/>
        <w:rPr>
          <w:rFonts w:ascii="Palatino Linotype" w:eastAsia="Times New Roman" w:hAnsi="Palatino Linotype"/>
          <w:color w:val="auto"/>
          <w:sz w:val="21"/>
          <w:szCs w:val="21"/>
          <w:lang w:val="es-CR"/>
        </w:rPr>
      </w:pPr>
      <w:bookmarkStart w:id="54" w:name="_Toc478576435"/>
    </w:p>
    <w:p w:rsidR="00563A13" w:rsidRPr="00E10347" w:rsidRDefault="0035457D" w:rsidP="00E10347">
      <w:pPr>
        <w:pStyle w:val="Ttulo3"/>
        <w:spacing w:before="0"/>
        <w:rPr>
          <w:rFonts w:ascii="Palatino Linotype" w:eastAsia="Times New Roman" w:hAnsi="Palatino Linotype"/>
          <w:color w:val="auto"/>
          <w:sz w:val="21"/>
          <w:szCs w:val="21"/>
          <w:lang w:val="es-CR"/>
        </w:rPr>
      </w:pPr>
      <w:r w:rsidRPr="00E10347">
        <w:rPr>
          <w:rFonts w:ascii="Palatino Linotype" w:eastAsia="Times New Roman" w:hAnsi="Palatino Linotype"/>
          <w:color w:val="auto"/>
          <w:sz w:val="21"/>
          <w:szCs w:val="21"/>
          <w:lang w:val="es-CR"/>
        </w:rPr>
        <w:t xml:space="preserve">8.- </w:t>
      </w:r>
      <w:r w:rsidR="00563A13" w:rsidRPr="00E10347">
        <w:rPr>
          <w:rFonts w:ascii="Palatino Linotype" w:eastAsia="Times New Roman" w:hAnsi="Palatino Linotype"/>
          <w:color w:val="auto"/>
          <w:sz w:val="21"/>
          <w:szCs w:val="21"/>
          <w:lang w:val="es-CR"/>
        </w:rPr>
        <w:t>Medidas atípicas</w:t>
      </w:r>
      <w:bookmarkEnd w:id="54"/>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 xml:space="preserve">Dispone el artículo 92 del nuevo CPC que “Además de las medidas cautelares expresamente contempladas por el ordenamiento jurídico, el tribunal podrá adoptar todas las que sean necesarias para asegurar la efectividad de la tutela judicial que pudiera otorgare en la sentencia.”, lo cual permite adoptar cualquier otro tipo de medida distinta a las ya </w:t>
      </w:r>
      <w:r w:rsidRPr="00E10347">
        <w:rPr>
          <w:rFonts w:ascii="Palatino Linotype" w:eastAsia="Times New Roman" w:hAnsi="Palatino Linotype"/>
          <w:i/>
          <w:sz w:val="21"/>
          <w:szCs w:val="21"/>
          <w:lang w:val="es-CR"/>
        </w:rPr>
        <w:t>supra</w:t>
      </w:r>
      <w:r w:rsidRPr="00E10347">
        <w:rPr>
          <w:rFonts w:ascii="Palatino Linotype" w:eastAsia="Times New Roman" w:hAnsi="Palatino Linotype"/>
          <w:sz w:val="21"/>
          <w:szCs w:val="21"/>
          <w:lang w:val="es-CR"/>
        </w:rPr>
        <w:t xml:space="preserve"> enumeradas; es por esto que sin ninguna duda se puede afirmar que tratándose de estas, el código se ciñe a un sistema de </w:t>
      </w:r>
      <w:r w:rsidRPr="00E10347">
        <w:rPr>
          <w:rFonts w:ascii="Palatino Linotype" w:eastAsia="Times New Roman" w:hAnsi="Palatino Linotype"/>
          <w:i/>
          <w:sz w:val="21"/>
          <w:szCs w:val="21"/>
          <w:lang w:val="es-CR"/>
        </w:rPr>
        <w:t>numerus apertus</w:t>
      </w:r>
      <w:r w:rsidRPr="00E10347">
        <w:rPr>
          <w:rFonts w:ascii="Palatino Linotype" w:eastAsia="Times New Roman" w:hAnsi="Palatino Linotype"/>
          <w:sz w:val="21"/>
          <w:szCs w:val="21"/>
          <w:lang w:val="es-CR"/>
        </w:rPr>
        <w:t xml:space="preserve"> en cuanto a su otorgamiento siempre y cuando sean necesarias para asegurar la tutela judicial brindando un listado </w:t>
      </w:r>
      <w:r w:rsidRPr="00E10347">
        <w:rPr>
          <w:rFonts w:ascii="Palatino Linotype" w:eastAsia="Times New Roman" w:hAnsi="Palatino Linotype"/>
          <w:sz w:val="21"/>
          <w:szCs w:val="21"/>
          <w:u w:val="single"/>
          <w:lang w:val="es-CR"/>
        </w:rPr>
        <w:t xml:space="preserve">ejemplificativo </w:t>
      </w:r>
      <w:r w:rsidRPr="00E10347">
        <w:rPr>
          <w:rFonts w:ascii="Palatino Linotype" w:eastAsia="Times New Roman" w:hAnsi="Palatino Linotype"/>
          <w:sz w:val="21"/>
          <w:szCs w:val="21"/>
          <w:lang w:val="es-CR"/>
        </w:rPr>
        <w:t>de medidas a adoptar.</w:t>
      </w:r>
    </w:p>
    <w:p w:rsidR="00B600D3" w:rsidRDefault="00B600D3" w:rsidP="00E10347">
      <w:pPr>
        <w:pStyle w:val="Ttulo2"/>
        <w:spacing w:before="0"/>
        <w:rPr>
          <w:rFonts w:ascii="Palatino Linotype" w:eastAsia="Times New Roman" w:hAnsi="Palatino Linotype"/>
          <w:color w:val="auto"/>
          <w:sz w:val="21"/>
          <w:szCs w:val="21"/>
          <w:lang w:val="es-CR"/>
        </w:rPr>
      </w:pPr>
      <w:bookmarkStart w:id="55" w:name="_Toc478576436"/>
    </w:p>
    <w:p w:rsidR="00563A13" w:rsidRPr="00E10347" w:rsidRDefault="0035457D" w:rsidP="00E10347">
      <w:pPr>
        <w:pStyle w:val="Ttulo2"/>
        <w:spacing w:before="0"/>
        <w:rPr>
          <w:rFonts w:ascii="Palatino Linotype" w:eastAsia="Times New Roman" w:hAnsi="Palatino Linotype"/>
          <w:color w:val="auto"/>
          <w:sz w:val="21"/>
          <w:szCs w:val="21"/>
          <w:lang w:val="es-CR"/>
        </w:rPr>
      </w:pPr>
      <w:r w:rsidRPr="00E10347">
        <w:rPr>
          <w:rFonts w:ascii="Palatino Linotype" w:eastAsia="Times New Roman" w:hAnsi="Palatino Linotype"/>
          <w:color w:val="auto"/>
          <w:sz w:val="21"/>
          <w:szCs w:val="21"/>
          <w:lang w:val="es-CR"/>
        </w:rPr>
        <w:t xml:space="preserve">9.- </w:t>
      </w:r>
      <w:r w:rsidR="00563A13" w:rsidRPr="00E10347">
        <w:rPr>
          <w:rFonts w:ascii="Palatino Linotype" w:eastAsia="Times New Roman" w:hAnsi="Palatino Linotype"/>
          <w:color w:val="auto"/>
          <w:sz w:val="21"/>
          <w:szCs w:val="21"/>
          <w:lang w:val="es-CR"/>
        </w:rPr>
        <w:t>Aspectos probatorios</w:t>
      </w:r>
      <w:bookmarkEnd w:id="55"/>
      <w:r w:rsidRPr="00E10347">
        <w:rPr>
          <w:rFonts w:ascii="Palatino Linotype" w:eastAsia="Times New Roman" w:hAnsi="Palatino Linotype"/>
          <w:color w:val="auto"/>
          <w:sz w:val="21"/>
          <w:szCs w:val="21"/>
          <w:lang w:val="es-CR"/>
        </w:rPr>
        <w:t xml:space="preserve"> de las medidas cautelares</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Independientemente de que la medida sea típica o atípica, consideró, su solicitud debe indicar de manera clara y precisa el tipo de medida, la justificación que ampara su adopción, así como la prueba pertinente que respalde la posición del solicitante.</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 xml:space="preserve">En estos términos, se debe de demostrar el buen derecho que tiene el accionante el cual será valorado intrínsecamente a la medida solicitada en relación a la verosimilitud  que del derecho de fondo se acredite. </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 xml:space="preserve">Repetimos, no se trata de acreditar el derecho de fondo pretendido, por ende no es exigible prueba determinante ni acabada o plena, sino una acreditación </w:t>
      </w:r>
      <w:r w:rsidRPr="00E10347">
        <w:rPr>
          <w:rFonts w:ascii="Palatino Linotype" w:eastAsia="Times New Roman" w:hAnsi="Palatino Linotype"/>
          <w:i/>
          <w:sz w:val="21"/>
          <w:szCs w:val="21"/>
          <w:lang w:val="es-CR"/>
        </w:rPr>
        <w:t>prima facie</w:t>
      </w:r>
      <w:r w:rsidRPr="00E10347">
        <w:rPr>
          <w:rFonts w:ascii="Palatino Linotype" w:eastAsia="Times New Roman" w:hAnsi="Palatino Linotype"/>
          <w:sz w:val="21"/>
          <w:szCs w:val="21"/>
          <w:lang w:val="es-CR"/>
        </w:rPr>
        <w:t xml:space="preserve"> de la probabilidad de tener éxito en la cuestión superando lo incierto que un marco hipotético pueda crear; así lo indica el artículo 93 del nuevo CPC al indicar “(…) la medida cautelar que se pide, la causa o el título que origina la tutela, la finalidad, la justificación, la prueba cuando sea necesaria,”, y se dice cuando sea necesaria por no ser aplicable a todas, como lo es por ejemplo para el caso del embargo preventivo. Esta prueba semiplena, permitirá al tribunal alcanzar un juicio de probabilidad sobre el fundamento de la pretensión. </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 xml:space="preserve">En la valoración de este grado de verosimilidad, el tribunal debe ser muy </w:t>
      </w:r>
      <w:r w:rsidRPr="00E10347">
        <w:rPr>
          <w:rFonts w:ascii="Palatino Linotype" w:eastAsia="Times New Roman" w:hAnsi="Palatino Linotype"/>
          <w:sz w:val="21"/>
          <w:szCs w:val="21"/>
          <w:lang w:val="es-CR"/>
        </w:rPr>
        <w:lastRenderedPageBreak/>
        <w:t xml:space="preserve">cuidadoso; en virtud de que se trata de un juicio superficial basado en lo que hasta ese momento se disponga pero en dirección a determinar la procedencia o no de las medidas; por ende, una extralimitación en tal juicio corre el riesgo de prejuzgar sobre el fondo del asunto anticipadamente; no debiendo extremarse la exigencia de prueba; todo sin perder de vista; que lo dispuesto ahí no prejuzga lo que llegue a resolverse en definitiva sobre la cuestión.  En otras legislaciones se alcanza a través de la preclusión de ciertos actos procesales y la actitud procesal del afectado, por ejemplo, la falta de contestación de la demanda, su rebeldía, confesión expresa o ficta entre otros. </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 xml:space="preserve">La acreditación del peligro en la demora no pasa un tamiz tal fuerte como el del </w:t>
      </w:r>
      <w:r w:rsidRPr="00E10347">
        <w:rPr>
          <w:rFonts w:ascii="Palatino Linotype" w:eastAsia="Times New Roman" w:hAnsi="Palatino Linotype"/>
          <w:i/>
          <w:sz w:val="21"/>
          <w:szCs w:val="21"/>
          <w:lang w:val="es-CR"/>
        </w:rPr>
        <w:t>fumus bonis iuris</w:t>
      </w:r>
      <w:r w:rsidRPr="00E10347">
        <w:rPr>
          <w:rFonts w:ascii="Palatino Linotype" w:eastAsia="Times New Roman" w:hAnsi="Palatino Linotype"/>
          <w:sz w:val="21"/>
          <w:szCs w:val="21"/>
          <w:lang w:val="es-CR"/>
        </w:rPr>
        <w:t xml:space="preserve">; este se alimenta de elementos fácticos objetivos, no hipotéticos, su configuración se sustenta en la posibilidad de que el retardo en la decisión de la cuestión pueda producir un daño de imposible o de muy dudosa reparación más un elemento objetivamente posible como bien pueden ser “(…) la insolvencia del demandado, la transmisión del bien a un tercero de modo que lo haga irreivindicable, la destrucción de la cosa o su pérdida de valor, los daños y perjuicios causados al actor por la actividad ilícita del demandado, (…)”. Se dice de dudosa reparación por cuanto la irreparabilidad no debe ser absoluta, pues en dicho caso, podría pensarse en el resarcimiento eventual de daños y perjuicios, sino en lo dificultuoso que pueda resultar la reparabilidad de ese daño; probándose el motivo base que da sustento a tal temor. </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 xml:space="preserve">En relación a la garantía; es necesario acotar; todos los presupuestos materiales para la procedencia de una medida cautelar deben evaluarse armónicamente, de tal suerte por ejemplo; entre mayor sea el alcance que tenga la verosimilitud del derecho pretendido, menor será la caución; y viceversa, una menor apariencia de buen derecho, trae como consecuencia una mayor exigencia respecto a la valoración de gravedad e inminencia del daño que pueda causarse, afectando por ende proporcionalmente la fijación de la contracautela; lo anterior sin dejar de lado por supuesto, la apreciación de irreparabilidad del daño en caso de ordenarse la medida. Un ejemplo claro de lo anterior, es cuando en el proceso se dicta sentencia estimatoria la cual no se encuentra firme; caso en el cual, esa apariencia de buen derecho es extrema y por ende, la necesidad de cautela puede eximirse.  </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 xml:space="preserve">La fijación de la misma; no parte del valor o estimación otorgada al juicio, sino a la estimación de los posibles daños y perjuicios que se podrían causar; es aquí </w:t>
      </w:r>
      <w:r w:rsidRPr="00E10347">
        <w:rPr>
          <w:rFonts w:ascii="Palatino Linotype" w:eastAsia="Times New Roman" w:hAnsi="Palatino Linotype"/>
          <w:sz w:val="21"/>
          <w:szCs w:val="21"/>
          <w:lang w:val="es-CR"/>
        </w:rPr>
        <w:lastRenderedPageBreak/>
        <w:t>donde la actividad de la contraparte juega un papel muy importante, aportando suficientes elementos que permitan al juez estimar tal afectación.</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 xml:space="preserve">No debe dejarse de lado lo establecido en la parte final del numeral 93; en cuanto a que con la solicitud “deberá ofrecerse la prestación de garantía, especificando de qué tipo se ofrece y con justificación del importe que se propone.”, lo cual podría considerarse, un elemento adicional de admisibilidad formal de la solicitud. </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 xml:space="preserve">Ahora bien; la solicitud de medidas conforme al principio de instrumentalidad debe necesariamente adecuarse al objeto del proceso principal, en otras palabras; debe procurar se asegure de forma efectiva la tutela de una sentencia estimatoria siendo correspondiente una cosa con la otra, siendo por ende inadmisible, una medida que no sea idónea para garantizar su efectividad; verbigracia de lo anterior sería el requerir el embargo preventivo de bienes cuando se pretenda una condena de no hacer una cosa. </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También, debe resguardar el principio de proporcionalidad, de tal forma debe defenderse que la misma no sea susceptible de ser sustituida por otra medida que sea igualmente eficaz respecto a la tutela pretendida y menos gravosa o perjudicial para la contraparte; caso contrario, el juez por prerrogativa normativa, podría ajustarla según corresponda. Ejemplo de lo anterior podría concebirse en gestionar la entrega en administración de un bien cuando con la intervención y seguimiento a la administración se pueda obtener la tutela requerida. En esta línea se ha dicho: “…deben cumplir en cada caso su finalidad de garantizar la efectividad de la sentencia que pueda dictarse, pero con el menor sacrificio posible de los derechos del demandado, lo que significa que la medida debe quedar restringida a lo estrictamente necesario para cumplir su meta”</w:t>
      </w:r>
      <w:r w:rsidRPr="00E10347">
        <w:rPr>
          <w:rStyle w:val="Refdenotaalpie"/>
          <w:rFonts w:ascii="Palatino Linotype" w:eastAsia="Times New Roman" w:hAnsi="Palatino Linotype"/>
          <w:sz w:val="21"/>
          <w:szCs w:val="21"/>
          <w:lang w:val="es-CR"/>
        </w:rPr>
        <w:footnoteReference w:id="309"/>
      </w:r>
      <w:r w:rsidRPr="00E10347">
        <w:rPr>
          <w:rFonts w:ascii="Palatino Linotype" w:eastAsia="Times New Roman" w:hAnsi="Palatino Linotype"/>
          <w:sz w:val="21"/>
          <w:szCs w:val="21"/>
          <w:lang w:val="es-CR"/>
        </w:rPr>
        <w:t>.</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Por consiguiente, en caso de que la afectividad de la eventual sentencia estimatoria pueda garantizarse mediante medidas cautelares diferentes, debe optarse por la menos gravosa para el demandado, porque las medidas cautelares no pueden ser adoptadas en virtud de la mera conveniencia del solicitante, ni mucho menos puede permitirse que se conviertan en instrumentos de presión sobre el demandado (tendente, por ejemplo, a forzar un allanamiento o una transacción).”</w:t>
      </w:r>
      <w:r w:rsidRPr="00E10347">
        <w:rPr>
          <w:rStyle w:val="Refdenotaalpie"/>
          <w:rFonts w:ascii="Palatino Linotype" w:eastAsia="Times New Roman" w:hAnsi="Palatino Linotype"/>
          <w:sz w:val="21"/>
          <w:szCs w:val="21"/>
          <w:lang w:val="es-CR"/>
        </w:rPr>
        <w:footnoteReference w:id="310"/>
      </w:r>
      <w:r w:rsidRPr="00E10347">
        <w:rPr>
          <w:rFonts w:ascii="Palatino Linotype" w:eastAsia="Times New Roman" w:hAnsi="Palatino Linotype"/>
          <w:sz w:val="21"/>
          <w:szCs w:val="21"/>
          <w:lang w:val="es-CR"/>
        </w:rPr>
        <w:t xml:space="preserve">.  </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 xml:space="preserve">No puede pasarse de lado otro aspecto de especial atención; tratándose de </w:t>
      </w:r>
      <w:r w:rsidRPr="00E10347">
        <w:rPr>
          <w:rFonts w:ascii="Palatino Linotype" w:eastAsia="Times New Roman" w:hAnsi="Palatino Linotype"/>
          <w:sz w:val="21"/>
          <w:szCs w:val="21"/>
          <w:lang w:val="es-CR"/>
        </w:rPr>
        <w:lastRenderedPageBreak/>
        <w:t xml:space="preserve">medidas cautelares de las llamadas atípicas, le corresponderá al gestionante no solo identificar con claridad y detalle el tipo distinto que pretende, sino además la sustentabilidad del motivo por el cual debe acatarse esta y no alguna otra de las ya previstas en el ordenamiento jurídico respecto a la eficacia de la misma. </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En caso de que el gestionante solicite la medida cautelar sin previa audiencia al demandado, debería dar razones válidas y debidamente comprobadas donde se demuestre la urgencia o que la notificación a la parte contraria comprometa el fin de la medida realizando actividades que eviten la eficacia de estas.</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bCs/>
          <w:sz w:val="21"/>
          <w:szCs w:val="21"/>
          <w:lang w:val="es-CR" w:eastAsia="es-ES"/>
        </w:rPr>
        <w:t xml:space="preserve">La medida cautelar de suspensión provisional de acuerdos sociales, condominales y similares; no indica el código opere de pleno derecho con solo pretender la nulidad del mismo; </w:t>
      </w:r>
      <w:r w:rsidRPr="00E10347">
        <w:rPr>
          <w:rFonts w:ascii="Palatino Linotype" w:eastAsia="Times New Roman" w:hAnsi="Palatino Linotype"/>
          <w:sz w:val="21"/>
          <w:szCs w:val="21"/>
          <w:lang w:val="es-CR" w:eastAsia="es-ES"/>
        </w:rPr>
        <w:t xml:space="preserve">por ello, debe acreditarse la apariencia de buen derecho respecto de la infracción de  las disposiciones legales o convencionales que dan origen a la nulidad pretendida, lo cual además se valorará según lo antes expuesto, conforme la afectación que tal orden pueda causar en la entidad afectada. </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La contraparte; en tesis de principio, podrá atacar la falencia suficiente de cumplimiento de requisitos aportando elementos que acrediten la apariencia de buen derecho a su favor y en contra del solicitante de la medida, y es que de eso se trata el llamado juicio de probabilidad, en contrastar la posición fáctica y jurídica de las partes, con base en los elementos probatorios aportadas por estas. Pero además, podrá acreditar al tribunal que no ha sido ni es su intención de realizar conductas que impidan la ejecución de la eventual sentencia, acreditando con indicios, el respecto que ha venido manteniendo a la contraparte.</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 xml:space="preserve">Es dable además de tomar en consideración; conforme la doctrina de los actos propios, en casos donde el solicitante vino consintiendo la situación durante largo tiempo; en caso de requerir la protección, debe acreditar el motivo por el cual no había solicitado la medida antes de ese momento; sin que deba entenderse lo anterior de forma extremista que la impida por el solo hecho de que haya transcurrido un lapso de tiempo la adopción de cualquier tipo de medida, esto último conforme el párrafo final del artículo 79 ibídem. </w:t>
      </w:r>
    </w:p>
    <w:p w:rsidR="00B600D3" w:rsidRDefault="00B600D3" w:rsidP="00E10347">
      <w:pPr>
        <w:pStyle w:val="Ttulo2"/>
        <w:spacing w:before="0"/>
        <w:rPr>
          <w:rFonts w:ascii="Palatino Linotype" w:eastAsia="Times New Roman" w:hAnsi="Palatino Linotype"/>
          <w:color w:val="auto"/>
          <w:sz w:val="21"/>
          <w:szCs w:val="21"/>
          <w:lang w:val="es-CR"/>
        </w:rPr>
      </w:pPr>
      <w:bookmarkStart w:id="56" w:name="_Toc478576437"/>
    </w:p>
    <w:p w:rsidR="00563A13" w:rsidRPr="00E10347" w:rsidRDefault="0035457D" w:rsidP="00E10347">
      <w:pPr>
        <w:pStyle w:val="Ttulo2"/>
        <w:spacing w:before="0"/>
        <w:rPr>
          <w:rFonts w:ascii="Palatino Linotype" w:eastAsia="Times New Roman" w:hAnsi="Palatino Linotype"/>
          <w:color w:val="auto"/>
          <w:sz w:val="21"/>
          <w:szCs w:val="21"/>
          <w:lang w:val="es-CR"/>
        </w:rPr>
      </w:pPr>
      <w:r w:rsidRPr="00E10347">
        <w:rPr>
          <w:rFonts w:ascii="Palatino Linotype" w:eastAsia="Times New Roman" w:hAnsi="Palatino Linotype"/>
          <w:color w:val="auto"/>
          <w:sz w:val="21"/>
          <w:szCs w:val="21"/>
          <w:lang w:val="es-CR"/>
        </w:rPr>
        <w:t xml:space="preserve">9.- </w:t>
      </w:r>
      <w:r w:rsidR="00563A13" w:rsidRPr="00E10347">
        <w:rPr>
          <w:rFonts w:ascii="Palatino Linotype" w:eastAsia="Times New Roman" w:hAnsi="Palatino Linotype"/>
          <w:color w:val="auto"/>
          <w:sz w:val="21"/>
          <w:szCs w:val="21"/>
          <w:lang w:val="es-CR"/>
        </w:rPr>
        <w:t>Procedimiento</w:t>
      </w:r>
      <w:bookmarkEnd w:id="56"/>
    </w:p>
    <w:p w:rsidR="00563A13" w:rsidRPr="00E10347" w:rsidRDefault="00563A13" w:rsidP="00E10347">
      <w:pPr>
        <w:ind w:firstLine="709"/>
        <w:jc w:val="both"/>
        <w:rPr>
          <w:rFonts w:ascii="Palatino Linotype" w:eastAsia="Times New Roman" w:hAnsi="Palatino Linotype"/>
          <w:bCs/>
          <w:iCs/>
          <w:sz w:val="21"/>
          <w:szCs w:val="21"/>
          <w:lang w:val="es-CR"/>
        </w:rPr>
      </w:pPr>
      <w:r w:rsidRPr="00E10347">
        <w:rPr>
          <w:rFonts w:ascii="Palatino Linotype" w:eastAsia="Times New Roman" w:hAnsi="Palatino Linotype"/>
          <w:sz w:val="21"/>
          <w:szCs w:val="21"/>
          <w:lang w:val="es-CR"/>
        </w:rPr>
        <w:t xml:space="preserve">En este apartado se presentan tres estadios para incoarlas, el primero antes de la presentación de la demanda principal, el segundo junto con la demanda principal y como tercer momento durante la tramitación del proceso cuando las circunstancias fácticas así lo ameriten. Sobre esta última posibilidad, indica Calvo </w:t>
      </w:r>
      <w:r w:rsidRPr="00E10347">
        <w:rPr>
          <w:rFonts w:ascii="Palatino Linotype" w:eastAsia="Times New Roman" w:hAnsi="Palatino Linotype"/>
          <w:sz w:val="21"/>
          <w:szCs w:val="21"/>
          <w:lang w:val="es-CR"/>
        </w:rPr>
        <w:lastRenderedPageBreak/>
        <w:t xml:space="preserve">Venegas: </w:t>
      </w:r>
      <w:r w:rsidRPr="00E10347">
        <w:rPr>
          <w:rFonts w:ascii="Palatino Linotype" w:eastAsia="Times New Roman" w:hAnsi="Palatino Linotype"/>
          <w:bCs/>
          <w:iCs/>
          <w:sz w:val="21"/>
          <w:szCs w:val="21"/>
          <w:lang w:val="es-CR"/>
        </w:rPr>
        <w:t>"Puede una medida ser solicitada en el curso del proceso, con tal de que no exista sentencia firme y que en su lugar pueda pedirse por el contrario, una medida de ejecución o apremio."</w:t>
      </w:r>
      <w:r w:rsidRPr="00E10347">
        <w:rPr>
          <w:rStyle w:val="Refdenotaalpie"/>
          <w:rFonts w:ascii="Palatino Linotype" w:eastAsia="Times New Roman" w:hAnsi="Palatino Linotype"/>
          <w:bCs/>
          <w:iCs/>
          <w:sz w:val="21"/>
          <w:szCs w:val="21"/>
          <w:lang w:val="es-CR"/>
        </w:rPr>
        <w:footnoteReference w:id="311"/>
      </w:r>
      <w:r w:rsidRPr="00E10347">
        <w:rPr>
          <w:rFonts w:ascii="Palatino Linotype" w:eastAsia="Times New Roman" w:hAnsi="Palatino Linotype"/>
          <w:bCs/>
          <w:iCs/>
          <w:sz w:val="21"/>
          <w:szCs w:val="21"/>
          <w:lang w:val="es-CR"/>
        </w:rPr>
        <w:t xml:space="preserve"> </w:t>
      </w:r>
    </w:p>
    <w:p w:rsidR="00563A13" w:rsidRPr="00E10347" w:rsidRDefault="00563A13" w:rsidP="00E10347">
      <w:pPr>
        <w:ind w:firstLine="709"/>
        <w:jc w:val="both"/>
        <w:rPr>
          <w:rFonts w:ascii="Palatino Linotype" w:eastAsia="Times New Roman" w:hAnsi="Palatino Linotype"/>
          <w:sz w:val="21"/>
          <w:szCs w:val="21"/>
          <w:lang w:val="es-CR" w:eastAsia="es-ES"/>
        </w:rPr>
      </w:pPr>
      <w:r w:rsidRPr="00E10347">
        <w:rPr>
          <w:rFonts w:ascii="Palatino Linotype" w:eastAsia="Times New Roman" w:hAnsi="Palatino Linotype"/>
          <w:sz w:val="21"/>
          <w:szCs w:val="21"/>
          <w:lang w:val="es-CR"/>
        </w:rPr>
        <w:t xml:space="preserve">Si la medida se solicita como acto previo al establecimiento de la demanda, la parte tendrá </w:t>
      </w:r>
      <w:r w:rsidRPr="00E10347">
        <w:rPr>
          <w:rFonts w:ascii="Palatino Linotype" w:eastAsia="Times New Roman" w:hAnsi="Palatino Linotype"/>
          <w:sz w:val="21"/>
          <w:szCs w:val="21"/>
          <w:lang w:val="es-CR" w:eastAsia="es-ES"/>
        </w:rPr>
        <w:t xml:space="preserve">un mes para  ejecutarla luego de ordenada y del mismo plazo para presentar la demanda desde la fecha de su ejecución, caso contrario, caducará la medida conforme el artículo 83 del código de rito. Si se adoptó la medida durante  el proceso principal, también existe la caducidad de un mes  si no se  insta  su ejecución o bien, en tres meses en aquellos casos donde la parte abandone el asunto y no sea admisible aplicar la caducidad del proceso conforme el artículo 57.1 ibídem. </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Respecto al procedimiento a seguir, el nuevo CPC establece un cambio importante respecto al modelo anterior; para ello, el numeral 93 indica los requisitos mínimos que debe contener la solicitud cumplido lo cual según lo indica el artículo 94, como regla general, se convocará a una audiencia oral que tiene como finalidad escuchar a las partes y practicar la prueba de sustento resolviendo lo que corresponda al finalizar la misma. En caso de admisión, el tribunal según la norma 95, “fijará con precisión la medida o las medidas que se admiten y determinará la forma, la cuantía y el tiempo en que deba prestarse la caución. Se dispondrá lo necesario para el efectivo cumplimiento de lo que ordene.”</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Las solicitudes de embargo preventivo y anotación de demanda, su orden se realizará de forma provisional sin audiencia previa,  las otras que se gestionen, en principio requerirán de la audiencia dicha, a menos que el petente “acredite que concurren razones de urgencia o que la realización de audiencia puede comprometer su finalidad”</w:t>
      </w:r>
      <w:r w:rsidRPr="00E10347">
        <w:rPr>
          <w:rStyle w:val="Refdenotaalpie"/>
          <w:rFonts w:ascii="Palatino Linotype" w:eastAsia="Times New Roman" w:hAnsi="Palatino Linotype"/>
          <w:sz w:val="21"/>
          <w:szCs w:val="21"/>
          <w:lang w:val="es-CR"/>
        </w:rPr>
        <w:footnoteReference w:id="312"/>
      </w:r>
      <w:r w:rsidRPr="00E10347">
        <w:rPr>
          <w:rFonts w:ascii="Palatino Linotype" w:eastAsia="Times New Roman" w:hAnsi="Palatino Linotype"/>
          <w:sz w:val="21"/>
          <w:szCs w:val="21"/>
          <w:lang w:val="es-CR"/>
        </w:rPr>
        <w:t xml:space="preserve">; caso en el cual se ordenará de forma provisional y sin admisión de recurso alguno. Esto se explica por cuanto al demandado se le otorgan tres días después de su notificación para oponerse en forma justificada ofreciendo la prueba pertinente para ello lo cual se resolverá en una audiencia oral a realizarse a la mayor brevedad posible. </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 xml:space="preserve">Llama la tención; como antes se dijo, que la resolución que ordena provisionalmente la medida cautelar sin audiencia carece de recurso alguno; pues, podría darse el caso de que el juez admita la solicitud pero ordene otra medida </w:t>
      </w:r>
      <w:r w:rsidRPr="00E10347">
        <w:rPr>
          <w:rFonts w:ascii="Palatino Linotype" w:eastAsia="Times New Roman" w:hAnsi="Palatino Linotype"/>
          <w:sz w:val="21"/>
          <w:szCs w:val="21"/>
          <w:lang w:val="es-CR"/>
        </w:rPr>
        <w:lastRenderedPageBreak/>
        <w:t>menos gravosa para el demandado; caso en el cual, el actor podría considerarse no tuvo oportunidad de contra argumentación; más aún, tomándose en consideración,  que según el artículo 67.3.4 tendrá recurso de apelación, las resoluciones que “Se pronuncien sobre la solicitud de concesión, modificación, sustitución o levantamiento de una medida cautelar o tutelar.”; teniendo por ende una regla especial –la del artículo 96- frente a la general –la del 67.3.4- en este sentido.</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En relación con la audiencia oral, podría ventilarse sobre la posibilidad de que el petente ofrezca prueba después de presentada la solicitud, lo cual podría darse en caso de ampliación de la medida por hechos nuevos acontecidos y no para subsanar la falencia probatoria que hubiere propiciado; máxime si tomamos en consideración que se trata de un conocimiento muy sumario de la cuestión, donde perfectamente resulta aplicable la temática referente a la prueba eventual; caso también aplicable si desea hacerlo en relación a la contraprueba ofrecida por el afectado de la medida.</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eastAsia="es-ES"/>
        </w:rPr>
        <w:t>La contraparte podría solicitar el levantamiento de la medida o su sustitución con caución,  siempre que las circunstancias cambien, o bien se ofrezca un mejor aseguramiento de los intereses en juego. No obstante, siguiendo palabras esgrimidas en distintas charlas de la Escuela Judicial del Poder Judicial de Costa Rica por parte del juez León Díaz, esta cuestión debe tratarse con cuidado; pues la cuestión en discusión podría versar sobre un derecho que por su naturaleza excluya el  levantamiento de la medida, como puede ser “la prohibición de publicaciones  supuestamente lesivas al honor de una persona o se hubiera decomisado objetos violatorios de marcas  para impedir su ingreso en los circuitos  comerciales, casos en los cuales no es  factible el levantamiento de la medida con  caución” o bien en casos donde el admitir la sustitución haría nugatorio el derecho del actor, como lo puede ser “el aceptar una garantía para levantar una medida que concedió provisionalmente el derecho de paso de una parte actora ante la  eventual existencia de un fundo enclavado”.</w:t>
      </w:r>
    </w:p>
    <w:p w:rsidR="00B600D3" w:rsidRDefault="00B600D3" w:rsidP="00E10347">
      <w:pPr>
        <w:pStyle w:val="Ttulo2"/>
        <w:spacing w:before="0"/>
        <w:rPr>
          <w:rFonts w:ascii="Palatino Linotype" w:eastAsia="Times New Roman" w:hAnsi="Palatino Linotype"/>
          <w:color w:val="auto"/>
          <w:sz w:val="21"/>
          <w:szCs w:val="21"/>
          <w:lang w:val="es-CR"/>
        </w:rPr>
      </w:pPr>
      <w:bookmarkStart w:id="57" w:name="_Toc478576438"/>
    </w:p>
    <w:p w:rsidR="00563A13" w:rsidRPr="00E10347" w:rsidRDefault="00563A13" w:rsidP="00E10347">
      <w:pPr>
        <w:pStyle w:val="Ttulo2"/>
        <w:spacing w:before="0"/>
        <w:rPr>
          <w:rFonts w:ascii="Palatino Linotype" w:eastAsia="Times New Roman" w:hAnsi="Palatino Linotype"/>
          <w:color w:val="auto"/>
          <w:sz w:val="21"/>
          <w:szCs w:val="21"/>
          <w:lang w:val="es-CR"/>
        </w:rPr>
      </w:pPr>
      <w:r w:rsidRPr="00E10347">
        <w:rPr>
          <w:rFonts w:ascii="Palatino Linotype" w:eastAsia="Times New Roman" w:hAnsi="Palatino Linotype"/>
          <w:color w:val="auto"/>
          <w:sz w:val="21"/>
          <w:szCs w:val="21"/>
          <w:lang w:val="es-CR"/>
        </w:rPr>
        <w:t>A modo de conclusión</w:t>
      </w:r>
      <w:bookmarkEnd w:id="57"/>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 xml:space="preserve">Claramente, el nuevo Código Procesal Civil se pulió en todo este apartado de medidas cautelares; amplió el régimen de medidas existentes, las aclaró y separó de otros institutos jurídicos similares pero que no forman parte de esta materia. Además, creo un procedimiento célere con reglas claras para entrar al conocimiento sobre la procedencia o no de estas. </w:t>
      </w:r>
    </w:p>
    <w:p w:rsidR="00563A13" w:rsidRPr="00E10347" w:rsidRDefault="00563A13" w:rsidP="00E10347">
      <w:pPr>
        <w:ind w:firstLine="709"/>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lastRenderedPageBreak/>
        <w:t xml:space="preserve">El régimen probatorio en la tutela cautelar es enmarañado; no se aparta de la discusión de la pretensión principal, depende de esta; pero ensalzando la obligación de las partes de aportar al Juez o Jueza del proceso, de todos los elementos necesarios para la toma de una decisión a la medida para cada caso concreto. </w:t>
      </w:r>
    </w:p>
    <w:p w:rsidR="002014CA" w:rsidRPr="00E10347" w:rsidRDefault="002014CA" w:rsidP="00E10347">
      <w:pPr>
        <w:ind w:firstLine="709"/>
        <w:jc w:val="center"/>
        <w:rPr>
          <w:rFonts w:ascii="Palatino Linotype" w:hAnsi="Palatino Linotype"/>
          <w:b/>
          <w:smallCaps/>
          <w:sz w:val="21"/>
          <w:szCs w:val="21"/>
        </w:rPr>
        <w:sectPr w:rsidR="002014CA" w:rsidRPr="00E10347" w:rsidSect="00FC1DF6">
          <w:headerReference w:type="even" r:id="rId30"/>
          <w:headerReference w:type="default" r:id="rId31"/>
          <w:type w:val="oddPage"/>
          <w:pgSz w:w="12240" w:h="15840" w:code="1"/>
          <w:pgMar w:top="1667" w:right="851" w:bottom="4253" w:left="3686" w:header="1021" w:footer="3005" w:gutter="0"/>
          <w:cols w:space="708"/>
          <w:titlePg/>
          <w:docGrid w:linePitch="360"/>
        </w:sectPr>
      </w:pPr>
    </w:p>
    <w:p w:rsidR="002014CA" w:rsidRPr="00E10347" w:rsidRDefault="002014CA" w:rsidP="00E10347">
      <w:pPr>
        <w:pStyle w:val="Sinespaciado"/>
        <w:jc w:val="center"/>
        <w:rPr>
          <w:rFonts w:ascii="Palatino Linotype" w:hAnsi="Palatino Linotype" w:cs="Times New Roman"/>
          <w:b/>
          <w:sz w:val="21"/>
          <w:szCs w:val="21"/>
        </w:rPr>
      </w:pPr>
      <w:bookmarkStart w:id="58" w:name="_Hlk479196762"/>
      <w:r w:rsidRPr="00E10347">
        <w:rPr>
          <w:rFonts w:ascii="Palatino Linotype" w:hAnsi="Palatino Linotype" w:cs="Times New Roman"/>
          <w:b/>
          <w:sz w:val="21"/>
          <w:szCs w:val="21"/>
        </w:rPr>
        <w:lastRenderedPageBreak/>
        <w:t xml:space="preserve">EL CAMBIO DEL PARADIGMA IDEOLÓGICO </w:t>
      </w:r>
    </w:p>
    <w:p w:rsidR="002014CA" w:rsidRPr="00E10347" w:rsidRDefault="002014CA" w:rsidP="00E10347">
      <w:pPr>
        <w:pStyle w:val="Sinespaciado"/>
        <w:jc w:val="center"/>
        <w:rPr>
          <w:rFonts w:ascii="Palatino Linotype" w:hAnsi="Palatino Linotype" w:cs="Times New Roman"/>
          <w:sz w:val="21"/>
          <w:szCs w:val="21"/>
        </w:rPr>
      </w:pPr>
      <w:r w:rsidRPr="00E10347">
        <w:rPr>
          <w:rFonts w:ascii="Palatino Linotype" w:hAnsi="Palatino Linotype" w:cs="Times New Roman"/>
          <w:b/>
          <w:sz w:val="21"/>
          <w:szCs w:val="21"/>
        </w:rPr>
        <w:t>EN LA VALORACIÓN DE LA PRUEBA EN LA ORALIDAD</w:t>
      </w:r>
    </w:p>
    <w:p w:rsidR="002014CA" w:rsidRPr="00E10347" w:rsidRDefault="002014CA" w:rsidP="00E10347">
      <w:pPr>
        <w:pStyle w:val="Sinespaciado"/>
        <w:jc w:val="right"/>
        <w:rPr>
          <w:rFonts w:ascii="Palatino Linotype" w:hAnsi="Palatino Linotype" w:cs="Times New Roman"/>
          <w:sz w:val="21"/>
          <w:szCs w:val="21"/>
        </w:rPr>
      </w:pPr>
    </w:p>
    <w:p w:rsidR="002014CA" w:rsidRPr="00E10347" w:rsidRDefault="002014CA" w:rsidP="00E10347">
      <w:pPr>
        <w:pStyle w:val="Sinespaciado"/>
        <w:jc w:val="right"/>
        <w:rPr>
          <w:rFonts w:ascii="Palatino Linotype" w:hAnsi="Palatino Linotype" w:cs="Times New Roman"/>
          <w:b/>
          <w:sz w:val="21"/>
          <w:szCs w:val="21"/>
        </w:rPr>
      </w:pPr>
      <w:r w:rsidRPr="00E10347">
        <w:rPr>
          <w:rFonts w:ascii="Palatino Linotype" w:hAnsi="Palatino Linotype" w:cs="Times New Roman"/>
          <w:b/>
          <w:sz w:val="21"/>
          <w:szCs w:val="21"/>
        </w:rPr>
        <w:t>Ricardo Zeledón Zeledón</w:t>
      </w:r>
      <w:bookmarkEnd w:id="58"/>
    </w:p>
    <w:p w:rsidR="002014CA" w:rsidRPr="00E10347" w:rsidRDefault="002014CA" w:rsidP="00E10347">
      <w:pPr>
        <w:pStyle w:val="Sinespaciado"/>
        <w:jc w:val="right"/>
        <w:rPr>
          <w:rFonts w:ascii="Palatino Linotype" w:hAnsi="Palatino Linotype" w:cs="Times New Roman"/>
          <w:sz w:val="21"/>
          <w:szCs w:val="21"/>
        </w:rPr>
      </w:pPr>
      <w:r w:rsidRPr="00E10347">
        <w:rPr>
          <w:rFonts w:ascii="Palatino Linotype" w:hAnsi="Palatino Linotype" w:cs="Times New Roman"/>
          <w:sz w:val="21"/>
          <w:szCs w:val="21"/>
        </w:rPr>
        <w:t>Presidente Emérito del</w:t>
      </w:r>
    </w:p>
    <w:p w:rsidR="002014CA" w:rsidRPr="00E10347" w:rsidRDefault="002014CA" w:rsidP="00E10347">
      <w:pPr>
        <w:pStyle w:val="Sinespaciado"/>
        <w:jc w:val="right"/>
        <w:rPr>
          <w:rFonts w:ascii="Palatino Linotype" w:hAnsi="Palatino Linotype" w:cs="Times New Roman"/>
          <w:sz w:val="21"/>
          <w:szCs w:val="21"/>
        </w:rPr>
      </w:pPr>
      <w:r w:rsidRPr="00E10347">
        <w:rPr>
          <w:rFonts w:ascii="Palatino Linotype" w:hAnsi="Palatino Linotype" w:cs="Times New Roman"/>
          <w:sz w:val="21"/>
          <w:szCs w:val="21"/>
        </w:rPr>
        <w:t>Instituto costarricense de</w:t>
      </w:r>
    </w:p>
    <w:p w:rsidR="002014CA" w:rsidRPr="00E10347" w:rsidRDefault="002014CA" w:rsidP="00E10347">
      <w:pPr>
        <w:pStyle w:val="Sinespaciado"/>
        <w:jc w:val="right"/>
        <w:rPr>
          <w:rFonts w:ascii="Palatino Linotype" w:hAnsi="Palatino Linotype" w:cs="Times New Roman"/>
          <w:sz w:val="21"/>
          <w:szCs w:val="21"/>
        </w:rPr>
      </w:pPr>
      <w:r w:rsidRPr="00E10347">
        <w:rPr>
          <w:rFonts w:ascii="Palatino Linotype" w:hAnsi="Palatino Linotype" w:cs="Times New Roman"/>
          <w:sz w:val="21"/>
          <w:szCs w:val="21"/>
        </w:rPr>
        <w:t>Derecho Procesal Científico</w:t>
      </w:r>
    </w:p>
    <w:p w:rsidR="00C912FE" w:rsidRPr="00E10347" w:rsidRDefault="00C912FE" w:rsidP="00E10347">
      <w:pPr>
        <w:pStyle w:val="Sinespaciado"/>
        <w:jc w:val="both"/>
        <w:rPr>
          <w:rFonts w:ascii="Palatino Linotype" w:hAnsi="Palatino Linotype" w:cs="Times New Roman"/>
          <w:b/>
          <w:sz w:val="21"/>
          <w:szCs w:val="21"/>
        </w:rPr>
      </w:pPr>
    </w:p>
    <w:p w:rsidR="00A05EF6" w:rsidRPr="00D1279A" w:rsidRDefault="00A05EF6" w:rsidP="00A05EF6">
      <w:pPr>
        <w:pStyle w:val="Sinespaciado"/>
        <w:jc w:val="both"/>
        <w:rPr>
          <w:rFonts w:ascii="Palatino Linotype" w:eastAsia="Times New Roman" w:hAnsi="Palatino Linotype"/>
          <w:sz w:val="21"/>
          <w:szCs w:val="21"/>
        </w:rPr>
      </w:pPr>
      <w:r w:rsidRPr="00D1279A">
        <w:rPr>
          <w:rFonts w:ascii="Palatino Linotype" w:eastAsia="Times New Roman" w:hAnsi="Palatino Linotype"/>
          <w:sz w:val="21"/>
          <w:szCs w:val="21"/>
        </w:rPr>
        <w:t xml:space="preserve">SUMARIO:  </w:t>
      </w:r>
      <w:r w:rsidRPr="00D1279A">
        <w:rPr>
          <w:rFonts w:ascii="Palatino Linotype" w:hAnsi="Palatino Linotype" w:cs="Times New Roman"/>
          <w:sz w:val="21"/>
          <w:szCs w:val="21"/>
        </w:rPr>
        <w:t xml:space="preserve">1.  Ideología y Derecho en los sistemas procesales, en la prueba y su valoración, con el surgimiento de la oralidad.  2.  Los primeros grandes paradigmas de la ideología procesal:  A) En la edad media, B)  Con la revolución francesa.  3. Los más importantes paradigmas de la ideología  de la oralidad:    A)    la oralidad técnica en Alemania.  4.  (sigue)   C)  La oralidad   social en Austria.   D)  Seguimiento de la oralidad.  4.    Del pensamiento apriorístico y deductivo al inductivo y fenomenológico.   5.  Avances en la ideología en el derecho contemporáneo con el método inductivo y fenomenológico.  6.  Los sistemas de la evacuación de las pruebas en el Derecho procesal Contemporáneo.  A)   En la audiencia preliminar uno de los aspectos a determinar, para dejar saneado el proceso es el  de la admisibilidad de la prueba. 7. (sigue) B)  respecto de la recepción de la prueba .  8. La valoración de la prueba.  A)  El sistema procesal alemán y la libre valoración de las pruebas. 9.  (sigue)   B)  el sistema procesal austríaco y el sistema de la libre valoración o libre convencimiento judicial.  10. (sigue)  C)  las visiones de evolución y estancamiento con la sana crítica. 11. (sigue)  D)  los avances del </w:t>
      </w:r>
      <w:r w:rsidRPr="00D1279A">
        <w:rPr>
          <w:rFonts w:ascii="Palatino Linotype" w:hAnsi="Palatino Linotype" w:cs="Times New Roman"/>
          <w:i/>
          <w:sz w:val="21"/>
          <w:szCs w:val="21"/>
        </w:rPr>
        <w:t>civil law</w:t>
      </w:r>
      <w:r w:rsidRPr="00D1279A">
        <w:rPr>
          <w:rFonts w:ascii="Palatino Linotype" w:hAnsi="Palatino Linotype" w:cs="Times New Roman"/>
          <w:sz w:val="21"/>
          <w:szCs w:val="21"/>
        </w:rPr>
        <w:t xml:space="preserve"> y el </w:t>
      </w:r>
      <w:r w:rsidRPr="00D1279A">
        <w:rPr>
          <w:rFonts w:ascii="Palatino Linotype" w:hAnsi="Palatino Linotype" w:cs="Times New Roman"/>
          <w:i/>
          <w:sz w:val="21"/>
          <w:szCs w:val="21"/>
        </w:rPr>
        <w:t>common law</w:t>
      </w:r>
      <w:r w:rsidRPr="00D1279A">
        <w:rPr>
          <w:rFonts w:ascii="Palatino Linotype" w:hAnsi="Palatino Linotype" w:cs="Times New Roman"/>
          <w:sz w:val="21"/>
          <w:szCs w:val="21"/>
        </w:rPr>
        <w:t>.  12.   El modelo del Código procesal general en Costa Rica.  13.  El Código procesal contencioso administrativo del 2006.</w:t>
      </w:r>
      <w:r w:rsidRPr="00D1279A">
        <w:rPr>
          <w:rFonts w:ascii="Palatino Linotype" w:eastAsia="Calibri" w:hAnsi="Palatino Linotype" w:cs="Times New Roman"/>
          <w:sz w:val="21"/>
          <w:szCs w:val="21"/>
        </w:rPr>
        <w:t xml:space="preserve">   </w:t>
      </w:r>
      <w:r w:rsidRPr="00D1279A">
        <w:rPr>
          <w:rFonts w:ascii="Palatino Linotype" w:hAnsi="Palatino Linotype" w:cs="Times New Roman"/>
          <w:sz w:val="21"/>
          <w:szCs w:val="21"/>
        </w:rPr>
        <w:t>14.   el modelo del código procesal general en Costa Rica.  15.  el código procesal contencioso administrativo del 2006.  16</w:t>
      </w:r>
      <w:r w:rsidRPr="00D1279A">
        <w:rPr>
          <w:rFonts w:ascii="Palatino Linotype" w:eastAsia="Calibri" w:hAnsi="Palatino Linotype" w:cs="Times New Roman"/>
          <w:sz w:val="21"/>
          <w:szCs w:val="21"/>
        </w:rPr>
        <w:t xml:space="preserve">.  </w:t>
      </w:r>
      <w:r w:rsidRPr="00D1279A">
        <w:rPr>
          <w:rFonts w:ascii="Palatino Linotype" w:hAnsi="Palatino Linotype" w:cs="Times New Roman"/>
          <w:sz w:val="21"/>
          <w:szCs w:val="21"/>
        </w:rPr>
        <w:t xml:space="preserve">el cambio del paradigma ideológico de  la oralidad y la valoración de la prueba en  las </w:t>
      </w:r>
      <w:r w:rsidRPr="00D1279A">
        <w:rPr>
          <w:rFonts w:ascii="Palatino Linotype" w:eastAsia="Calibri" w:hAnsi="Palatino Linotype" w:cs="Times New Roman"/>
          <w:sz w:val="21"/>
          <w:szCs w:val="21"/>
        </w:rPr>
        <w:t xml:space="preserve"> jurisdicciones especializadas separadas del código procesal general.</w:t>
      </w:r>
      <w:r w:rsidRPr="00D1279A">
        <w:rPr>
          <w:rFonts w:ascii="Palatino Linotype" w:eastAsia="Times New Roman" w:hAnsi="Palatino Linotype"/>
          <w:sz w:val="21"/>
          <w:szCs w:val="21"/>
        </w:rPr>
        <w:t xml:space="preserve"> </w:t>
      </w:r>
    </w:p>
    <w:p w:rsidR="00B600D3" w:rsidRDefault="00B600D3" w:rsidP="00E10347">
      <w:pPr>
        <w:jc w:val="both"/>
        <w:rPr>
          <w:rFonts w:ascii="Palatino Linotype" w:hAnsi="Palatino Linotype" w:cs="Times New Roman"/>
          <w:sz w:val="21"/>
          <w:szCs w:val="21"/>
        </w:rPr>
      </w:pPr>
    </w:p>
    <w:p w:rsidR="00A05EF6" w:rsidRDefault="00A05EF6" w:rsidP="00E10347">
      <w:pPr>
        <w:jc w:val="both"/>
        <w:rPr>
          <w:rFonts w:ascii="Palatino Linotype" w:hAnsi="Palatino Linotype" w:cs="Times New Roman"/>
          <w:b/>
          <w:sz w:val="21"/>
          <w:szCs w:val="21"/>
        </w:rPr>
      </w:pPr>
    </w:p>
    <w:p w:rsidR="002014CA" w:rsidRPr="00E10347" w:rsidRDefault="002014CA"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1.  IDEOLOGÍA Y DERECHO EN LOS SISTEMAS PROCESALES, EN LA PRUEBA Y SU VALORACIÓN, CON EL SURGIMIENTO DE LA ORALIDAD.</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El paso de la escritura a la oralidad implica necesariamente un profundo cambio en el paradigma ideológico de la prueba.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ab/>
        <w:t xml:space="preserve">Las inmensas transformaciones políticas testimoniadas por la Historia de la Humanidad deben ir acompasadas a otras, posteriores, incluso con mayor profundidad en el ámbito jurídico (primero  sustantivo y después procesal) pues la conversión evolutiva de las organizaciones políticas están sometidas a la restauración, es decir a la posibilidad, cierta y no hipotética, de regresar al </w:t>
      </w:r>
      <w:r w:rsidRPr="00E10347">
        <w:rPr>
          <w:rFonts w:ascii="Palatino Linotype" w:hAnsi="Palatino Linotype" w:cs="Times New Roman"/>
          <w:b/>
          <w:i/>
          <w:sz w:val="21"/>
          <w:szCs w:val="21"/>
        </w:rPr>
        <w:t>anciene regime</w:t>
      </w:r>
      <w:r w:rsidRPr="00E10347">
        <w:rPr>
          <w:rFonts w:ascii="Palatino Linotype" w:hAnsi="Palatino Linotype" w:cs="Times New Roman"/>
          <w:sz w:val="21"/>
          <w:szCs w:val="21"/>
        </w:rPr>
        <w:t xml:space="preserve">.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Por ello la ideología política y jurídica deben ser fenómenos discurriendo sobre un mismo cauce.  El peligro de la falta de un basamento, de una sólida fundamentación jurídica,  para sostener la nueva ordenación es la posible caída de la estructura.  Estas transfiguraciones ideológicas pueden ser lentas o abruptas, pero en todos los casos es el resultado de la conversión del pensamiento humano, de su conciencia y convencimiento dentro los cuatro grandes cuatro sistemas jurídicos  identificables hoy día:   el </w:t>
      </w:r>
      <w:r w:rsidRPr="00E10347">
        <w:rPr>
          <w:rFonts w:ascii="Palatino Linotype" w:hAnsi="Palatino Linotype" w:cs="Times New Roman"/>
          <w:b/>
          <w:i/>
          <w:sz w:val="21"/>
          <w:szCs w:val="21"/>
        </w:rPr>
        <w:t>civil law</w:t>
      </w:r>
      <w:r w:rsidRPr="00E10347">
        <w:rPr>
          <w:rFonts w:ascii="Palatino Linotype" w:hAnsi="Palatino Linotype" w:cs="Times New Roman"/>
          <w:sz w:val="21"/>
          <w:szCs w:val="21"/>
        </w:rPr>
        <w:t>, el</w:t>
      </w:r>
      <w:r w:rsidRPr="00E10347">
        <w:rPr>
          <w:rFonts w:ascii="Palatino Linotype" w:hAnsi="Palatino Linotype" w:cs="Times New Roman"/>
          <w:b/>
          <w:sz w:val="21"/>
          <w:szCs w:val="21"/>
        </w:rPr>
        <w:t xml:space="preserve"> </w:t>
      </w:r>
      <w:r w:rsidRPr="00E10347">
        <w:rPr>
          <w:rFonts w:ascii="Palatino Linotype" w:hAnsi="Palatino Linotype" w:cs="Times New Roman"/>
          <w:b/>
          <w:i/>
          <w:sz w:val="21"/>
          <w:szCs w:val="21"/>
        </w:rPr>
        <w:t>commnon law</w:t>
      </w:r>
      <w:r w:rsidRPr="00E10347">
        <w:rPr>
          <w:rFonts w:ascii="Palatino Linotype" w:hAnsi="Palatino Linotype" w:cs="Times New Roman"/>
          <w:sz w:val="21"/>
          <w:szCs w:val="21"/>
        </w:rPr>
        <w:t>,</w:t>
      </w:r>
      <w:r w:rsidRPr="00E10347">
        <w:rPr>
          <w:rFonts w:ascii="Palatino Linotype" w:hAnsi="Palatino Linotype" w:cs="Times New Roman"/>
          <w:b/>
          <w:sz w:val="21"/>
          <w:szCs w:val="21"/>
        </w:rPr>
        <w:t xml:space="preserve">  </w:t>
      </w:r>
      <w:r w:rsidRPr="00E10347">
        <w:rPr>
          <w:rFonts w:ascii="Palatino Linotype" w:hAnsi="Palatino Linotype" w:cs="Times New Roman"/>
          <w:b/>
          <w:i/>
          <w:sz w:val="21"/>
          <w:szCs w:val="21"/>
        </w:rPr>
        <w:t>los fundados en estructuras religiosas o tradicionalistas</w:t>
      </w:r>
      <w:r w:rsidRPr="00E10347">
        <w:rPr>
          <w:rFonts w:ascii="Palatino Linotype" w:hAnsi="Palatino Linotype" w:cs="Times New Roman"/>
          <w:b/>
          <w:sz w:val="21"/>
          <w:szCs w:val="21"/>
        </w:rPr>
        <w:t xml:space="preserve"> </w:t>
      </w:r>
      <w:r w:rsidRPr="00E10347">
        <w:rPr>
          <w:rFonts w:ascii="Palatino Linotype" w:hAnsi="Palatino Linotype" w:cs="Times New Roman"/>
          <w:sz w:val="21"/>
          <w:szCs w:val="21"/>
        </w:rPr>
        <w:t>y también los</w:t>
      </w:r>
      <w:r w:rsidRPr="00E10347">
        <w:rPr>
          <w:rFonts w:ascii="Palatino Linotype" w:hAnsi="Palatino Linotype" w:cs="Times New Roman"/>
          <w:b/>
          <w:sz w:val="21"/>
          <w:szCs w:val="21"/>
        </w:rPr>
        <w:t xml:space="preserve"> </w:t>
      </w:r>
      <w:r w:rsidRPr="00E10347">
        <w:rPr>
          <w:rFonts w:ascii="Palatino Linotype" w:hAnsi="Palatino Linotype" w:cs="Times New Roman"/>
          <w:sz w:val="21"/>
          <w:szCs w:val="21"/>
        </w:rPr>
        <w:t xml:space="preserve">concebidos en ordenamientos jurídicos </w:t>
      </w:r>
      <w:r w:rsidRPr="00E10347">
        <w:rPr>
          <w:rFonts w:ascii="Palatino Linotype" w:hAnsi="Palatino Linotype" w:cs="Times New Roman"/>
          <w:b/>
          <w:i/>
          <w:sz w:val="21"/>
          <w:szCs w:val="21"/>
        </w:rPr>
        <w:t>comunistas</w:t>
      </w:r>
      <w:r w:rsidRPr="00E10347">
        <w:rPr>
          <w:rFonts w:ascii="Palatino Linotype" w:hAnsi="Palatino Linotype" w:cs="Times New Roman"/>
          <w:sz w:val="21"/>
          <w:szCs w:val="21"/>
        </w:rPr>
        <w:t xml:space="preserve"> o de concepciones centralizadas, es decir dentro, e incluso</w:t>
      </w:r>
      <w:r w:rsidRPr="00E10347">
        <w:rPr>
          <w:rFonts w:ascii="Palatino Linotype" w:hAnsi="Palatino Linotype" w:cs="Times New Roman"/>
          <w:b/>
          <w:sz w:val="21"/>
          <w:szCs w:val="21"/>
        </w:rPr>
        <w:t xml:space="preserve"> </w:t>
      </w:r>
      <w:r w:rsidRPr="00E10347">
        <w:rPr>
          <w:rFonts w:ascii="Palatino Linotype" w:hAnsi="Palatino Linotype" w:cs="Times New Roman"/>
          <w:sz w:val="21"/>
          <w:szCs w:val="21"/>
        </w:rPr>
        <w:t>sobre,</w:t>
      </w:r>
      <w:r w:rsidRPr="00E10347">
        <w:rPr>
          <w:rFonts w:ascii="Palatino Linotype" w:hAnsi="Palatino Linotype" w:cs="Times New Roman"/>
          <w:b/>
          <w:sz w:val="21"/>
          <w:szCs w:val="21"/>
        </w:rPr>
        <w:t xml:space="preserve">  </w:t>
      </w:r>
      <w:r w:rsidRPr="00E10347">
        <w:rPr>
          <w:rFonts w:ascii="Palatino Linotype" w:hAnsi="Palatino Linotype" w:cs="Times New Roman"/>
          <w:sz w:val="21"/>
          <w:szCs w:val="21"/>
        </w:rPr>
        <w:t xml:space="preserve">fenómenos nacionales, porque estas revelaciones solo decantan cuando cada ordenamiento jurídico está ideológicamente preparado para el cambio.  Entonces generalmente son consecuencia de largos períodos temporales, salvo muy pocos casos revolucionarios cuando operó  en un periodo corto pero casi nunca en forma casi concomitante.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Lo imperdonable, como acontece, y sigue aconteciendo, es que  juristas,  científicos u operadores del Derecho,  ignoren el cambio de las reglas introducidas en la Historia de la Ciencia Jurídica y continúe afirmándose sobre el viejo sistema, abortado, superado, desaplicado.</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Uno de los más elementales conceptos sobre el Derecho Procesal, particularmente en su enseñanza, radica en la </w:t>
      </w:r>
      <w:r w:rsidRPr="00E10347">
        <w:rPr>
          <w:rFonts w:ascii="Palatino Linotype" w:hAnsi="Palatino Linotype" w:cs="Times New Roman"/>
          <w:b/>
          <w:sz w:val="21"/>
          <w:szCs w:val="21"/>
        </w:rPr>
        <w:t>instrumentalidad</w:t>
      </w:r>
      <w:r w:rsidRPr="00E10347">
        <w:rPr>
          <w:rFonts w:ascii="Palatino Linotype" w:hAnsi="Palatino Linotype" w:cs="Times New Roman"/>
          <w:sz w:val="21"/>
          <w:szCs w:val="21"/>
        </w:rPr>
        <w:t xml:space="preserve"> del proceso como especie y como género.  Por ello el Procesal no es un Derecho con un fin en sí mismo, sino instrumento para el cumplimiento del fin del derecho sustantivo, sea este público o privado.  Debe configurarse con el objeto de serle fiel al sustancial del que debe garantizar la debida </w:t>
      </w:r>
      <w:r w:rsidRPr="00E10347">
        <w:rPr>
          <w:rFonts w:ascii="Palatino Linotype" w:hAnsi="Palatino Linotype" w:cs="Times New Roman"/>
          <w:b/>
          <w:sz w:val="21"/>
          <w:szCs w:val="21"/>
        </w:rPr>
        <w:t>efectividad</w:t>
      </w:r>
      <w:r w:rsidRPr="00E10347">
        <w:rPr>
          <w:rFonts w:ascii="Palatino Linotype" w:hAnsi="Palatino Linotype" w:cs="Times New Roman"/>
          <w:sz w:val="21"/>
          <w:szCs w:val="21"/>
        </w:rPr>
        <w:t xml:space="preserve">.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En este sentido, como instrumento, el Derecho procesal, su técnica, puede calificarse como perfecto y eficaz en cuanto mejor logre adaptarse a las exigencias del sustantivo, sin incongruencias, contradicciones o discrepancias.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ab/>
        <w:t xml:space="preserve">Dentro de esta línea de análisis histórico y jurídico la ideología probatoria es, y debe ser, totalmente diferente en la oralidad cuando se supera el sistema escrito.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Es por esta vía por donde las ideologías irrumpen,  invaden, al proceso, dejando claro que son ellas  del derecho sustantivo,  público o privado, con sus institutos.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La falta de comprensión del cambio, manteniendo los criterios de la escritura, necesariamente conduciría a una deformación del reemplazo procesal operado.  Porque la organización de la oralidad no es, ni jamás puede ser, una superación en los medios de comunicación para llevar las pretensiones al Tribunal: bien por medio del silencioso  misterio del manuscrito a otro más ágil y versátil,  contrario, antagónico, diferente, contrapuesto, disímil, antitético e incluso antagónico a través del lenguaje delante de los Jueces y las otras partes en las Audiencias Preliminar cuando opera la admisibilidad y en  las Complementarias, o de pruebas, donde a las admitidas en la Preliminar se suman otras aceptadas para su recepción por los Jueces del  Colegio para su mejor comprensión del </w:t>
      </w:r>
      <w:r w:rsidRPr="00E10347">
        <w:rPr>
          <w:rFonts w:ascii="Palatino Linotype" w:hAnsi="Palatino Linotype" w:cs="Times New Roman"/>
          <w:b/>
          <w:i/>
          <w:sz w:val="21"/>
          <w:szCs w:val="21"/>
        </w:rPr>
        <w:t>thema decidendi</w:t>
      </w:r>
      <w:r w:rsidRPr="00E10347">
        <w:rPr>
          <w:rFonts w:ascii="Palatino Linotype" w:hAnsi="Palatino Linotype" w:cs="Times New Roman"/>
          <w:sz w:val="21"/>
          <w:szCs w:val="21"/>
        </w:rPr>
        <w:t xml:space="preserve">, y a su vez la satisfacción  de los derechos probatorios de las partes, en un contradictorio más amplio, para su valoración en el fallo.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Por tal razón la nueva ordenación implica un cambio radical, razonable, permisible, urgente,  en todos sus aspectos técnicos, pero sobre todo ideológicos donde se encuentra incrustada la prueba.</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En este sentido un estudio de las pruebas para la oralidad con el método tradicional de las obras de Derecho Procesal,  desarrollando  una a una con sus características y particularidades, pensadas y dirigidas para el enriquecimiento de la doctrina y sobre todo para la enseñanza del Derecho, carecen de valor en el plano teórico y práctico.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Porque son las mismas pruebas, en una lectura horizontal, pero su tratamiento es totalmente diferente al enunciado arcaico, al rito del pasado, aunque su permanencia por siglos en el sistema adquiere un simbolismo de leyenda o fábula inmutable.</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Para una mayor claridad del gran movimiento ocurrido en el gran orden procesal con el surgimiento de la oralidad es mejor decirlo con todas sus palabras.  Hay un cambio sin retroceso, una transformación total, un avance </w:t>
      </w:r>
      <w:r w:rsidRPr="00E10347">
        <w:rPr>
          <w:rFonts w:ascii="Palatino Linotype" w:hAnsi="Palatino Linotype" w:cs="Times New Roman"/>
          <w:b/>
          <w:i/>
          <w:sz w:val="21"/>
          <w:szCs w:val="21"/>
        </w:rPr>
        <w:t>in progress</w:t>
      </w:r>
      <w:r w:rsidRPr="00E10347">
        <w:rPr>
          <w:rFonts w:ascii="Palatino Linotype" w:hAnsi="Palatino Linotype" w:cs="Times New Roman"/>
          <w:sz w:val="21"/>
          <w:szCs w:val="21"/>
        </w:rPr>
        <w:t xml:space="preserve">,   hacia adelante, una marcha jurídica organizada con coherencia, un movimiento tan fuerte y autónomo como para dejar atrás el orden probatorio del pasado,  porque ha </w:t>
      </w:r>
      <w:r w:rsidRPr="00E10347">
        <w:rPr>
          <w:rFonts w:ascii="Palatino Linotype" w:hAnsi="Palatino Linotype" w:cs="Times New Roman"/>
          <w:sz w:val="21"/>
          <w:szCs w:val="21"/>
        </w:rPr>
        <w:lastRenderedPageBreak/>
        <w:t xml:space="preserve">ocurrido una gran alteración estructural.  Jamás, por creerse que son las mismas pruebas, podría afirmarse un estancamiento en la organización probatoria tradicional,  o una inmutabilidad como si se tratare de lo mismo, como si no hubiera ocurrido un cataclismo tan profundo como para obligar a reaprender cómo será la convivencia en este nuevo mundo probatorio donde se requieren grandes cambios mentales para contribuir a su consolidación ideológica y jurídica.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La introducción de la oralidad en el sistema procesal es todo un cambio revolucionario.  Su profundidad obliga a darle un tratamiento diferente al método y al sistema probatorio.</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Cuando menciono el criterio de un cambio revolucionario quiero simbolizar, revelar inicialmente una metamorfosis, transformación, evolución, de un inicio histórico del paradigma para dar paso luego a una innovación, reemplazamiento, desfiguración del orden probatorio arcaico y superado por otro completamente nuevo y diferente, con características muy distintas, incluso antagónicas, al anterior, ahora lúcido,  reluciente, resplandeciente, reciente.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En Costa Rica, como se verá más adelante, se formularon en forma anticipada, para el país y para el resto de los países latinoamericanos, desde 1988,  las ideas fundamentales para concebir la oralidad conjuntamente con un sistema de valoración probatoria ajustada a los monumentos jurídicos del mundo.  La propuesta iba orientada a la promulgación de un conjunto normativo denominado </w:t>
      </w:r>
      <w:r w:rsidRPr="00E10347">
        <w:rPr>
          <w:rFonts w:ascii="Palatino Linotype" w:hAnsi="Palatino Linotype" w:cs="Times New Roman"/>
          <w:b/>
          <w:sz w:val="21"/>
          <w:szCs w:val="21"/>
        </w:rPr>
        <w:t xml:space="preserve">Código Procesal General </w:t>
      </w:r>
      <w:r w:rsidRPr="00E10347">
        <w:rPr>
          <w:rFonts w:ascii="Palatino Linotype" w:hAnsi="Palatino Linotype" w:cs="Times New Roman"/>
          <w:sz w:val="21"/>
          <w:szCs w:val="21"/>
        </w:rPr>
        <w:t>dividido en tres Libros:  1)  Disposiciones Generales, 2)  Los procesos y 3) Las jurisdicciones especiales.  Fundado en los principios de oralidad, inmediación, concentración, dispositivo, impulso procesal, celeridad, carga de la prueba, contradicción, identidad física del juzgador, búsqueda de la verdad real, publicidad, preclusión, impugnación y ejecución. Y a su vez declaró como principios incompatibles la escritura en la recepción de las pruebas ni en las audiencias, el principio inquisitivo, la mediación,  las formalidades excesivas, y la denegación injustificada de justicia.</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En el año 2002  fue debidamente aprobado por la Corte Plena de la Corte Suprema de Justicia para ser puesto en conocimiento de la Asamblea Legislativa.  Paralelamente y sobre las mismas ideas se concibió y luego se aprobó por el Parlamento el </w:t>
      </w:r>
      <w:r w:rsidRPr="00E10347">
        <w:rPr>
          <w:rFonts w:ascii="Palatino Linotype" w:hAnsi="Palatino Linotype" w:cs="Times New Roman"/>
          <w:b/>
          <w:sz w:val="21"/>
          <w:szCs w:val="21"/>
        </w:rPr>
        <w:t>Código Procesal Contencioso Administrativo</w:t>
      </w:r>
      <w:r w:rsidRPr="00E10347">
        <w:rPr>
          <w:rFonts w:ascii="Palatino Linotype" w:hAnsi="Palatino Linotype" w:cs="Times New Roman"/>
          <w:sz w:val="21"/>
          <w:szCs w:val="21"/>
        </w:rPr>
        <w:t>, en el 2008.  Pero los feudos conformados por las jurisdicciones especializadas y al mando de uno o dos Magistrados, a partir del 2003, boicotearon la idea general con la intención de dictarse un Código para cada disciplina.</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ab/>
        <w:t xml:space="preserve">Los planteamientos ideológicos de los nuevos documentos, traducidos en algunos casos por muchos proyectos, no fueron capaces de comprender la oralidad ni tampoco el sistema de valoración probatoria.  Se suponía una codificación fundada en los principios aprobados desde  2002. Pero ello no fue así.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Las especializaciones confiaron a  jueces, carentes de conocimiento sobre la ideología para los procesos contemporáneos, para superar los antiquísimos principios y sistemas de valoración de la prueba,  sin dominio de la oralidad   (ni siquiera conociendo la forma cómo funcionaba ésta en la jurisdicción contencioso administrativa).  Por ello recurrieron a los viejos sistemas que conocidos, arcaicos y superados.  En esa forma se desperdició una oportunidad histórica  en el país pata contar con una normativa contemporánea inspirados en las sólidas ideas del </w:t>
      </w:r>
      <w:r w:rsidRPr="00E10347">
        <w:rPr>
          <w:rFonts w:ascii="Palatino Linotype" w:hAnsi="Palatino Linotype" w:cs="Times New Roman"/>
          <w:b/>
          <w:sz w:val="21"/>
          <w:szCs w:val="21"/>
        </w:rPr>
        <w:t>Código Procesal General</w:t>
      </w:r>
      <w:r w:rsidRPr="00E10347">
        <w:rPr>
          <w:rFonts w:ascii="Palatino Linotype" w:hAnsi="Palatino Linotype" w:cs="Times New Roman"/>
          <w:sz w:val="21"/>
          <w:szCs w:val="21"/>
        </w:rPr>
        <w:t xml:space="preserve">.  </w:t>
      </w:r>
    </w:p>
    <w:p w:rsidR="002014CA" w:rsidRPr="00E10347" w:rsidRDefault="002014CA" w:rsidP="00E10347">
      <w:pPr>
        <w:pStyle w:val="Sinespaciado"/>
        <w:jc w:val="both"/>
        <w:rPr>
          <w:rFonts w:ascii="Palatino Linotype" w:eastAsia="Calibri" w:hAnsi="Palatino Linotype" w:cs="Times New Roman"/>
          <w:sz w:val="21"/>
          <w:szCs w:val="21"/>
        </w:rPr>
      </w:pPr>
      <w:r w:rsidRPr="00E10347">
        <w:rPr>
          <w:rFonts w:ascii="Palatino Linotype" w:hAnsi="Palatino Linotype" w:cs="Times New Roman"/>
          <w:sz w:val="21"/>
          <w:szCs w:val="21"/>
        </w:rPr>
        <w:tab/>
        <w:t xml:space="preserve">Así se desprende de  la </w:t>
      </w:r>
      <w:r w:rsidRPr="00E10347">
        <w:rPr>
          <w:rFonts w:ascii="Palatino Linotype" w:hAnsi="Palatino Linotype" w:cs="Times New Roman"/>
          <w:b/>
          <w:sz w:val="21"/>
          <w:szCs w:val="21"/>
        </w:rPr>
        <w:t>Reforma procesal al Código de Trabajo</w:t>
      </w:r>
      <w:r w:rsidRPr="00E10347">
        <w:rPr>
          <w:rFonts w:ascii="Palatino Linotype" w:hAnsi="Palatino Linotype" w:cs="Times New Roman"/>
          <w:sz w:val="21"/>
          <w:szCs w:val="21"/>
        </w:rPr>
        <w:t xml:space="preserve">,  </w:t>
      </w:r>
      <w:r w:rsidRPr="00E10347">
        <w:rPr>
          <w:rFonts w:ascii="Palatino Linotype" w:eastAsia="Calibri" w:hAnsi="Palatino Linotype" w:cs="Times New Roman"/>
          <w:sz w:val="21"/>
          <w:szCs w:val="21"/>
        </w:rPr>
        <w:t xml:space="preserve">Ley N° 9343 del 9 de diciembre del 2015, en  vigencia a partir del 25 de julio del 2017, el denominado nuevo </w:t>
      </w:r>
      <w:r w:rsidRPr="00E10347">
        <w:rPr>
          <w:rFonts w:ascii="Palatino Linotype" w:eastAsia="Calibri" w:hAnsi="Palatino Linotype" w:cs="Times New Roman"/>
          <w:b/>
          <w:sz w:val="21"/>
          <w:szCs w:val="21"/>
        </w:rPr>
        <w:t>Código Procesal Civil</w:t>
      </w:r>
      <w:r w:rsidRPr="00E10347">
        <w:rPr>
          <w:rFonts w:ascii="Palatino Linotype" w:eastAsia="Calibri" w:hAnsi="Palatino Linotype" w:cs="Times New Roman"/>
          <w:sz w:val="21"/>
          <w:szCs w:val="21"/>
        </w:rPr>
        <w:t xml:space="preserve"> aprobado por la Ley N° 9342 del 3 de febrero del 2016, con vigencia 30 meses después de su publicación, y el </w:t>
      </w:r>
      <w:r w:rsidRPr="00E10347">
        <w:rPr>
          <w:rFonts w:ascii="Palatino Linotype" w:hAnsi="Palatino Linotype" w:cs="Times New Roman"/>
          <w:sz w:val="21"/>
          <w:szCs w:val="21"/>
        </w:rPr>
        <w:t xml:space="preserve">Proyecto Nº 15.887 </w:t>
      </w:r>
      <w:r w:rsidRPr="00E10347">
        <w:rPr>
          <w:rFonts w:ascii="Palatino Linotype" w:hAnsi="Palatino Linotype" w:cs="Times New Roman"/>
          <w:b/>
          <w:sz w:val="21"/>
          <w:szCs w:val="21"/>
        </w:rPr>
        <w:t>Ley de la Jurisdicción agraria, agroalimentaria y agroambiental</w:t>
      </w:r>
      <w:r w:rsidRPr="00E10347">
        <w:rPr>
          <w:rFonts w:ascii="Palatino Linotype" w:hAnsi="Palatino Linotype" w:cs="Times New Roman"/>
          <w:sz w:val="21"/>
          <w:szCs w:val="21"/>
        </w:rPr>
        <w:t>,  publicado en el Alcance Nº 16 a La Gaceta Nº 123 del 27 de junio del 2005,  anclado en la redacción de otros códigos, cada vez más grandes, carentes de técnica y de ideas claras sobre la materia.</w:t>
      </w:r>
    </w:p>
    <w:p w:rsidR="00B600D3" w:rsidRDefault="00B600D3" w:rsidP="00E10347">
      <w:pPr>
        <w:pStyle w:val="Sinespaciado"/>
        <w:jc w:val="both"/>
        <w:rPr>
          <w:rFonts w:ascii="Palatino Linotype" w:hAnsi="Palatino Linotype" w:cs="Times New Roman"/>
          <w:b/>
          <w:sz w:val="21"/>
          <w:szCs w:val="21"/>
        </w:rPr>
      </w:pPr>
    </w:p>
    <w:p w:rsidR="002014CA" w:rsidRPr="00E10347" w:rsidRDefault="002014CA" w:rsidP="00E10347">
      <w:pPr>
        <w:pStyle w:val="Sinespaciado"/>
        <w:jc w:val="both"/>
        <w:rPr>
          <w:rFonts w:ascii="Palatino Linotype" w:hAnsi="Palatino Linotype" w:cs="Times New Roman"/>
          <w:b/>
          <w:sz w:val="21"/>
          <w:szCs w:val="21"/>
        </w:rPr>
      </w:pPr>
      <w:r w:rsidRPr="00E10347">
        <w:rPr>
          <w:rFonts w:ascii="Palatino Linotype" w:hAnsi="Palatino Linotype" w:cs="Times New Roman"/>
          <w:b/>
          <w:sz w:val="21"/>
          <w:szCs w:val="21"/>
        </w:rPr>
        <w:t xml:space="preserve">2.  LOS PRIMEROS GRANDES PARADIGMAS DE LA IDEOLOGÍA PROCESAL:  A) EN LA EDAD MEDIA.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El objetivo del análisis del cambio de paradigmas consiste en hurgar en él mismo para determinar su objeto y significado en el plano ideológico del sistema probatorio.</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Ello se logra en la identificación de diferentes momentos a través de la Historia del Derecho.  Porque cada uno tiene su propia ideología.  De lo contrario no constituiría un momento diferente al anterior y al posterior.  En esta forma es muy usual el traer a escena, en el </w:t>
      </w:r>
      <w:r w:rsidRPr="00E10347">
        <w:rPr>
          <w:rFonts w:ascii="Palatino Linotype" w:hAnsi="Palatino Linotype" w:cs="Times New Roman"/>
          <w:b/>
          <w:i/>
          <w:sz w:val="21"/>
          <w:szCs w:val="21"/>
        </w:rPr>
        <w:t xml:space="preserve">civil law, </w:t>
      </w:r>
      <w:r w:rsidRPr="00E10347">
        <w:rPr>
          <w:rFonts w:ascii="Palatino Linotype" w:hAnsi="Palatino Linotype" w:cs="Times New Roman"/>
          <w:sz w:val="21"/>
          <w:szCs w:val="21"/>
        </w:rPr>
        <w:t xml:space="preserve"> los paradigmas constituidos por el  Derecho Romano, el Derecho Intermedio, el Derecho de la Codificación Constitucional y Civil, así como de otras disciplinas, a partir de la  Revolución Francesa,  el Derecho Moderno y el Derecho Contemporáneo.  Naturalmente entre ellas podrían también encontrarse diferencias según líneas imperantes de pensamiento.</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ab/>
        <w:t>La concepción nítida de la ideología exacta no es instantánea en cuanto ocurren unos ciertos hechos históricos.  Su conformación puede durar décadas y hasta siglos.</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Para profundizar en el vasto mundo del Derecho referido a los paradigmas probatorios en torno  a la oralidad, resulta interesante y también obligatorio describir en el Derecho de la Edad Media sus elementos de la escritura pura, con todas sus características principales y accesorias, enfrentándolo al Derecho de la Revolución Francesa, en los mismos aspectos, para vislumbrar cómo aquellas sociedades fueron conformando sus ideologías y la respuesta primero del derecho sustantivo, luego del procesal con su prueba.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No en el sentido de etapas sucesivas sino antagónicas para descubrir en mejor forma las características más salientes de aquellas ordenaciones o sistemas, y dejar una explicación más adecuada al tema a subrayar.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Porque es posible identificar, desde los orígenes mismos del Derecho hasta hoy, la forma como existen movimientos pendulares de oralidad a escritura, de escritura a oralidad,  con períodos largos, y otros mucho más largos,  tanto en escritura como en oralidad, según como la ideología impacte el derecho sustantivo y este posteriormente al procesal, y a su vez el sistema probatorio.</w:t>
      </w:r>
    </w:p>
    <w:p w:rsidR="00B600D3" w:rsidRDefault="00B600D3" w:rsidP="00E10347">
      <w:pPr>
        <w:pStyle w:val="Sinespaciado"/>
        <w:jc w:val="both"/>
        <w:rPr>
          <w:rFonts w:ascii="Palatino Linotype" w:hAnsi="Palatino Linotype" w:cs="Times New Roman"/>
          <w:b/>
          <w:sz w:val="21"/>
          <w:szCs w:val="21"/>
        </w:rPr>
      </w:pPr>
    </w:p>
    <w:p w:rsidR="002014CA" w:rsidRPr="00E10347" w:rsidRDefault="002014CA" w:rsidP="00E10347">
      <w:pPr>
        <w:pStyle w:val="Sinespaciado"/>
        <w:jc w:val="both"/>
        <w:rPr>
          <w:rFonts w:ascii="Palatino Linotype" w:hAnsi="Palatino Linotype" w:cs="Times New Roman"/>
          <w:b/>
          <w:sz w:val="21"/>
          <w:szCs w:val="21"/>
        </w:rPr>
      </w:pPr>
      <w:r w:rsidRPr="00E10347">
        <w:rPr>
          <w:rFonts w:ascii="Palatino Linotype" w:hAnsi="Palatino Linotype" w:cs="Times New Roman"/>
          <w:b/>
          <w:sz w:val="21"/>
          <w:szCs w:val="21"/>
        </w:rPr>
        <w:t>A)  EN LA EDAD MEDIA.</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Aún cuando alguna parte de la doctrina jurídica no considera útil el estudio de la época del oscurantismo.  Ello no es así sobre todo porque en la prueba y su valoración constituye un verdadero paradigma, arcaico o superado, seguido por ordenamientos jurídicos y por doctrinarios.</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La ideología medieval consagró una sociedad con estructura estamental.  Basó su estabilidad en los vínculos de fidelidad personal, vasallaje y feudo, a través del homenaje.  La organización de la sociedad estamental asumió una forma piramidal.</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A esta ideología del Medioevo le va a corresponder un determinado Derecho, conformado por una indescriptible multitud de leyes, dispersas, confusas, contradictorias, casuísticas.  Y con ellas un proceso similar.  Naturalmente con un sistema de admisión y valoración de las pruebas afín a ella.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En forma sucinta  señalaré algunos aspectos ampliamente conocidos para ver cómo influye la ideología en nuestro tema.  Y si para algunos resulta criticable el concepto, por pensar en un tratamiento político y no jurídico, ello no es cierto </w:t>
      </w:r>
      <w:r w:rsidRPr="00E10347">
        <w:rPr>
          <w:rFonts w:ascii="Palatino Linotype" w:hAnsi="Palatino Linotype" w:cs="Times New Roman"/>
          <w:sz w:val="21"/>
          <w:szCs w:val="21"/>
        </w:rPr>
        <w:lastRenderedPageBreak/>
        <w:t>porque  precisamente es la ideología la llamada a determinar un Derecho coherente, conforme, congruente, casi paralelo.  Y por tal con un Sistema Probatorio con todos sus elementos propios.</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Pues bien, la Edad Media se caracterizó una Sociedad de grupos cerrados para dividirse en estamentos o estados. En los Estamentos Privilegiados  la nobleza asumió el  primer estado y el clero el segundo.  El resto de la población: burgueses, artesanos, trabajadores y campesinos  eran los no privilegiados como estado llano.  De estos últimos la burguesía fue el tercer estado y los restante, es decir los inmensos grupos populares eran calificados como tales por ser los únicos con la carga de pagar impuestos.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Esta ideología sufrió dos cambios significativos en el Siglo XVII y en el XVIII.</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La nobleza quedó totalmente subordinada a la monarquía y la alta burguesía, dueña del poder económico, acaparó puestos de responsabilidad y aspiró a controlar el poder político en el Siglo X XVII.</w:t>
      </w:r>
    </w:p>
    <w:p w:rsidR="002014CA" w:rsidRPr="00E10347" w:rsidRDefault="002014CA" w:rsidP="00E10347">
      <w:pPr>
        <w:jc w:val="both"/>
        <w:rPr>
          <w:rFonts w:ascii="Palatino Linotype" w:eastAsia="Times New Roman" w:hAnsi="Palatino Linotype" w:cs="Times New Roman"/>
          <w:sz w:val="21"/>
          <w:szCs w:val="21"/>
          <w:lang w:eastAsia="es-CR"/>
        </w:rPr>
      </w:pPr>
      <w:r w:rsidRPr="00E10347">
        <w:rPr>
          <w:rStyle w:val="a"/>
          <w:rFonts w:ascii="Palatino Linotype" w:hAnsi="Palatino Linotype"/>
          <w:sz w:val="21"/>
          <w:szCs w:val="21"/>
          <w:bdr w:val="none" w:sz="0" w:space="0" w:color="auto" w:frame="1"/>
          <w:shd w:val="clear" w:color="auto" w:fill="FFFFFF"/>
        </w:rPr>
        <w:t xml:space="preserve"> </w:t>
      </w:r>
      <w:r w:rsidRPr="00E10347">
        <w:rPr>
          <w:rStyle w:val="a"/>
          <w:rFonts w:ascii="Palatino Linotype" w:hAnsi="Palatino Linotype"/>
          <w:sz w:val="21"/>
          <w:szCs w:val="21"/>
          <w:bdr w:val="none" w:sz="0" w:space="0" w:color="auto" w:frame="1"/>
          <w:shd w:val="clear" w:color="auto" w:fill="FFFFFF"/>
        </w:rPr>
        <w:tab/>
        <w:t>Más adelante, en el XVIII, experimentó otras transfiguraciones o alteraciones.  Primero la nobleza perdió parte de su influencia política pero disfrutando de sus privilegios económicos y sociales derivados de las rentas de sus tierras.  Luego el clero mantuvo su inmensa influencia social, condenada por la Monarquía a pagar impuestos y por la intelectualidad para respetar una sociedad más laica.  En tercer lugar la burguesía continuó con su ascenso social; la alta burguesía (grandes comerciantes, financieros e industriales) se enriquecía cada vez más; mientras  la baja   (funcionarios, comerciantes urbanos) en relación con los artesanos se empobrecían.  Finalmente la inmensa mayoría de los campesinos vivía en la pobreza más vergonzante, conformados por un grupo cada vez más grande de propietarios y arrendatario.  En el ese de Europa se mantenía la servidumbre de campesinos.</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Consecuente con la ideología estamental, piramidal, se conformó el Derecho Medieval.</w:t>
      </w:r>
      <w:r w:rsidRPr="00E10347">
        <w:rPr>
          <w:rFonts w:ascii="Palatino Linotype" w:hAnsi="Palatino Linotype" w:cs="Times New Roman"/>
          <w:sz w:val="21"/>
          <w:szCs w:val="21"/>
        </w:rPr>
        <w:tab/>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En el sistema de las pruebas,  la Edad Media  creó el </w:t>
      </w:r>
      <w:r w:rsidRPr="00E10347">
        <w:rPr>
          <w:rFonts w:ascii="Palatino Linotype" w:hAnsi="Palatino Linotype" w:cs="Times New Roman"/>
          <w:b/>
          <w:sz w:val="21"/>
          <w:szCs w:val="21"/>
        </w:rPr>
        <w:t>método de pensamiento</w:t>
      </w:r>
      <w:r w:rsidRPr="00E10347">
        <w:rPr>
          <w:rFonts w:ascii="Palatino Linotype" w:hAnsi="Palatino Linotype" w:cs="Times New Roman"/>
          <w:sz w:val="21"/>
          <w:szCs w:val="21"/>
        </w:rPr>
        <w:t xml:space="preserve"> </w:t>
      </w:r>
      <w:r w:rsidRPr="00E10347">
        <w:rPr>
          <w:rFonts w:ascii="Palatino Linotype" w:hAnsi="Palatino Linotype" w:cs="Times New Roman"/>
          <w:b/>
          <w:sz w:val="21"/>
          <w:szCs w:val="21"/>
        </w:rPr>
        <w:t>apriorístico deductivo</w:t>
      </w:r>
      <w:r w:rsidRPr="00E10347">
        <w:rPr>
          <w:rFonts w:ascii="Palatino Linotype" w:hAnsi="Palatino Linotype" w:cs="Times New Roman"/>
          <w:sz w:val="21"/>
          <w:szCs w:val="21"/>
        </w:rPr>
        <w:t xml:space="preserve">, existente aún hoy en por los ordenamientos procesales basados en la escritura.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Esta ordenación medieval entraña una </w:t>
      </w:r>
      <w:r w:rsidRPr="00E10347">
        <w:rPr>
          <w:rFonts w:ascii="Palatino Linotype" w:hAnsi="Palatino Linotype" w:cs="Times New Roman"/>
          <w:b/>
          <w:sz w:val="21"/>
          <w:szCs w:val="21"/>
        </w:rPr>
        <w:t>ideología apriorística y formalista</w:t>
      </w:r>
      <w:r w:rsidRPr="00E10347">
        <w:rPr>
          <w:rFonts w:ascii="Palatino Linotype" w:hAnsi="Palatino Linotype" w:cs="Times New Roman"/>
          <w:sz w:val="21"/>
          <w:szCs w:val="21"/>
        </w:rPr>
        <w:t xml:space="preserve">, sobre todo desigualitaria entre los seres humanos y las formas probatorias.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Su método de abstracción escolástica concibió un orden probatorio caracterizado por ser legal, numérico, apriorístico, formal. Así la formalidad </w:t>
      </w:r>
      <w:r w:rsidRPr="00E10347">
        <w:rPr>
          <w:rFonts w:ascii="Palatino Linotype" w:hAnsi="Palatino Linotype" w:cs="Times New Roman"/>
          <w:sz w:val="21"/>
          <w:szCs w:val="21"/>
        </w:rPr>
        <w:lastRenderedPageBreak/>
        <w:t>orgánica probatoria fue la más genuina expresión de aquel pensamiento deductivo apriorístico.</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Se concibieron dos tipos  de probanzas con valor  de plena prueba.  La definición por la sacralidad de la escritura como expresión máxima, o única, de la verdad, le dio a la documental ese valor. Y por los conceptos religiosos derivados del derecho canónico se calificó de la misma forma a la confesional, porque en la confesión solo se puede decir la verdad como consecuencia de un estado de conciencia. Ni a la prueba documental ni a la confesional, en consecuencia, se le puede oponer ninguna otra el sistema escrito:  medieval y arcaico.</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La testimonial, en sentido contrario, resulta la más degradada de las pruebas dentro del todo porque tiene muy poca, o ninguna,  importancia respecto de las otras.  Por ello fue caracterizada como residual, y solo resulta admisible para demostrar hechos para los cuales no exista otra prueba.</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Este es el sentido de una ideología medieval,  apriorística y formalista. La labor valorativa del juez se reducía a un aspecto numérico y formal de las pruebas. Ubica los hechos probados y no probados conforme a una codificación del valor de las pruebas.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La ideología de la Edad Media crea un juez encargado de determinar la existencia de los hechos en relación al </w:t>
      </w:r>
      <w:r w:rsidRPr="00E10347">
        <w:rPr>
          <w:rFonts w:ascii="Palatino Linotype" w:hAnsi="Palatino Linotype" w:cs="Times New Roman"/>
          <w:b/>
          <w:sz w:val="21"/>
          <w:szCs w:val="21"/>
        </w:rPr>
        <w:t>mayor número, a la mayor cantidad</w:t>
      </w:r>
      <w:r w:rsidRPr="00E10347">
        <w:rPr>
          <w:rFonts w:ascii="Palatino Linotype" w:hAnsi="Palatino Linotype" w:cs="Times New Roman"/>
          <w:sz w:val="21"/>
          <w:szCs w:val="21"/>
        </w:rPr>
        <w:t xml:space="preserve">, de unas pruebas respecto de otras, u otras de número inferior, </w:t>
      </w:r>
      <w:r w:rsidRPr="00E10347">
        <w:rPr>
          <w:rFonts w:ascii="Palatino Linotype" w:hAnsi="Palatino Linotype" w:cs="Times New Roman"/>
          <w:b/>
          <w:sz w:val="21"/>
          <w:szCs w:val="21"/>
        </w:rPr>
        <w:t>y procede a contarlas</w:t>
      </w:r>
      <w:r w:rsidRPr="00E10347">
        <w:rPr>
          <w:rFonts w:ascii="Palatino Linotype" w:hAnsi="Palatino Linotype" w:cs="Times New Roman"/>
          <w:sz w:val="21"/>
          <w:szCs w:val="21"/>
        </w:rPr>
        <w:t xml:space="preserve"> (no a pesarlas).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Contrasta la cantidad a través de tablas donde determinaba un número para unas pruebas plenas y otras no plenas,   y según sus números las suma o cuentan para determinar con la cantidad de ellas los hechos probados y no probados de la sentencia  del proceso.</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A través de esa deducción ficticia establece una discutible realidad fáctica, formal jamás material sobre la falacia de la verdad buscada en los fallos.</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En estricta síntesis las pruebas de la Edad Media </w:t>
      </w:r>
      <w:r w:rsidRPr="00E10347">
        <w:rPr>
          <w:rFonts w:ascii="Palatino Linotype" w:hAnsi="Palatino Linotype" w:cs="Times New Roman"/>
          <w:b/>
          <w:i/>
          <w:sz w:val="21"/>
          <w:szCs w:val="21"/>
        </w:rPr>
        <w:t>se cuentan</w:t>
      </w:r>
      <w:r w:rsidRPr="00E10347">
        <w:rPr>
          <w:rFonts w:ascii="Palatino Linotype" w:hAnsi="Palatino Linotype" w:cs="Times New Roman"/>
          <w:sz w:val="21"/>
          <w:szCs w:val="21"/>
        </w:rPr>
        <w:t xml:space="preserve">, es decir </w:t>
      </w:r>
      <w:r w:rsidRPr="00E10347">
        <w:rPr>
          <w:rFonts w:ascii="Palatino Linotype" w:hAnsi="Palatino Linotype" w:cs="Times New Roman"/>
          <w:b/>
          <w:i/>
          <w:sz w:val="21"/>
          <w:szCs w:val="21"/>
        </w:rPr>
        <w:t>impera la cantidad</w:t>
      </w:r>
      <w:r w:rsidRPr="00E10347">
        <w:rPr>
          <w:rFonts w:ascii="Palatino Linotype" w:hAnsi="Palatino Linotype" w:cs="Times New Roman"/>
          <w:sz w:val="21"/>
          <w:szCs w:val="21"/>
        </w:rPr>
        <w:t xml:space="preserve"> de las plenas pruebas con las restantes.  </w:t>
      </w:r>
    </w:p>
    <w:p w:rsidR="00B600D3" w:rsidRDefault="00B600D3" w:rsidP="00E10347">
      <w:pPr>
        <w:pStyle w:val="Sinespaciado"/>
        <w:jc w:val="both"/>
        <w:rPr>
          <w:rFonts w:ascii="Palatino Linotype" w:hAnsi="Palatino Linotype" w:cs="Times New Roman"/>
          <w:sz w:val="21"/>
          <w:szCs w:val="21"/>
        </w:rPr>
      </w:pPr>
    </w:p>
    <w:p w:rsidR="002014CA" w:rsidRPr="00E10347" w:rsidRDefault="002014CA" w:rsidP="00E10347">
      <w:pPr>
        <w:pStyle w:val="Sinespaciado"/>
        <w:jc w:val="both"/>
        <w:rPr>
          <w:rFonts w:ascii="Palatino Linotype" w:hAnsi="Palatino Linotype" w:cs="Times New Roman"/>
          <w:b/>
          <w:sz w:val="21"/>
          <w:szCs w:val="21"/>
        </w:rPr>
      </w:pPr>
      <w:r w:rsidRPr="00E10347">
        <w:rPr>
          <w:rFonts w:ascii="Palatino Linotype" w:hAnsi="Palatino Linotype" w:cs="Times New Roman"/>
          <w:sz w:val="21"/>
          <w:szCs w:val="21"/>
        </w:rPr>
        <w:t xml:space="preserve">3. </w:t>
      </w:r>
      <w:r w:rsidRPr="00E10347">
        <w:rPr>
          <w:rFonts w:ascii="Palatino Linotype" w:hAnsi="Palatino Linotype" w:cs="Times New Roman"/>
          <w:b/>
          <w:sz w:val="21"/>
          <w:szCs w:val="21"/>
        </w:rPr>
        <w:t xml:space="preserve">(sigue) B)  CON LA REVOLUCIÓN FRANCESA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El hito más importante y de gran impacto en el Derecho, tanto de </w:t>
      </w:r>
      <w:r w:rsidRPr="00E10347">
        <w:rPr>
          <w:rFonts w:ascii="Palatino Linotype" w:hAnsi="Palatino Linotype" w:cs="Times New Roman"/>
          <w:b/>
          <w:i/>
          <w:sz w:val="21"/>
          <w:szCs w:val="21"/>
        </w:rPr>
        <w:t xml:space="preserve">civil law </w:t>
      </w:r>
      <w:r w:rsidRPr="00E10347">
        <w:rPr>
          <w:rFonts w:ascii="Palatino Linotype" w:hAnsi="Palatino Linotype" w:cs="Times New Roman"/>
          <w:sz w:val="21"/>
          <w:szCs w:val="21"/>
        </w:rPr>
        <w:t xml:space="preserve">como del mismo </w:t>
      </w:r>
      <w:r w:rsidRPr="00E10347">
        <w:rPr>
          <w:rFonts w:ascii="Palatino Linotype" w:hAnsi="Palatino Linotype" w:cs="Times New Roman"/>
          <w:b/>
          <w:i/>
          <w:sz w:val="21"/>
          <w:szCs w:val="21"/>
        </w:rPr>
        <w:t>common law</w:t>
      </w:r>
      <w:r w:rsidRPr="00E10347">
        <w:rPr>
          <w:rFonts w:ascii="Palatino Linotype" w:hAnsi="Palatino Linotype" w:cs="Times New Roman"/>
          <w:sz w:val="21"/>
          <w:szCs w:val="21"/>
        </w:rPr>
        <w:t xml:space="preserve">,  lo constituye el cambio de paradigma ideológico introducido con la Revolución Francesa.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ab/>
        <w:t xml:space="preserve">Concibió una nueva filosofía defensora de la igualdad entre los seres humanos, profunda y convencidamente igualitaria en todos los sentidos.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 Se revela, nace, crece, florece con la caída de  la ideología desigualitaria de la Edad Media, en virtud de diferentes tipos de causas.  </w:t>
      </w:r>
      <w:r w:rsidRPr="00E10347">
        <w:rPr>
          <w:rFonts w:ascii="Palatino Linotype" w:hAnsi="Palatino Linotype" w:cs="Times New Roman"/>
          <w:sz w:val="21"/>
          <w:szCs w:val="21"/>
        </w:rPr>
        <w:tab/>
        <w:t xml:space="preserve">a)  </w:t>
      </w:r>
      <w:r w:rsidRPr="00E10347">
        <w:rPr>
          <w:rStyle w:val="Textoennegrita"/>
          <w:rFonts w:ascii="Palatino Linotype" w:hAnsi="Palatino Linotype" w:cs="Times New Roman"/>
          <w:sz w:val="21"/>
          <w:szCs w:val="21"/>
          <w:bdr w:val="none" w:sz="0" w:space="0" w:color="auto" w:frame="1"/>
        </w:rPr>
        <w:t>Políticas e ideológicas</w:t>
      </w:r>
      <w:r w:rsidRPr="00E10347">
        <w:rPr>
          <w:rStyle w:val="Textoennegrita"/>
          <w:rFonts w:ascii="Palatino Linotype" w:hAnsi="Palatino Linotype" w:cs="Times New Roman"/>
          <w:b w:val="0"/>
          <w:sz w:val="21"/>
          <w:szCs w:val="21"/>
          <w:bdr w:val="none" w:sz="0" w:space="0" w:color="auto" w:frame="1"/>
        </w:rPr>
        <w:t>, durante</w:t>
      </w:r>
      <w:r w:rsidRPr="00E10347">
        <w:rPr>
          <w:rStyle w:val="Textoennegrita"/>
          <w:rFonts w:ascii="Palatino Linotype" w:hAnsi="Palatino Linotype" w:cs="Times New Roman"/>
          <w:sz w:val="21"/>
          <w:szCs w:val="21"/>
          <w:bdr w:val="none" w:sz="0" w:space="0" w:color="auto" w:frame="1"/>
        </w:rPr>
        <w:t xml:space="preserve"> </w:t>
      </w:r>
      <w:r w:rsidRPr="00E10347">
        <w:rPr>
          <w:rFonts w:ascii="Palatino Linotype" w:hAnsi="Palatino Linotype" w:cs="Times New Roman"/>
          <w:sz w:val="21"/>
          <w:szCs w:val="21"/>
        </w:rPr>
        <w:t xml:space="preserve">la segunda mitad del siglo XVIII, por las ideas de la Ilustración para vencer al absolutismo.  La Revolución  de los Estados Unidos demostró la posibilidad de darle realidad  a sus ideas.  </w:t>
      </w:r>
      <w:r w:rsidRPr="00E10347">
        <w:rPr>
          <w:rFonts w:ascii="Palatino Linotype" w:hAnsi="Palatino Linotype" w:cs="Times New Roman"/>
          <w:sz w:val="21"/>
          <w:szCs w:val="21"/>
        </w:rPr>
        <w:tab/>
        <w:t>b)  S</w:t>
      </w:r>
      <w:r w:rsidRPr="00E10347">
        <w:rPr>
          <w:rStyle w:val="Textoennegrita"/>
          <w:rFonts w:ascii="Palatino Linotype" w:hAnsi="Palatino Linotype" w:cs="Times New Roman"/>
          <w:sz w:val="21"/>
          <w:szCs w:val="21"/>
          <w:bdr w:val="none" w:sz="0" w:space="0" w:color="auto" w:frame="1"/>
        </w:rPr>
        <w:t>ociales y económicas</w:t>
      </w:r>
      <w:r w:rsidRPr="00E10347">
        <w:rPr>
          <w:rStyle w:val="apple-converted-space"/>
          <w:rFonts w:ascii="Palatino Linotype" w:hAnsi="Palatino Linotype" w:cs="Times New Roman"/>
          <w:sz w:val="21"/>
          <w:szCs w:val="21"/>
        </w:rPr>
        <w:t xml:space="preserve"> originadas en  la escandalosa </w:t>
      </w:r>
      <w:r w:rsidRPr="00E10347">
        <w:rPr>
          <w:rFonts w:ascii="Palatino Linotype" w:hAnsi="Palatino Linotype" w:cs="Times New Roman"/>
          <w:sz w:val="21"/>
          <w:szCs w:val="21"/>
        </w:rPr>
        <w:t>diferencia económica entre las diferentes clases sociales:  los campesinos apenas cubrían sus necesidades primarias básicas y los grupos populares urbanos no tenían nada.  La burguesía no tenía influencia política y los monarcas obstaculizaban sus negocios por el control de la economía.  La nobleza y el clero perdieron poder a causa del absolutismo, con dificultades económicas por sus elevados gastos.  c)  Empero la causa principal para el estallido de la</w:t>
      </w:r>
      <w:r w:rsidRPr="00E10347">
        <w:rPr>
          <w:rStyle w:val="apple-converted-space"/>
          <w:rFonts w:ascii="Palatino Linotype" w:hAnsi="Palatino Linotype" w:cs="Times New Roman"/>
          <w:sz w:val="21"/>
          <w:szCs w:val="21"/>
        </w:rPr>
        <w:t> </w:t>
      </w:r>
      <w:r w:rsidRPr="00E10347">
        <w:rPr>
          <w:rFonts w:ascii="Palatino Linotype" w:hAnsi="Palatino Linotype" w:cs="Times New Roman"/>
          <w:sz w:val="21"/>
          <w:szCs w:val="21"/>
        </w:rPr>
        <w:t>la Revolución Francesa fue la</w:t>
      </w:r>
      <w:r w:rsidRPr="00E10347">
        <w:rPr>
          <w:rStyle w:val="apple-converted-space"/>
          <w:rFonts w:ascii="Palatino Linotype" w:hAnsi="Palatino Linotype" w:cs="Times New Roman"/>
          <w:sz w:val="21"/>
          <w:szCs w:val="21"/>
        </w:rPr>
        <w:t> </w:t>
      </w:r>
      <w:r w:rsidRPr="00E10347">
        <w:rPr>
          <w:rStyle w:val="Textoennegrita"/>
          <w:rFonts w:ascii="Palatino Linotype" w:hAnsi="Palatino Linotype" w:cs="Times New Roman"/>
          <w:sz w:val="21"/>
          <w:szCs w:val="21"/>
          <w:bdr w:val="none" w:sz="0" w:space="0" w:color="auto" w:frame="1"/>
        </w:rPr>
        <w:t>crisis alimentaria</w:t>
      </w:r>
      <w:r w:rsidRPr="00E10347">
        <w:rPr>
          <w:rStyle w:val="Textoennegrita"/>
          <w:rFonts w:ascii="Palatino Linotype" w:hAnsi="Palatino Linotype" w:cs="Times New Roman"/>
          <w:b w:val="0"/>
          <w:sz w:val="21"/>
          <w:szCs w:val="21"/>
          <w:bdr w:val="none" w:sz="0" w:space="0" w:color="auto" w:frame="1"/>
        </w:rPr>
        <w:t xml:space="preserve">. Las malas cosechas de </w:t>
      </w:r>
      <w:r w:rsidRPr="00E10347">
        <w:rPr>
          <w:rFonts w:ascii="Palatino Linotype" w:hAnsi="Palatino Linotype" w:cs="Times New Roman"/>
          <w:sz w:val="21"/>
          <w:szCs w:val="21"/>
        </w:rPr>
        <w:t>los años anteriores y la</w:t>
      </w:r>
      <w:r w:rsidRPr="00E10347">
        <w:rPr>
          <w:rStyle w:val="apple-converted-space"/>
          <w:rFonts w:ascii="Palatino Linotype" w:hAnsi="Palatino Linotype" w:cs="Times New Roman"/>
          <w:sz w:val="21"/>
          <w:szCs w:val="21"/>
        </w:rPr>
        <w:t> </w:t>
      </w:r>
      <w:r w:rsidRPr="00E10347">
        <w:rPr>
          <w:rStyle w:val="Textoennegrita"/>
          <w:rFonts w:ascii="Palatino Linotype" w:hAnsi="Palatino Linotype" w:cs="Times New Roman"/>
          <w:sz w:val="21"/>
          <w:szCs w:val="21"/>
          <w:bdr w:val="none" w:sz="0" w:space="0" w:color="auto" w:frame="1"/>
        </w:rPr>
        <w:t>crisis financiera</w:t>
      </w:r>
      <w:r w:rsidRPr="00E10347">
        <w:rPr>
          <w:rStyle w:val="apple-converted-space"/>
          <w:rFonts w:ascii="Palatino Linotype" w:hAnsi="Palatino Linotype" w:cs="Times New Roman"/>
          <w:sz w:val="21"/>
          <w:szCs w:val="21"/>
        </w:rPr>
        <w:t xml:space="preserve"> por los </w:t>
      </w:r>
      <w:r w:rsidRPr="00E10347">
        <w:rPr>
          <w:rFonts w:ascii="Palatino Linotype" w:hAnsi="Palatino Linotype" w:cs="Times New Roman"/>
          <w:sz w:val="21"/>
          <w:szCs w:val="21"/>
        </w:rPr>
        <w:t>elevados gastos del  Estado en militares y cortesanos, no resueltos porque los obligados no renunciaban a sus privilegios de no pagar impuestos</w:t>
      </w:r>
    </w:p>
    <w:p w:rsidR="002014CA" w:rsidRPr="00E10347" w:rsidRDefault="002014CA" w:rsidP="00E10347">
      <w:pPr>
        <w:pStyle w:val="NormalWeb"/>
        <w:shd w:val="clear" w:color="auto" w:fill="FFFFFF"/>
        <w:spacing w:before="0" w:beforeAutospacing="0" w:after="0" w:afterAutospacing="0"/>
        <w:jc w:val="both"/>
        <w:textAlignment w:val="baseline"/>
        <w:rPr>
          <w:rFonts w:ascii="Palatino Linotype" w:hAnsi="Palatino Linotype"/>
          <w:sz w:val="21"/>
          <w:szCs w:val="21"/>
        </w:rPr>
      </w:pPr>
      <w:r w:rsidRPr="00E10347">
        <w:rPr>
          <w:rFonts w:ascii="Palatino Linotype" w:hAnsi="Palatino Linotype"/>
          <w:sz w:val="21"/>
          <w:szCs w:val="21"/>
        </w:rPr>
        <w:tab/>
        <w:t>En ese escenario Luís XVI convocó, en 1789, a  los</w:t>
      </w:r>
      <w:r w:rsidRPr="00E10347">
        <w:rPr>
          <w:rStyle w:val="apple-converted-space"/>
          <w:rFonts w:ascii="Palatino Linotype" w:hAnsi="Palatino Linotype"/>
          <w:sz w:val="21"/>
          <w:szCs w:val="21"/>
        </w:rPr>
        <w:t> </w:t>
      </w:r>
      <w:r w:rsidRPr="00E10347">
        <w:rPr>
          <w:rStyle w:val="Textoennegrita"/>
          <w:rFonts w:ascii="Palatino Linotype" w:hAnsi="Palatino Linotype"/>
          <w:sz w:val="21"/>
          <w:szCs w:val="21"/>
          <w:bdr w:val="none" w:sz="0" w:space="0" w:color="auto" w:frame="1"/>
        </w:rPr>
        <w:t>Estados Generales</w:t>
      </w:r>
      <w:r w:rsidRPr="00E10347">
        <w:rPr>
          <w:rFonts w:ascii="Palatino Linotype" w:hAnsi="Palatino Linotype"/>
          <w:sz w:val="21"/>
          <w:szCs w:val="21"/>
        </w:rPr>
        <w:t>, a un Asamblea formada por representantes de los tres estamentos.   En ella y con las quejas de los mismos Estamentos surge la Revolución Francesa.</w:t>
      </w:r>
    </w:p>
    <w:p w:rsidR="002014CA" w:rsidRPr="00E10347" w:rsidRDefault="002014CA" w:rsidP="00E10347">
      <w:pPr>
        <w:pStyle w:val="Sinespaciado"/>
        <w:jc w:val="both"/>
        <w:rPr>
          <w:rFonts w:ascii="Palatino Linotype" w:eastAsia="Times New Roman" w:hAnsi="Palatino Linotype" w:cs="Times New Roman"/>
          <w:sz w:val="21"/>
          <w:szCs w:val="21"/>
          <w:lang w:eastAsia="es-CR"/>
        </w:rPr>
      </w:pPr>
      <w:r w:rsidRPr="00E10347">
        <w:rPr>
          <w:rFonts w:ascii="Palatino Linotype" w:hAnsi="Palatino Linotype" w:cs="Times New Roman"/>
          <w:sz w:val="21"/>
          <w:szCs w:val="21"/>
        </w:rPr>
        <w:tab/>
        <w:t xml:space="preserve">La ideología de la Francia Revolucionaria no era única ni claramente identificable.. Al inicio,  tuvo cuatro grupos políticos con diferentes formas de  comprenderla.  a) Los </w:t>
      </w:r>
      <w:r w:rsidRPr="00E10347">
        <w:rPr>
          <w:rFonts w:ascii="Palatino Linotype" w:eastAsia="Times New Roman" w:hAnsi="Palatino Linotype" w:cs="Times New Roman"/>
          <w:sz w:val="21"/>
          <w:szCs w:val="21"/>
          <w:lang w:eastAsia="es-CR"/>
        </w:rPr>
        <w:t> </w:t>
      </w:r>
      <w:r w:rsidRPr="00E10347">
        <w:rPr>
          <w:rFonts w:ascii="Palatino Linotype" w:eastAsia="Times New Roman" w:hAnsi="Palatino Linotype" w:cs="Times New Roman"/>
          <w:b/>
          <w:bCs/>
          <w:sz w:val="21"/>
          <w:szCs w:val="21"/>
          <w:lang w:eastAsia="es-CR"/>
        </w:rPr>
        <w:t xml:space="preserve">constitucionalistas.  </w:t>
      </w:r>
      <w:r w:rsidRPr="00E10347">
        <w:rPr>
          <w:rFonts w:ascii="Palatino Linotype" w:eastAsia="Times New Roman" w:hAnsi="Palatino Linotype" w:cs="Times New Roman"/>
          <w:bCs/>
          <w:sz w:val="21"/>
          <w:szCs w:val="21"/>
          <w:lang w:eastAsia="es-CR"/>
        </w:rPr>
        <w:t xml:space="preserve">Durante la primera parte fue el grupo dominante, promovían </w:t>
      </w:r>
      <w:r w:rsidRPr="00E10347">
        <w:rPr>
          <w:rFonts w:ascii="Palatino Linotype" w:eastAsia="Times New Roman" w:hAnsi="Palatino Linotype" w:cs="Times New Roman"/>
          <w:sz w:val="21"/>
          <w:szCs w:val="21"/>
          <w:lang w:eastAsia="es-CR"/>
        </w:rPr>
        <w:t>una monarquía moderada por una constitución (1789-1792) con el M</w:t>
      </w:r>
      <w:hyperlink r:id="rId32" w:tooltip="Honoré Gabriel Riqueti" w:history="1">
        <w:r w:rsidRPr="00E10347">
          <w:rPr>
            <w:rFonts w:ascii="Palatino Linotype" w:eastAsia="Times New Roman" w:hAnsi="Palatino Linotype" w:cs="Times New Roman"/>
            <w:sz w:val="21"/>
            <w:szCs w:val="21"/>
            <w:lang w:eastAsia="es-CR"/>
          </w:rPr>
          <w:t xml:space="preserve">arqués de </w:t>
        </w:r>
        <w:r w:rsidRPr="00E10347">
          <w:rPr>
            <w:rFonts w:ascii="Palatino Linotype" w:eastAsia="Times New Roman" w:hAnsi="Palatino Linotype" w:cs="Times New Roman"/>
            <w:b/>
            <w:sz w:val="21"/>
            <w:szCs w:val="21"/>
            <w:lang w:eastAsia="es-CR"/>
          </w:rPr>
          <w:t>Mirabeau</w:t>
        </w:r>
      </w:hyperlink>
      <w:r w:rsidRPr="00E10347">
        <w:rPr>
          <w:rFonts w:ascii="Palatino Linotype" w:eastAsia="Times New Roman" w:hAnsi="Palatino Linotype" w:cs="Times New Roman"/>
          <w:sz w:val="21"/>
          <w:szCs w:val="21"/>
          <w:lang w:eastAsia="es-CR"/>
        </w:rPr>
        <w:t> y </w:t>
      </w:r>
      <w:hyperlink r:id="rId33" w:tooltip="La Fayette" w:history="1">
        <w:r w:rsidRPr="00E10347">
          <w:rPr>
            <w:rFonts w:ascii="Palatino Linotype" w:eastAsia="Times New Roman" w:hAnsi="Palatino Linotype" w:cs="Times New Roman"/>
            <w:b/>
            <w:sz w:val="21"/>
            <w:szCs w:val="21"/>
            <w:lang w:eastAsia="es-CR"/>
          </w:rPr>
          <w:t>La Fayette</w:t>
        </w:r>
      </w:hyperlink>
      <w:r w:rsidRPr="00E10347">
        <w:rPr>
          <w:rFonts w:ascii="Palatino Linotype" w:eastAsia="Times New Roman" w:hAnsi="Palatino Linotype" w:cs="Times New Roman"/>
          <w:sz w:val="21"/>
          <w:szCs w:val="21"/>
          <w:lang w:eastAsia="es-CR"/>
        </w:rPr>
        <w:t>. b) Los </w:t>
      </w:r>
      <w:hyperlink r:id="rId34" w:tooltip="Girondino" w:history="1">
        <w:r w:rsidRPr="00E10347">
          <w:rPr>
            <w:rFonts w:ascii="Palatino Linotype" w:eastAsia="Times New Roman" w:hAnsi="Palatino Linotype" w:cs="Times New Roman"/>
            <w:b/>
            <w:bCs/>
            <w:sz w:val="21"/>
            <w:szCs w:val="21"/>
            <w:lang w:eastAsia="es-CR"/>
          </w:rPr>
          <w:t>girondinos</w:t>
        </w:r>
      </w:hyperlink>
      <w:r w:rsidRPr="00E10347">
        <w:rPr>
          <w:rFonts w:ascii="Palatino Linotype" w:eastAsia="Times New Roman" w:hAnsi="Palatino Linotype" w:cs="Times New Roman"/>
          <w:b/>
          <w:bCs/>
          <w:sz w:val="21"/>
          <w:szCs w:val="21"/>
          <w:lang w:eastAsia="es-CR"/>
        </w:rPr>
        <w:t xml:space="preserve">. </w:t>
      </w:r>
      <w:r w:rsidRPr="00E10347">
        <w:rPr>
          <w:rFonts w:ascii="Palatino Linotype" w:eastAsia="Times New Roman" w:hAnsi="Palatino Linotype" w:cs="Times New Roman"/>
          <w:bCs/>
          <w:sz w:val="21"/>
          <w:szCs w:val="21"/>
          <w:lang w:eastAsia="es-CR"/>
        </w:rPr>
        <w:t xml:space="preserve">Republicanos moderados conformados por la alta burguesía.  Partidarios de un </w:t>
      </w:r>
      <w:r w:rsidRPr="00E10347">
        <w:rPr>
          <w:rFonts w:ascii="Palatino Linotype" w:eastAsia="Times New Roman" w:hAnsi="Palatino Linotype" w:cs="Times New Roman"/>
          <w:sz w:val="21"/>
          <w:szCs w:val="21"/>
          <w:lang w:eastAsia="es-CR"/>
        </w:rPr>
        <w:t>revolución por medio de la ley, con ideas revolucionarias universales aplicables en cualquier parte. Descentralistas opuestos a una autoridad en París sino en las Provincias Su figura fue </w:t>
      </w:r>
      <w:hyperlink r:id="rId35" w:tooltip="Jacques Pierre Brissot" w:history="1">
        <w:r w:rsidRPr="00E10347">
          <w:rPr>
            <w:rFonts w:ascii="Palatino Linotype" w:eastAsia="Times New Roman" w:hAnsi="Palatino Linotype" w:cs="Times New Roman"/>
            <w:b/>
            <w:sz w:val="21"/>
            <w:szCs w:val="21"/>
            <w:lang w:eastAsia="es-CR"/>
          </w:rPr>
          <w:t>Brissot</w:t>
        </w:r>
      </w:hyperlink>
      <w:r w:rsidRPr="00E10347">
        <w:rPr>
          <w:rFonts w:ascii="Palatino Linotype" w:eastAsia="Times New Roman" w:hAnsi="Palatino Linotype" w:cs="Times New Roman"/>
          <w:sz w:val="21"/>
          <w:szCs w:val="21"/>
          <w:lang w:eastAsia="es-CR"/>
        </w:rPr>
        <w:t>.  c) Los </w:t>
      </w:r>
      <w:hyperlink r:id="rId36" w:tooltip="Jacobino" w:history="1">
        <w:r w:rsidRPr="00E10347">
          <w:rPr>
            <w:rFonts w:ascii="Palatino Linotype" w:eastAsia="Times New Roman" w:hAnsi="Palatino Linotype" w:cs="Times New Roman"/>
            <w:b/>
            <w:bCs/>
            <w:sz w:val="21"/>
            <w:szCs w:val="21"/>
            <w:lang w:eastAsia="es-CR"/>
          </w:rPr>
          <w:t>jacobinos</w:t>
        </w:r>
      </w:hyperlink>
      <w:r w:rsidRPr="00E10347">
        <w:rPr>
          <w:rFonts w:ascii="Palatino Linotype" w:eastAsia="Times New Roman" w:hAnsi="Palatino Linotype" w:cs="Times New Roman"/>
          <w:b/>
          <w:bCs/>
          <w:sz w:val="21"/>
          <w:szCs w:val="21"/>
          <w:lang w:eastAsia="es-CR"/>
        </w:rPr>
        <w:t xml:space="preserve">.  </w:t>
      </w:r>
      <w:r w:rsidRPr="00E10347">
        <w:rPr>
          <w:rFonts w:ascii="Palatino Linotype" w:eastAsia="Times New Roman" w:hAnsi="Palatino Linotype" w:cs="Times New Roman"/>
          <w:bCs/>
          <w:sz w:val="21"/>
          <w:szCs w:val="21"/>
          <w:lang w:eastAsia="es-CR"/>
        </w:rPr>
        <w:t>Representaron</w:t>
      </w:r>
      <w:r w:rsidRPr="00E10347">
        <w:rPr>
          <w:rFonts w:ascii="Palatino Linotype" w:eastAsia="Times New Roman" w:hAnsi="Palatino Linotype" w:cs="Times New Roman"/>
          <w:b/>
          <w:bCs/>
          <w:sz w:val="21"/>
          <w:szCs w:val="21"/>
          <w:lang w:eastAsia="es-CR"/>
        </w:rPr>
        <w:t xml:space="preserve"> </w:t>
      </w:r>
      <w:r w:rsidRPr="00E10347">
        <w:rPr>
          <w:rFonts w:ascii="Palatino Linotype" w:eastAsia="Times New Roman" w:hAnsi="Palatino Linotype" w:cs="Times New Roman"/>
          <w:sz w:val="21"/>
          <w:szCs w:val="21"/>
          <w:lang w:eastAsia="es-CR"/>
        </w:rPr>
        <w:t>la burguesía media y las clases populares (</w:t>
      </w:r>
      <w:r w:rsidRPr="00E10347">
        <w:rPr>
          <w:rFonts w:ascii="Palatino Linotype" w:eastAsia="Times New Roman" w:hAnsi="Palatino Linotype" w:cs="Times New Roman"/>
          <w:b/>
          <w:bCs/>
          <w:i/>
          <w:sz w:val="21"/>
          <w:szCs w:val="21"/>
          <w:lang w:eastAsia="es-CR"/>
        </w:rPr>
        <w:t>sans-culottes</w:t>
      </w:r>
      <w:r w:rsidRPr="00E10347">
        <w:rPr>
          <w:rFonts w:ascii="Palatino Linotype" w:eastAsia="Times New Roman" w:hAnsi="Palatino Linotype" w:cs="Times New Roman"/>
          <w:sz w:val="21"/>
          <w:szCs w:val="21"/>
          <w:lang w:eastAsia="es-CR"/>
        </w:rPr>
        <w:t>). Centralistas:  el impulso revolucionario debía iniciarse en París y luego generalizarse,  Pretenden controlar la revolución y llevarla adelante por medio de los hechos: dispuestos a limitar la propiedad privada y la libertad individual.  Sus figuras fueron </w:t>
      </w:r>
      <w:hyperlink r:id="rId37" w:tooltip="Georges-Jacques Danton" w:history="1">
        <w:r w:rsidRPr="00E10347">
          <w:rPr>
            <w:rFonts w:ascii="Palatino Linotype" w:eastAsia="Times New Roman" w:hAnsi="Palatino Linotype" w:cs="Times New Roman"/>
            <w:b/>
            <w:sz w:val="21"/>
            <w:szCs w:val="21"/>
            <w:lang w:eastAsia="es-CR"/>
          </w:rPr>
          <w:t>Danton</w:t>
        </w:r>
      </w:hyperlink>
      <w:r w:rsidRPr="00E10347">
        <w:rPr>
          <w:rFonts w:ascii="Palatino Linotype" w:eastAsia="Times New Roman" w:hAnsi="Palatino Linotype" w:cs="Times New Roman"/>
          <w:b/>
          <w:sz w:val="21"/>
          <w:szCs w:val="21"/>
          <w:lang w:eastAsia="es-CR"/>
        </w:rPr>
        <w:t>,</w:t>
      </w:r>
      <w:r w:rsidRPr="00E10347">
        <w:rPr>
          <w:rFonts w:ascii="Palatino Linotype" w:eastAsia="Times New Roman" w:hAnsi="Palatino Linotype" w:cs="Times New Roman"/>
          <w:sz w:val="21"/>
          <w:szCs w:val="21"/>
          <w:lang w:eastAsia="es-CR"/>
        </w:rPr>
        <w:t xml:space="preserve"> más moderado, y </w:t>
      </w:r>
      <w:hyperlink r:id="rId38" w:tooltip="Maximilien Robespierre" w:history="1">
        <w:r w:rsidRPr="00E10347">
          <w:rPr>
            <w:rFonts w:ascii="Palatino Linotype" w:eastAsia="Times New Roman" w:hAnsi="Palatino Linotype" w:cs="Times New Roman"/>
            <w:b/>
            <w:sz w:val="21"/>
            <w:szCs w:val="21"/>
            <w:lang w:eastAsia="es-CR"/>
          </w:rPr>
          <w:t>Robespierre</w:t>
        </w:r>
      </w:hyperlink>
      <w:r w:rsidRPr="00E10347">
        <w:rPr>
          <w:rFonts w:ascii="Palatino Linotype" w:eastAsia="Times New Roman" w:hAnsi="Palatino Linotype" w:cs="Times New Roman"/>
          <w:sz w:val="21"/>
          <w:szCs w:val="21"/>
          <w:lang w:eastAsia="es-CR"/>
        </w:rPr>
        <w:t xml:space="preserve">. </w:t>
      </w:r>
      <w:r w:rsidRPr="00E10347">
        <w:rPr>
          <w:rFonts w:ascii="Palatino Linotype" w:eastAsia="Times New Roman" w:hAnsi="Palatino Linotype" w:cs="Times New Roman"/>
          <w:sz w:val="21"/>
          <w:szCs w:val="21"/>
          <w:lang w:eastAsia="es-CR"/>
        </w:rPr>
        <w:tab/>
        <w:t>d) Los </w:t>
      </w:r>
      <w:hyperlink r:id="rId39" w:tooltip="Club de los Cordeliers" w:history="1">
        <w:r w:rsidRPr="00E10347">
          <w:rPr>
            <w:rFonts w:ascii="Palatino Linotype" w:eastAsia="Times New Roman" w:hAnsi="Palatino Linotype" w:cs="Times New Roman"/>
            <w:b/>
            <w:bCs/>
            <w:sz w:val="21"/>
            <w:szCs w:val="21"/>
            <w:lang w:eastAsia="es-CR"/>
          </w:rPr>
          <w:t>cordeliers</w:t>
        </w:r>
      </w:hyperlink>
      <w:r w:rsidRPr="00E10347">
        <w:rPr>
          <w:rFonts w:ascii="Palatino Linotype" w:eastAsia="Times New Roman" w:hAnsi="Palatino Linotype" w:cs="Times New Roman"/>
          <w:sz w:val="21"/>
          <w:szCs w:val="21"/>
          <w:lang w:eastAsia="es-CR"/>
        </w:rPr>
        <w:t xml:space="preserve">.  Fue el sector burgués más exaltado.  Su tesis era el sufragio universal </w:t>
      </w:r>
      <w:r w:rsidRPr="00E10347">
        <w:rPr>
          <w:rFonts w:ascii="Palatino Linotype" w:eastAsia="Times New Roman" w:hAnsi="Palatino Linotype" w:cs="Times New Roman"/>
          <w:sz w:val="21"/>
          <w:szCs w:val="21"/>
          <w:lang w:eastAsia="es-CR"/>
        </w:rPr>
        <w:lastRenderedPageBreak/>
        <w:t>y la soberanía del pueblo. Actuaban en en las calles pero nunca tuvieron el poder, ni siquiera para estar en la Asamblea. Su figura más representativa fue </w:t>
      </w:r>
      <w:hyperlink r:id="rId40" w:tooltip="Jean-Paul Marat" w:history="1">
        <w:r w:rsidRPr="00E10347">
          <w:rPr>
            <w:rFonts w:ascii="Palatino Linotype" w:eastAsia="Times New Roman" w:hAnsi="Palatino Linotype" w:cs="Times New Roman"/>
            <w:b/>
            <w:sz w:val="21"/>
            <w:szCs w:val="21"/>
            <w:lang w:eastAsia="es-CR"/>
          </w:rPr>
          <w:t>Marat</w:t>
        </w:r>
      </w:hyperlink>
      <w:r w:rsidRPr="00E10347">
        <w:rPr>
          <w:rFonts w:ascii="Palatino Linotype" w:eastAsia="Times New Roman" w:hAnsi="Palatino Linotype" w:cs="Times New Roman"/>
          <w:sz w:val="21"/>
          <w:szCs w:val="21"/>
          <w:lang w:eastAsia="es-CR"/>
        </w:rPr>
        <w:t>.</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eastAsia="Times New Roman" w:hAnsi="Palatino Linotype" w:cs="Times New Roman"/>
          <w:sz w:val="21"/>
          <w:szCs w:val="21"/>
          <w:lang w:eastAsia="es-CR"/>
        </w:rPr>
        <w:tab/>
        <w:t>En el ámbito religioso, los sacerdotes se dividieron en dos grupos. Los Juramentados con la revolución y los Refractarios: contrarrevolucionarios.</w:t>
      </w:r>
    </w:p>
    <w:p w:rsidR="002014CA" w:rsidRPr="00E10347" w:rsidRDefault="002014CA" w:rsidP="00E10347">
      <w:pPr>
        <w:pStyle w:val="NormalWeb"/>
        <w:shd w:val="clear" w:color="auto" w:fill="FFFFFF"/>
        <w:spacing w:before="0" w:beforeAutospacing="0" w:after="0" w:afterAutospacing="0"/>
        <w:jc w:val="both"/>
        <w:textAlignment w:val="baseline"/>
        <w:rPr>
          <w:rFonts w:ascii="Palatino Linotype" w:hAnsi="Palatino Linotype"/>
          <w:sz w:val="21"/>
          <w:szCs w:val="21"/>
        </w:rPr>
      </w:pPr>
      <w:r w:rsidRPr="00E10347">
        <w:rPr>
          <w:rFonts w:ascii="Palatino Linotype" w:hAnsi="Palatino Linotype"/>
          <w:sz w:val="21"/>
          <w:szCs w:val="21"/>
        </w:rPr>
        <w:tab/>
        <w:t>Las sesiones de la Asamblea se iniciaron el 5 de mayo de 1789.  Las primeras discusiones fueron por el modo de votación:  la nobleza y el clero querían votar por estamentos, en cambio los representantes del Tercer Estado propugnaban por el voto individual en tanto miembros de la Asamblea.   Como sus pretensiones fueron rechazadas los representantes del Tercer Estado pasaron a la sala contigua  "Juego de Pelota", se proclamaron Asamblea Nacional y juraron no disolverse hasta aprobar una Constitución. Esta acción revolucionaria sirvió como ejemplo en el mundo entero.</w:t>
      </w:r>
    </w:p>
    <w:p w:rsidR="002014CA" w:rsidRPr="00E10347" w:rsidRDefault="002014CA" w:rsidP="00E10347">
      <w:pPr>
        <w:pStyle w:val="NormalWeb"/>
        <w:shd w:val="clear" w:color="auto" w:fill="FFFFFF"/>
        <w:spacing w:before="0" w:beforeAutospacing="0" w:after="0" w:afterAutospacing="0"/>
        <w:jc w:val="both"/>
        <w:textAlignment w:val="baseline"/>
        <w:rPr>
          <w:rFonts w:ascii="Palatino Linotype" w:hAnsi="Palatino Linotype"/>
          <w:sz w:val="21"/>
          <w:szCs w:val="21"/>
        </w:rPr>
      </w:pPr>
      <w:r w:rsidRPr="00E10347">
        <w:rPr>
          <w:rFonts w:ascii="Palatino Linotype" w:hAnsi="Palatino Linotype"/>
          <w:sz w:val="21"/>
          <w:szCs w:val="21"/>
        </w:rPr>
        <w:tab/>
        <w:t>La Asamblea se transformo en Constituyente,  abolió el feudalismo y redactó la </w:t>
      </w:r>
      <w:r w:rsidRPr="00E10347">
        <w:rPr>
          <w:rFonts w:ascii="Palatino Linotype" w:hAnsi="Palatino Linotype"/>
          <w:b/>
          <w:bCs/>
          <w:sz w:val="21"/>
          <w:szCs w:val="21"/>
        </w:rPr>
        <w:t xml:space="preserve">Declaración de Derechos del Hombre y del Ciudadano de 1789 </w:t>
      </w:r>
      <w:r w:rsidRPr="00E10347">
        <w:rPr>
          <w:rFonts w:ascii="Palatino Linotype" w:hAnsi="Palatino Linotype"/>
          <w:sz w:val="21"/>
          <w:szCs w:val="21"/>
        </w:rPr>
        <w:t>para reconocer los derechos a la libertad,  la propiedad y la igualdad ante la ley.  Luego promulgó la </w:t>
      </w:r>
      <w:r w:rsidRPr="00E10347">
        <w:rPr>
          <w:rFonts w:ascii="Palatino Linotype" w:hAnsi="Palatino Linotype"/>
          <w:b/>
          <w:bCs/>
          <w:sz w:val="21"/>
          <w:szCs w:val="21"/>
        </w:rPr>
        <w:t>Constitución de 1791</w:t>
      </w:r>
      <w:r w:rsidRPr="00E10347">
        <w:rPr>
          <w:rFonts w:ascii="Palatino Linotype" w:hAnsi="Palatino Linotype"/>
          <w:sz w:val="21"/>
          <w:szCs w:val="21"/>
        </w:rPr>
        <w:t>. Con esto queda claro el paso de un sistema absolutista a un sistema liberal.</w:t>
      </w:r>
    </w:p>
    <w:p w:rsidR="002014CA" w:rsidRPr="00E10347" w:rsidRDefault="002014CA" w:rsidP="00E10347">
      <w:pPr>
        <w:pStyle w:val="NormalWeb"/>
        <w:shd w:val="clear" w:color="auto" w:fill="FFFFFF"/>
        <w:spacing w:before="0" w:beforeAutospacing="0" w:after="0" w:afterAutospacing="0"/>
        <w:jc w:val="both"/>
        <w:textAlignment w:val="baseline"/>
        <w:rPr>
          <w:rFonts w:ascii="Palatino Linotype" w:hAnsi="Palatino Linotype"/>
          <w:sz w:val="21"/>
          <w:szCs w:val="21"/>
        </w:rPr>
      </w:pPr>
      <w:r w:rsidRPr="00E10347">
        <w:rPr>
          <w:rFonts w:ascii="Palatino Linotype" w:hAnsi="Palatino Linotype"/>
          <w:sz w:val="21"/>
          <w:szCs w:val="21"/>
        </w:rPr>
        <w:tab/>
        <w:t>Luego vinieron otros períodos también revolucionarios de gran confusión.  La Asamblea se transformó en Asamblea Legislativa, 1791-1792, para emitir la Constitución.  Todos los problemas surgidos se resolvieron transformando la Asamblea Legislativa en La Convencion, 1792-1795 para abolir la Monarquía, proclamar la República de 1792 y llevó a la guillotina a Luis XVI un año después.</w:t>
      </w:r>
    </w:p>
    <w:p w:rsidR="002014CA" w:rsidRPr="00E10347" w:rsidRDefault="002014CA" w:rsidP="00E10347">
      <w:pPr>
        <w:shd w:val="clear" w:color="auto" w:fill="FFFFFF"/>
        <w:jc w:val="both"/>
        <w:textAlignment w:val="baseline"/>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ab/>
        <w:t>Frente al peligro revolucionario, con aires intelectuales en el Continente, las potencias absolutistas europeas le declararon la guerra a la Francia revolucionaria.</w:t>
      </w:r>
    </w:p>
    <w:p w:rsidR="002014CA" w:rsidRPr="00E10347" w:rsidRDefault="002014CA" w:rsidP="00E10347">
      <w:pPr>
        <w:shd w:val="clear" w:color="auto" w:fill="FFFFFF"/>
        <w:jc w:val="both"/>
        <w:textAlignment w:val="baseline"/>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ab/>
        <w:t xml:space="preserve">Dentro del descontento popular los </w:t>
      </w:r>
      <w:r w:rsidRPr="00E10347">
        <w:rPr>
          <w:rFonts w:ascii="Palatino Linotype" w:eastAsia="Times New Roman" w:hAnsi="Palatino Linotype" w:cs="Times New Roman"/>
          <w:b/>
          <w:sz w:val="21"/>
          <w:szCs w:val="21"/>
          <w:lang w:eastAsia="es-CR"/>
        </w:rPr>
        <w:t>Jacobinos</w:t>
      </w:r>
      <w:r w:rsidRPr="00E10347">
        <w:rPr>
          <w:rFonts w:ascii="Palatino Linotype" w:eastAsia="Times New Roman" w:hAnsi="Palatino Linotype" w:cs="Times New Roman"/>
          <w:sz w:val="21"/>
          <w:szCs w:val="21"/>
          <w:lang w:eastAsia="es-CR"/>
        </w:rPr>
        <w:t xml:space="preserve"> radicales pudieron llegar al poder en 1973.  Su líder fue </w:t>
      </w:r>
      <w:r w:rsidRPr="00E10347">
        <w:rPr>
          <w:rFonts w:ascii="Palatino Linotype" w:eastAsia="Times New Roman" w:hAnsi="Palatino Linotype" w:cs="Times New Roman"/>
          <w:b/>
          <w:sz w:val="21"/>
          <w:szCs w:val="21"/>
          <w:lang w:eastAsia="es-CR"/>
        </w:rPr>
        <w:t xml:space="preserve">Robespierre </w:t>
      </w:r>
      <w:r w:rsidRPr="00E10347">
        <w:rPr>
          <w:rFonts w:ascii="Palatino Linotype" w:eastAsia="Times New Roman" w:hAnsi="Palatino Linotype" w:cs="Times New Roman"/>
          <w:sz w:val="21"/>
          <w:szCs w:val="21"/>
          <w:lang w:eastAsia="es-CR"/>
        </w:rPr>
        <w:t>quien redactó otra Constitución más democrática, tomó medidas económicas más favorables para los pobres y guillotinó todo tipo de oposición.</w:t>
      </w:r>
    </w:p>
    <w:p w:rsidR="002014CA" w:rsidRPr="00E10347" w:rsidRDefault="002014CA" w:rsidP="00E10347">
      <w:pPr>
        <w:shd w:val="clear" w:color="auto" w:fill="FFFFFF"/>
        <w:jc w:val="both"/>
        <w:textAlignment w:val="baseline"/>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ab/>
        <w:t xml:space="preserve">Poco después la Convención también envió a la guillotina a </w:t>
      </w:r>
      <w:r w:rsidRPr="00E10347">
        <w:rPr>
          <w:rFonts w:ascii="Palatino Linotype" w:eastAsia="Times New Roman" w:hAnsi="Palatino Linotype" w:cs="Times New Roman"/>
          <w:b/>
          <w:sz w:val="21"/>
          <w:szCs w:val="21"/>
          <w:lang w:eastAsia="es-CR"/>
        </w:rPr>
        <w:t xml:space="preserve">Robespierre </w:t>
      </w:r>
      <w:r w:rsidRPr="00E10347">
        <w:rPr>
          <w:rFonts w:ascii="Palatino Linotype" w:eastAsia="Times New Roman" w:hAnsi="Palatino Linotype" w:cs="Times New Roman"/>
          <w:sz w:val="21"/>
          <w:szCs w:val="21"/>
          <w:lang w:eastAsia="es-CR"/>
        </w:rPr>
        <w:t>y sus partidarios.  El poder pasó a los Diputados de Centro redactores de la Constitución de 1795, más moderna pero con sufragio restringido.</w:t>
      </w:r>
    </w:p>
    <w:p w:rsidR="002014CA" w:rsidRPr="00E10347" w:rsidRDefault="002014CA" w:rsidP="00E10347">
      <w:pPr>
        <w:shd w:val="clear" w:color="auto" w:fill="FFFFFF"/>
        <w:jc w:val="both"/>
        <w:textAlignment w:val="baseline"/>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tab/>
        <w:t>La estabilidad llegó con Napoleón quien consolidó las conquistas revolucionarias en su etapa como Cónsul (1799-1804).  Evitó el regreso del absolutismo y al radicalismo.  Pacificó el país eliminando la oposición radical, facilitando el regreso de los Nobles exiliados y firmó un Acuerdo con el Papa.</w:t>
      </w:r>
    </w:p>
    <w:p w:rsidR="002014CA" w:rsidRPr="00E10347" w:rsidRDefault="002014CA" w:rsidP="00E10347">
      <w:pPr>
        <w:shd w:val="clear" w:color="auto" w:fill="FFFFFF"/>
        <w:jc w:val="both"/>
        <w:textAlignment w:val="baseline"/>
        <w:rPr>
          <w:rFonts w:ascii="Palatino Linotype" w:eastAsia="Times New Roman" w:hAnsi="Palatino Linotype" w:cs="Times New Roman"/>
          <w:sz w:val="21"/>
          <w:szCs w:val="21"/>
          <w:lang w:eastAsia="es-CR"/>
        </w:rPr>
      </w:pPr>
      <w:r w:rsidRPr="00E10347">
        <w:rPr>
          <w:rFonts w:ascii="Palatino Linotype" w:eastAsia="Times New Roman" w:hAnsi="Palatino Linotype" w:cs="Times New Roman"/>
          <w:sz w:val="21"/>
          <w:szCs w:val="21"/>
          <w:lang w:eastAsia="es-CR"/>
        </w:rPr>
        <w:lastRenderedPageBreak/>
        <w:tab/>
        <w:t xml:space="preserve">Sus reformas internas más sobresalientes fueron el </w:t>
      </w:r>
      <w:r w:rsidRPr="00E10347">
        <w:rPr>
          <w:rFonts w:ascii="Palatino Linotype" w:eastAsia="Times New Roman" w:hAnsi="Palatino Linotype" w:cs="Times New Roman"/>
          <w:b/>
          <w:sz w:val="21"/>
          <w:szCs w:val="21"/>
          <w:lang w:eastAsia="es-CR"/>
        </w:rPr>
        <w:t>Code Civil des francaises</w:t>
      </w:r>
      <w:r w:rsidRPr="00E10347">
        <w:rPr>
          <w:rFonts w:ascii="Palatino Linotype" w:eastAsia="Times New Roman" w:hAnsi="Palatino Linotype" w:cs="Times New Roman"/>
          <w:sz w:val="21"/>
          <w:szCs w:val="21"/>
          <w:lang w:eastAsia="es-CR"/>
        </w:rPr>
        <w:t xml:space="preserve">, de 1804, también conocido como </w:t>
      </w:r>
      <w:r w:rsidRPr="00E10347">
        <w:rPr>
          <w:rFonts w:ascii="Palatino Linotype" w:eastAsia="Times New Roman" w:hAnsi="Palatino Linotype" w:cs="Times New Roman"/>
          <w:b/>
          <w:sz w:val="21"/>
          <w:szCs w:val="21"/>
          <w:lang w:eastAsia="es-CR"/>
        </w:rPr>
        <w:t>Code Napoleon</w:t>
      </w:r>
      <w:r w:rsidRPr="00E10347">
        <w:rPr>
          <w:rFonts w:ascii="Palatino Linotype" w:eastAsia="Times New Roman" w:hAnsi="Palatino Linotype" w:cs="Times New Roman"/>
          <w:sz w:val="21"/>
          <w:szCs w:val="21"/>
          <w:lang w:eastAsia="es-CR"/>
        </w:rPr>
        <w:t xml:space="preserve">, luego el </w:t>
      </w:r>
      <w:r w:rsidRPr="00E10347">
        <w:rPr>
          <w:rFonts w:ascii="Palatino Linotype" w:eastAsia="Times New Roman" w:hAnsi="Palatino Linotype" w:cs="Times New Roman"/>
          <w:b/>
          <w:sz w:val="21"/>
          <w:szCs w:val="21"/>
          <w:lang w:eastAsia="es-CR"/>
        </w:rPr>
        <w:t>Code Commerciele</w:t>
      </w:r>
      <w:r w:rsidRPr="00E10347">
        <w:rPr>
          <w:rFonts w:ascii="Palatino Linotype" w:eastAsia="Times New Roman" w:hAnsi="Palatino Linotype" w:cs="Times New Roman"/>
          <w:sz w:val="21"/>
          <w:szCs w:val="21"/>
          <w:lang w:eastAsia="es-CR"/>
        </w:rPr>
        <w:t xml:space="preserve"> de 1806, en el plano jurídico, y por otro lado distintas  reformas como la consagración de la libertad económica, el fomento a la instrucción pública y la construcción de numerosos monumentos en Parías.  Como consecuencia logro su nombramiento como Cónsul Vitalicio en 1802, y dos años después fue nombrado Emperador en </w:t>
      </w:r>
      <w:r w:rsidRPr="00E10347">
        <w:rPr>
          <w:rFonts w:ascii="Palatino Linotype" w:eastAsia="Times New Roman" w:hAnsi="Palatino Linotype" w:cs="Times New Roman"/>
          <w:b/>
          <w:sz w:val="21"/>
          <w:szCs w:val="21"/>
          <w:lang w:eastAsia="es-CR"/>
        </w:rPr>
        <w:t>Notre Dame</w:t>
      </w:r>
      <w:r w:rsidRPr="00E10347">
        <w:rPr>
          <w:rFonts w:ascii="Palatino Linotype" w:eastAsia="Times New Roman" w:hAnsi="Palatino Linotype" w:cs="Times New Roman"/>
          <w:sz w:val="21"/>
          <w:szCs w:val="21"/>
          <w:lang w:eastAsia="es-CR"/>
        </w:rPr>
        <w:t>.</w:t>
      </w:r>
    </w:p>
    <w:p w:rsidR="002014CA" w:rsidRPr="00E10347" w:rsidRDefault="002014CA" w:rsidP="00E10347">
      <w:pPr>
        <w:pStyle w:val="Sinespaciado"/>
        <w:ind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La ideología revolucionaria trascendió las fronteras de Francia.  Pero los conflictos de carácter político en cada país, entre Monarquía y constitucionalismo, entre liberales y la Iglesia, entre quienes querían solo consagrar derechos individuales y otros con influencias sociales, no permitió la simple traducción del texto francés, porque en cada ordenamiento jurídico se pretendía también que el Código correspondiera a la historia y a la ideología imperante.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Dentro de todo este haz de dificultades surgió </w:t>
      </w:r>
      <w:r w:rsidRPr="00E10347">
        <w:rPr>
          <w:rFonts w:ascii="Palatino Linotype" w:hAnsi="Palatino Linotype" w:cs="Times New Roman"/>
          <w:b/>
          <w:sz w:val="21"/>
          <w:szCs w:val="21"/>
        </w:rPr>
        <w:t>el proceso de codificación civil</w:t>
      </w:r>
      <w:r w:rsidRPr="00E10347">
        <w:rPr>
          <w:rFonts w:ascii="Palatino Linotype" w:hAnsi="Palatino Linotype" w:cs="Times New Roman"/>
          <w:sz w:val="21"/>
          <w:szCs w:val="21"/>
        </w:rPr>
        <w:t>, quizá con mayores dificultades que la misma codificación constitucional, pues en muchos países pasaron hasta larguísimas décadas, después de 1804.</w:t>
      </w:r>
    </w:p>
    <w:p w:rsidR="002014CA" w:rsidRPr="00E10347" w:rsidRDefault="002014CA" w:rsidP="00E10347">
      <w:pPr>
        <w:pStyle w:val="Sinespaciado"/>
        <w:ind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El impacto ideológico de la Revolución en el plano jurídico se impulsó por medio de la Codificación.  Constituía </w:t>
      </w:r>
      <w:r w:rsidRPr="00E10347">
        <w:rPr>
          <w:rFonts w:ascii="Palatino Linotype" w:eastAsia="Calibri" w:hAnsi="Palatino Linotype" w:cs="Times New Roman"/>
          <w:sz w:val="21"/>
          <w:szCs w:val="21"/>
        </w:rPr>
        <w:t>la unificación, la derogatoria de todas las leyes antiguas, y la puesta al día, en el plano jurídico, con el resto de los países del mundo, de normas similares para todos los países.  Aplicando estructuras del Derecho romano sólidamente concebidas, más  la visión política de ese tiempo, más las particularidades de cada ordenamiento jurídico, con un uso más simple para los operadores del Derecho.</w:t>
      </w:r>
    </w:p>
    <w:p w:rsidR="002014CA" w:rsidRPr="00E10347" w:rsidRDefault="002014CA" w:rsidP="00E10347">
      <w:pPr>
        <w:shd w:val="clear" w:color="auto" w:fill="FFFFFF"/>
        <w:ind w:right="-93" w:firstLine="720"/>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La bandera de la codificación civil fue la de la libertad, igual como ondeó la  bandera de la codificación constitucional, pasó de ser una aspiración a formar parte de una verdadera realidad, bajo el modelo francés, de una experiencia con una técnica refinada, correspondiente a los ideales filosóficos e ideológicos de la época.</w:t>
      </w:r>
    </w:p>
    <w:p w:rsidR="002014CA" w:rsidRPr="00E10347" w:rsidRDefault="002014CA" w:rsidP="00E10347">
      <w:pPr>
        <w:shd w:val="clear" w:color="auto" w:fill="FFFFFF"/>
        <w:ind w:right="-93" w:firstLine="720"/>
        <w:jc w:val="both"/>
        <w:rPr>
          <w:rFonts w:ascii="Palatino Linotype" w:eastAsia="Calibri" w:hAnsi="Palatino Linotype" w:cs="Times New Roman"/>
          <w:sz w:val="21"/>
          <w:szCs w:val="21"/>
          <w:lang w:val="es-ES_tradnl"/>
        </w:rPr>
      </w:pPr>
      <w:r w:rsidRPr="00E10347">
        <w:rPr>
          <w:rFonts w:ascii="Palatino Linotype" w:eastAsia="Calibri" w:hAnsi="Palatino Linotype" w:cs="Times New Roman"/>
          <w:sz w:val="21"/>
          <w:szCs w:val="21"/>
          <w:lang w:val="es-ES_tradnl"/>
        </w:rPr>
        <w:t xml:space="preserve">Para esa época la disciplina centraba absolutamente todos sus postulados en la autonomía reconocida al individúo.  Autonomía en un triple significado. Autonomía de libertad para la explicación de los valores individuales de la persona, autonomía de poder como señoría sobre los bienes en los cuales podía ejercer el dominio o cualquiera otro de los derechos reales, y autonomía o potestad de auto determinarse para reglamentar sus propios intereses.  Operan criterios de individualización muy claros, uno subjetivo encargado de ubicar en el centro al individuo incluso en forma pluri subjetiva respecto de la familia y la Sociedad, y otro </w:t>
      </w:r>
      <w:r w:rsidRPr="00E10347">
        <w:rPr>
          <w:rFonts w:ascii="Palatino Linotype" w:eastAsia="Calibri" w:hAnsi="Palatino Linotype" w:cs="Times New Roman"/>
          <w:sz w:val="21"/>
          <w:szCs w:val="21"/>
          <w:lang w:val="es-ES_tradnl"/>
        </w:rPr>
        <w:lastRenderedPageBreak/>
        <w:t>objetivo, referido a la calificación de las relaciones del individuo con el mundo exterior: en relación con los bienes o las relaciones intersubjetivas.  Los efectos de goce ubican, por un lado en el centro el derecho subjetivo como máxima expresión de la tutela de los intereses individuales y, el otro, el acto de autonomía consagrado en las formas jurídicas del contrato y el testamento.</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lang w:val="es-ES_tradnl"/>
        </w:rPr>
        <w:tab/>
      </w:r>
      <w:r w:rsidRPr="00E10347">
        <w:rPr>
          <w:rFonts w:ascii="Palatino Linotype" w:hAnsi="Palatino Linotype" w:cs="Times New Roman"/>
          <w:sz w:val="21"/>
          <w:szCs w:val="21"/>
        </w:rPr>
        <w:t xml:space="preserve">Los Códigos civiles aprobados en el Siglo XIX eran considerados por la doctrina civilista como el conjunto de normas abstractas, flexibles, orgánicas, autosuficientes, capaces de resolver todas las situaciones de los privados, era el derecho común al cual las demás ramas jurídicas recurrían en forma subsidiaria, en fin la </w:t>
      </w:r>
      <w:r w:rsidRPr="00E10347">
        <w:rPr>
          <w:rFonts w:ascii="Palatino Linotype" w:hAnsi="Palatino Linotype" w:cs="Times New Roman"/>
          <w:b/>
          <w:i/>
          <w:sz w:val="21"/>
          <w:szCs w:val="21"/>
        </w:rPr>
        <w:t>lex generalis</w:t>
      </w:r>
      <w:r w:rsidRPr="00E10347">
        <w:rPr>
          <w:rFonts w:ascii="Palatino Linotype" w:hAnsi="Palatino Linotype" w:cs="Times New Roman"/>
          <w:sz w:val="21"/>
          <w:szCs w:val="21"/>
        </w:rPr>
        <w:t>.</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El paso del sistema de la prueba  tasada al de la libre valoración en la ideología revolucionaria corresponde en el plano procesal a la evolución de superar la escritura para avanzar hacia el más igualitario y humano de la oralidad.</w:t>
      </w:r>
      <w:r w:rsidRPr="00E10347">
        <w:rPr>
          <w:rFonts w:ascii="Palatino Linotype" w:hAnsi="Palatino Linotype" w:cs="Times New Roman"/>
          <w:sz w:val="21"/>
          <w:szCs w:val="21"/>
        </w:rPr>
        <w:tab/>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Clarificado todo este profundo proceso del paradigma ideológico con la prueba en la Revolución Francesa, cuando se  insertan originales e  interesantes modificaciones e incorpora el método inductivo  experimental, orientado a sostener el principio de la libre valoración o del libre convencimiento judicial, la oralidad requirió de varios siglos para lograr un mayor perfeccionamiento  </w:t>
      </w:r>
    </w:p>
    <w:p w:rsidR="00B600D3" w:rsidRDefault="00B600D3" w:rsidP="00E10347">
      <w:pPr>
        <w:pStyle w:val="Sinespaciado"/>
        <w:jc w:val="both"/>
        <w:rPr>
          <w:rFonts w:ascii="Palatino Linotype" w:hAnsi="Palatino Linotype" w:cs="Times New Roman"/>
          <w:b/>
          <w:sz w:val="21"/>
          <w:szCs w:val="21"/>
        </w:rPr>
      </w:pPr>
    </w:p>
    <w:p w:rsidR="002014CA" w:rsidRPr="00E10347" w:rsidRDefault="002014CA" w:rsidP="00E10347">
      <w:pPr>
        <w:pStyle w:val="Sinespaciado"/>
        <w:jc w:val="both"/>
        <w:rPr>
          <w:rFonts w:ascii="Palatino Linotype" w:hAnsi="Palatino Linotype" w:cs="Times New Roman"/>
          <w:b/>
          <w:sz w:val="21"/>
          <w:szCs w:val="21"/>
        </w:rPr>
      </w:pPr>
      <w:r w:rsidRPr="00E10347">
        <w:rPr>
          <w:rFonts w:ascii="Palatino Linotype" w:hAnsi="Palatino Linotype" w:cs="Times New Roman"/>
          <w:b/>
          <w:sz w:val="21"/>
          <w:szCs w:val="21"/>
        </w:rPr>
        <w:t xml:space="preserve">4. </w:t>
      </w:r>
      <w:r w:rsidRPr="00E10347">
        <w:rPr>
          <w:rFonts w:ascii="Palatino Linotype" w:hAnsi="Palatino Linotype" w:cs="Times New Roman"/>
          <w:b/>
          <w:sz w:val="21"/>
          <w:szCs w:val="21"/>
        </w:rPr>
        <w:tab/>
        <w:t xml:space="preserve">LOS MÁS IMPORTANTES PARADIGMAS DE LA IDEOLOGÍA  DE LA ORALIDAD:    A)   LA ORALIDAD TÉCNICA EN ALEMANIA.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El auténtico movimiento de la idea  símbolo de oralidad pertenece al Siglo XIX y XX. Durante todo este período viene afirmándose en el </w:t>
      </w:r>
      <w:r w:rsidRPr="00E10347">
        <w:rPr>
          <w:rFonts w:ascii="Palatino Linotype" w:hAnsi="Palatino Linotype" w:cs="Times New Roman"/>
          <w:b/>
          <w:i/>
          <w:sz w:val="21"/>
          <w:szCs w:val="21"/>
        </w:rPr>
        <w:t>civil law</w:t>
      </w:r>
      <w:r w:rsidRPr="00E10347">
        <w:rPr>
          <w:rFonts w:ascii="Palatino Linotype" w:hAnsi="Palatino Linotype" w:cs="Times New Roman"/>
          <w:sz w:val="21"/>
          <w:szCs w:val="21"/>
        </w:rPr>
        <w:t xml:space="preserve"> y en el </w:t>
      </w:r>
      <w:r w:rsidRPr="00E10347">
        <w:rPr>
          <w:rFonts w:ascii="Palatino Linotype" w:hAnsi="Palatino Linotype" w:cs="Times New Roman"/>
          <w:b/>
          <w:i/>
          <w:sz w:val="21"/>
          <w:szCs w:val="21"/>
        </w:rPr>
        <w:t>common law</w:t>
      </w:r>
      <w:r w:rsidRPr="00E10347">
        <w:rPr>
          <w:rFonts w:ascii="Palatino Linotype" w:hAnsi="Palatino Linotype" w:cs="Times New Roman"/>
          <w:b/>
          <w:sz w:val="21"/>
          <w:szCs w:val="21"/>
        </w:rPr>
        <w:t xml:space="preserve">, </w:t>
      </w:r>
      <w:r w:rsidRPr="00E10347">
        <w:rPr>
          <w:rFonts w:ascii="Palatino Linotype" w:hAnsi="Palatino Linotype" w:cs="Times New Roman"/>
          <w:sz w:val="21"/>
          <w:szCs w:val="21"/>
        </w:rPr>
        <w:t xml:space="preserve"> en casi todos sus ordenamientos jurídicos.</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Es consecuencia de la revolución Francesa y su impacto en el la codificaciones constitucional, civil, e incluso procesal. Y a partir de ella era necesario otro período de madurez y profundidad para ampliar esos postulados humanistas al entero sistema procesal.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A)  Fue en Alemania donde primero se concibió, después de los vestigios del Derecho Romano con el pretor peregrino y otros sistemas de oralidad, donde se consagra ya técnicamente el Principio de la oralidad, con todos los otros que le resultan consustanciales.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Habían varios ordenes de motivaciones. Primeramente había un  cierto derecho procesal civil individual o estadual en algunas regiones con rasgos orales porque la Edad Media no había logrado exterminar en su totalidad el sistema, y en </w:t>
      </w:r>
      <w:r w:rsidRPr="00E10347">
        <w:rPr>
          <w:rFonts w:ascii="Palatino Linotype" w:hAnsi="Palatino Linotype" w:cs="Times New Roman"/>
          <w:sz w:val="21"/>
          <w:szCs w:val="21"/>
        </w:rPr>
        <w:lastRenderedPageBreak/>
        <w:t>forma casi espontánea se promulgaron diversos tipos de leyes  atendiendo a esta tradición. En segundo lugar, desde luego, era una recuperación histórica de la experiencia vivida por los germanos en el campo procesal oral destruida por el oscurantismo del Medioevo, cuya definición por documentar la realidad en los expedientes judiciales secretos excluía completamente todo lo oral. Y naturalmente, también, contribuía a esta necesidad de oralidad el espíritu libertario y de profundo humanismo social surgido en Europa para paliar las diferencias sociales a través de un sistema jurídico mejor concebido para los tiempos modernos, y en tal sentido fue preocupación del Imperio tener un derecho común basado en la oralidad.</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Fue así como se promulgó en Alemania la </w:t>
      </w:r>
      <w:r w:rsidRPr="00E10347">
        <w:rPr>
          <w:rFonts w:ascii="Palatino Linotype" w:hAnsi="Palatino Linotype" w:cs="Times New Roman"/>
          <w:b/>
          <w:sz w:val="21"/>
          <w:szCs w:val="21"/>
        </w:rPr>
        <w:t xml:space="preserve">Zivilprozessordnug, </w:t>
      </w:r>
      <w:r w:rsidRPr="00E10347">
        <w:rPr>
          <w:rFonts w:ascii="Palatino Linotype" w:hAnsi="Palatino Linotype" w:cs="Times New Roman"/>
          <w:sz w:val="21"/>
          <w:szCs w:val="21"/>
        </w:rPr>
        <w:t>ZPO, alemana el 30 de enero de 1877, con vigencia a partir del 1° de octubre de 1789. Espiritualmente la ordenanza civil, con nuevo contenido, era el producto de más de 1.000 años de historia. Fue un intento por unificar la abigarrada y diversa justicia alemana en un solo cuerpo normativo. Unificar también la justicia de los territorios para impedir la aplicación de un cierto derecho particular, es decir aplicó a las regiones prusianas, francesas y germanas un único sistema. Y respecto del abigarrado derecho común se le sepultó para concebir un nuevo proceso absolutamente simplificado como patrimonio del Imperio.</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El nuevo derecho alemán valoró muchísimo las ventajas y desventajas del antiguo derecho común.  Privilegió la idea de una naturaleza privatística en la causa litigiosa, para darle señoría a las partes en la definición de la etapa de iniciación contenido y continuación del proceso, esto es en el principio de iniciación o de tramitación. Condenó la exclusión del arbitrio judicial en la teoría formal de la prueba. Criticó fuertemente y se separó de la conexión y ordenamiento de la materia en una severa articulación del conjunto de etapas divididas, preclusivas, regidas por el principio de la eventualidad, separando las pruebas y la interlocución probatoria. Condenó el procedimentalismo excesivo y el formalismo desmedido porque el proceso se convirtió en víctima, destruyendo la naturalidad, la simplicidad, la inteligibilidad y la imprescindible prontitud en la administración de justicia.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Por esta razón rompió con la escritura. Porque excluía el trato directo del tribunal con las partes, impedía la inmediata percepción del material litigioso y probatorio pues le había quitado al juez la posibilidad de adentrarse en la real voluntad de las partes, y el verdadero contenido del material de la prueba.</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También rechazó absoluta y radicalmente el sistema de la prueba legal. Porque nutrida por la escritura gobernaba enteramente la apreciación de la prueba, </w:t>
      </w:r>
      <w:r w:rsidRPr="00E10347">
        <w:rPr>
          <w:rFonts w:ascii="Palatino Linotype" w:hAnsi="Palatino Linotype" w:cs="Times New Roman"/>
          <w:sz w:val="21"/>
          <w:szCs w:val="21"/>
        </w:rPr>
        <w:lastRenderedPageBreak/>
        <w:t xml:space="preserve">impedía obedecer la propia convicción del juzgador. Y como el sistema de la prueba tasada constituía un principio mecánico, rigoroso, e indispensable para el buen orden del proceso escrito también imponía el consecutivo orden en el tratamiento eventual de los actos de ataque y defensa.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Antes de la ordenanza procesal civil de 1879 existió una gran desconfianza e inconciliable animadversión del pueblo alemán con la justicia. Fue necesario por ello cambiarla radicalmente a pesar de la férrea oposición impulsada por la doctrina procesalista del derecho común encarga de oponerse a todo intento profundo de reforma.  Porque eran defensores de reformas parciales cuyo resultado tan solo había constituido en adulterar o experimentar ese sistema. Y la oposición fue mantenida aún cuando en el proceso penal a existía la oralidad.</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Por esta razón los pilares de la ordenanza alemana podrían simplificarse en muy pocas palabras: a) respeto del principio dispositivo para permitir a las partes determinar el contenido de la discusión judicial, a través de la formalización de la etapa de la demanda en actos escritos y documentados, para corresponder al final del proceso con una sentencia también escrita y en forma de documento, b) establecimiento  la oralidad procesal para permitir un contacto directo del juez con las partes y especialmente con las pruebas, en un ambiente de publicidad, para permitirle al juzgador un contacto más directo con la realidad, c) eliminación de todo tipo de formalismos procesales, recursos, articulación, y discusiones innecesarias, para permitir la simplicidad y la celeridad, d) establecimiento del sistema de la libre valoración probatoria, sin sujeción estricta valores predeterminados en la ley sobre cada una de las pruebas, para permitirle al juez señalar la realidad de los hechos investigados y no la de una realidad ajustada a criterios probatorios predeterminados para el servicio de la ordenación procesal escrita.</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Estos lineamientos tan simples irían a iniciar una constante de un proceso casi universal adoptado por la mayoría de los ordenamientos jurídicos del mundo moderno.</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Incluso estos principios fundamentales se mantienen incólumes para las diferentes ramas del derecho porque las jurisdicción especializadas siguen los mismos criterios de la ordenanza procesal civil manteniendo algunas de sus propias particularidades. Un claro ejemplo de esto lo constituye la ordenanza de los tribunales administrativos alemanes del 21 de enero de 1960. Porque en derecho administrativo se mantiene la oralidad y todos estos principios con algunas </w:t>
      </w:r>
      <w:r w:rsidRPr="00E10347">
        <w:rPr>
          <w:rFonts w:ascii="Palatino Linotype" w:hAnsi="Palatino Linotype" w:cs="Times New Roman"/>
          <w:sz w:val="21"/>
          <w:szCs w:val="21"/>
        </w:rPr>
        <w:lastRenderedPageBreak/>
        <w:t>particularidades propias de esta disciplina. como es el caso de contar dentro del tribula con jueces no juristas.</w:t>
      </w:r>
    </w:p>
    <w:p w:rsidR="00B600D3" w:rsidRDefault="00B600D3" w:rsidP="00E10347">
      <w:pPr>
        <w:pStyle w:val="Sinespaciado"/>
        <w:jc w:val="both"/>
        <w:rPr>
          <w:rFonts w:ascii="Palatino Linotype" w:hAnsi="Palatino Linotype" w:cs="Times New Roman"/>
          <w:b/>
          <w:sz w:val="21"/>
          <w:szCs w:val="21"/>
        </w:rPr>
      </w:pPr>
    </w:p>
    <w:p w:rsidR="002014CA" w:rsidRPr="00E10347" w:rsidRDefault="002014CA" w:rsidP="00E10347">
      <w:pPr>
        <w:pStyle w:val="Sinespaciado"/>
        <w:jc w:val="both"/>
        <w:rPr>
          <w:rFonts w:ascii="Palatino Linotype" w:hAnsi="Palatino Linotype" w:cs="Times New Roman"/>
          <w:b/>
          <w:sz w:val="21"/>
          <w:szCs w:val="21"/>
        </w:rPr>
      </w:pPr>
      <w:r w:rsidRPr="00E10347">
        <w:rPr>
          <w:rFonts w:ascii="Palatino Linotype" w:hAnsi="Palatino Linotype" w:cs="Times New Roman"/>
          <w:b/>
          <w:sz w:val="21"/>
          <w:szCs w:val="21"/>
        </w:rPr>
        <w:t xml:space="preserve">5.   B)  LA ORALIDAD   SOCIAL EN AUSTRIA. SEGUIMIENTO EN OTROS ORDENAMIENTOS.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El segundo gran pilar para la construcción de este inmenso movimiento de la oralidad en el sistema procesal, con características más humanas, se encuentra constituido por la </w:t>
      </w:r>
      <w:r w:rsidRPr="00E10347">
        <w:rPr>
          <w:rFonts w:ascii="Palatino Linotype" w:hAnsi="Palatino Linotype" w:cs="Times New Roman"/>
          <w:b/>
          <w:sz w:val="21"/>
          <w:szCs w:val="21"/>
        </w:rPr>
        <w:t xml:space="preserve">Zivilprozessordung, </w:t>
      </w:r>
      <w:r w:rsidRPr="00E10347">
        <w:rPr>
          <w:rFonts w:ascii="Palatino Linotype" w:hAnsi="Palatino Linotype" w:cs="Times New Roman"/>
          <w:sz w:val="21"/>
          <w:szCs w:val="21"/>
        </w:rPr>
        <w:t xml:space="preserve">ZPO, austríaca del 1 de agosto de 1895.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Su característica saliente fue la de acentuar la función activa del juez dentro del proceso a través del ejercicio de importantes poderes. Esa función activa fue entendida para asegurar orden y rapidez del procedimiento y sobre todo para garantizar la finalidad social de la igualdad efectiva de las partes en el proceso. El instrumento llamado a darle contenido y vigencia a estas aspiraciones fue indiscutiblemente la oralidad. Porque solo a través de este principio se puede garantizar ese contacto directo e inmediato del juzgados con las partes y con el elemento probatorio. Y por medio de la oralidad también pueden las partes estar presentes en todos los actos junto con sus defensores quienes deben garantizar sus derechos constitucionales de defensa pero en modo alguno, en la concepción austriaca, pueden sustituirse a los designios o voluntad de las partes, como tampoco a la verdad.</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Mundialmente el modelo más seguido es el austríaco porque contiene una elevada filosofía derivada de los planteamientos de su sabio creador Franz Klein. Este científico, junto con otros austriacos como Hans Kelsen creador de la primera Corte Constitucional del orbe, y otros pensadores de entonces crearon una época en la cultura jurídica universal.</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El procesalismo austriaco se encuentra nutrido por una profunda filosofía social. Una de sus vertientes de inspiración es la moralización del proceso. A tal efecto se impulsa un compromiso con la obtención de la verdad dentro del proceso y también con la garantía de una igualdad real de las partes.</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Para la determinación de la verdad real se considera absolutamente indispensable dotar de suficientes poderes al juez para investigar en todo el material probatorio la exactitud de todo cuanto acontece o aconteció, y no solo  de cuanto las partes alegan o pretenden probar. Para el adecuado cumplimento de este fin la orientación austriaca se separa completamente del sistema  y de los criterios de la prueba tasada o tarifada.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ab/>
        <w:t xml:space="preserve">Instaura con extraordinaria perfección el sistema de la libre valoración o libre convicción judicial para darle real efectividad y vigencia al principio de la oralidad procesal.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Y para completar este cuadro se imponen a las partes obligaciones de transparencia, honradez y veracidad, porque el compromiso moral con la verdad no es solo un problema del juez o de la administración de justicia, sino de toda la sociedad, y en el caso específico de las partes y los abogados en tanto usuarios y beneficiarios del sistema de la administración de justicia. Por tal razón las obligaciones éticas impuestas a ellos son intrínsecos con una sociedad con aspiraciones de una sana moralidad.</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El aspecto procesal social también tiene su explicación filosófica. Por su medio se debe garantizar a las partes la efectiva, y no solo formal, igualdad dentro del proceso. Esto significa darle un tipo de protección al más pobre, más ignorante, en general al más débil, sobre el más rico o más preparado o docto. Este aspecto se vincula sobre todo con la  etapa de la interposición de la demanda. Porque si la parte menos astuta, menos preparada, o peor asesorada no ha interpuesto correctamente la demanda, o ha cometido erres en la contestación, el juez austríaco se encuentra facultado para prevenirle con el objeto de corregir los errores, omisiones, o imprecisiones. Y la misma misión deberá existir durante el desarrollo del proceso para reparar, modificar o corregir las eventuales indefensiones derivadas de sus ventajas sus desventajas sociales.</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Esta filosofía significó un extraordinario aporte a la ciencia del derecho procesal en cuanto le da un gran protagonismo al juez. No es concebible un juez pasivo o temeroso para resolver o cumplir sus funciones. El juez neutral en el proceso corresponde a un concepto atrasado e indiferente a la realidad. Porque la pasividad de los jueces constituye un obstáculo a la sana administración de justicia porque la mayor injusticia consiste en tratar igual a los desiguales.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El juez austriaco no puede ni debe sustituirse a las partes, pero debe asumir una actitud activa en la conducción del proceso, en la búsqueda de la verdad, en la recta valoración de las pruebas así como el dictado justo y jurídico de sus sentencias en forma sabia y documentada.</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Después de los Códigos de Alemania y Austria el modelo fue inmediatamente seguido en la primera mitad de este siglo por Hungría, en 1911, Noruega, 1915, Dinamarca, 1916, Yugoslavia, 129, Polonia, 1933, Suecia, 1942, y Suiza en 1947. En la segunda mitad del siglo su influencia abarcó toda Europa y los </w:t>
      </w:r>
      <w:r w:rsidRPr="00E10347">
        <w:rPr>
          <w:rFonts w:ascii="Palatino Linotype" w:hAnsi="Palatino Linotype" w:cs="Times New Roman"/>
          <w:sz w:val="21"/>
          <w:szCs w:val="21"/>
        </w:rPr>
        <w:lastRenderedPageBreak/>
        <w:t>países anglosajones, y por medio de éstos dos enormes polos, hoy prácticamente ya es patrimonio universal, con exclusión de España y muchos países latinoamericanos.</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Esta gran corriente codificadora, pero sobre todo esta profunda filosofía, es identificada por la doctrina procesal como el movimiento del nombre símbolo de oralidad.          </w:t>
      </w:r>
    </w:p>
    <w:p w:rsidR="00B600D3" w:rsidRDefault="00B600D3" w:rsidP="00E10347">
      <w:pPr>
        <w:pStyle w:val="Sinespaciado"/>
        <w:jc w:val="both"/>
        <w:rPr>
          <w:rFonts w:ascii="Palatino Linotype" w:hAnsi="Palatino Linotype" w:cs="Times New Roman"/>
          <w:b/>
          <w:sz w:val="21"/>
          <w:szCs w:val="21"/>
        </w:rPr>
      </w:pPr>
    </w:p>
    <w:p w:rsidR="002014CA" w:rsidRPr="00E10347" w:rsidRDefault="002014CA" w:rsidP="00E10347">
      <w:pPr>
        <w:pStyle w:val="Sinespaciado"/>
        <w:jc w:val="both"/>
        <w:rPr>
          <w:rFonts w:ascii="Palatino Linotype" w:hAnsi="Palatino Linotype" w:cs="Times New Roman"/>
          <w:b/>
          <w:sz w:val="21"/>
          <w:szCs w:val="21"/>
        </w:rPr>
      </w:pPr>
      <w:r w:rsidRPr="00E10347">
        <w:rPr>
          <w:rFonts w:ascii="Palatino Linotype" w:hAnsi="Palatino Linotype" w:cs="Times New Roman"/>
          <w:b/>
          <w:sz w:val="21"/>
          <w:szCs w:val="21"/>
        </w:rPr>
        <w:t xml:space="preserve">6.  DEL PENSAMIENTO APRIORÍSTICO Y DEDUCTIVO AL INDUCTIVO Y FENOMENOLÓGICO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Para cuando en Costa Rica se comenzó a hablar seriamente de la oralidad, a partir de 1988, muchos de los sistemas procesales eran escritos, principalmente los de América Latina inspirados en el Derecho Español,  el más atrasado de Europa pese a la reforma de la Ley de Enjuiciamiento Civil del 2000.  Se estancaron en el método de pensamiento apriorístico y deductivo propio de la prueba tasada.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Empero con la discusión sobre la oralidad, a partir  del Código Procesal Civil Modelo impulsado por el Instituto Iberoamericano de Derecho Procesal se pasa a un pensamiento inductivo y fenomenológico. </w:t>
      </w:r>
      <w:r w:rsidRPr="00E10347">
        <w:rPr>
          <w:rFonts w:ascii="Palatino Linotype" w:hAnsi="Palatino Linotype" w:cs="Times New Roman"/>
          <w:sz w:val="21"/>
          <w:szCs w:val="21"/>
        </w:rPr>
        <w:tab/>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El Código "tipo" sufrió un largo camino antes de surgir al mundo de la cultura. Fue redactado por los miembros uruguayos del Instituto Adolfo Gelsi Bidart y Enrique Vescovi. Tiene como inspiración el Proyecto de Código Procesal Civil uruguayo de 1945 redactado por Eduardo J. Couture cuyo ideal era conseguir un proceso basado en una oralidad por audiencias. Y en el plano de la experiencia procesal se funda en el proceso oral y por audiencias concebido en Austria, Puerto Rico y Estados Unidos.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A dichos procesalistas uruguayos el Instituto les encomendó, en 1967, elaborar un conjunto de bases cuya consideración ocurrió en 1970. Más tarde el modelo fue conocido y aprobado por las XI Jornadas del Instituto realizadas en Río de Janeiro en 1988. El documento aprobado sigue los principios de la oralidad, inmediatez, publicidad, concentración y abreviación.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El proceso se organiza teniendo una etapa de interposición de la demanda escrita. En ella se ubican también todas las eventualidades de contestación, contrademanda y réplica. Deben fijarse con precisión todos los puntos de las pretensiones, adelantando toda la prueba. La contestación debe referirse a todo lo planteado, interponer excepción y también ofrecer la prueba de descargo. E iguales reglas operan para la reconvención y la réplica.</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ab/>
        <w:t xml:space="preserve">Lo más importante es la oralidad por audiencias.  En ella deben cumplirse cuatro finalidades: a) intento de conciliación intraprocesal con la etapa de demanda instruida, b) saneamiento de todo el proceso con la resolución de las excepciones previas, c) fijación del objeto, y, d) fijación de la prueba admisible para evacuar en la audiencia complementaria.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Antes de 1988 se redactaron muchos proyectos, algunos inspirados en las bases discutidas por el Instituto y otros como reforma a sus cuerpos procesales desconociendo esa labor, ofreciendo una amplísima gama de Códigos. Entre ellos deben ubicarse el de Guatemala de 1964, el de la Nación Argentina de 1967, Colombia en 1970, Brasil de 1973, Cuba en 1974 y 1978, la Ley de reformas urgentes de España en 1984, Venezuela en 1985, el del Distrito de México en 1986, Panamá en el mismo año, Paraguay y Costa Rica en 1989. En todos ellos se siguieron los lineamientos de la escritura aún cuando se incorporaron importantes institutos del moderno derecho procesal.</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El modelo fue impulsado en Uruguay por sus autores, con la participación también del procesalista Luis Torello y fue aprobado como Código General del Proceso en 1988.</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El Código Modelo ha tenido mucha influencia en el continente. En Colombia se aprobó en 1991 un Decreto de descongestión judicial incorporando muchos institutos nuevos entre los cuales sobresalen los de la conciliación, producción de pruebas y casación. En Argentina las provincias de Salta, Tucumán, Santiago del Estero, Jujuy, La Rioja, Santa Cruz y La Pampa se inspiran en el Código "tipo". Igual sucedio en el 1992 con el Código peruano e incluso con el Código Civil de Portugal donde se había incorporado la oralidad desde hace mucho tiempo. En 1994 se dictan una serie de leyes en Brasil para introducir la tutela anticipada, y la audiencia preliminar. Y en 1996 en Italia se aprueba una ley de bases para introducir muchos de los aspectos contemplados en el Código Modelo.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Todo este movimiento inspirado en la oralidad parece dirigirse hacia la universalidad de modelos procesales estructurados sobre bases comunes y de gran avanzada en el plano doctrinario.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Para una mayor comprensión del pensamiento inductivo y fenomenológico se sigue el siguiente análisis. </w:t>
      </w:r>
    </w:p>
    <w:p w:rsidR="00B600D3" w:rsidRDefault="00B600D3" w:rsidP="00E10347">
      <w:pPr>
        <w:pStyle w:val="Sinespaciado"/>
        <w:jc w:val="both"/>
        <w:rPr>
          <w:rFonts w:ascii="Palatino Linotype" w:hAnsi="Palatino Linotype" w:cs="Times New Roman"/>
          <w:b/>
          <w:sz w:val="21"/>
          <w:szCs w:val="21"/>
        </w:rPr>
      </w:pPr>
    </w:p>
    <w:p w:rsidR="002014CA" w:rsidRPr="00E10347" w:rsidRDefault="002014CA" w:rsidP="00E10347">
      <w:pPr>
        <w:pStyle w:val="Sinespaciado"/>
        <w:jc w:val="both"/>
        <w:rPr>
          <w:rFonts w:ascii="Palatino Linotype" w:hAnsi="Palatino Linotype" w:cs="Times New Roman"/>
          <w:b/>
          <w:sz w:val="21"/>
          <w:szCs w:val="21"/>
        </w:rPr>
      </w:pPr>
      <w:r w:rsidRPr="00E10347">
        <w:rPr>
          <w:rFonts w:ascii="Palatino Linotype" w:hAnsi="Palatino Linotype" w:cs="Times New Roman"/>
          <w:b/>
          <w:sz w:val="21"/>
          <w:szCs w:val="21"/>
        </w:rPr>
        <w:lastRenderedPageBreak/>
        <w:t>7.  AVANCES EN LA IDEOLOGÍA EN EL DERECHO CONTEMPORÁNEO CON EL MÉTODO INDUCTIVO Y FENOMENOLÓGICO DE LA OBSERVACIÓN DIRECTA Y EL ANÁLISIS CRITICO DE LOS DATOS.</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En el mundo del Derecho Contemporáneo, consecuencia de los inmensos movimientos en avance ocurridos en las ideologías desde el Derecho Antigüo, pasando por todas las gigantescas  y trascendentales etapas históricas del Derecho, podría pensarse en una transformación ideológica radical.  Como si se tratare de otra Sociedad acumulativa de todas las anteriores hasta identificarse, quizá, con el continuo y  prolongado avance paralelo de los derechos humanos: desde los de la primera generación en cuanto liberales, individuales o clásicos de liberad, la segunda los económico, sociales y culturales, y los de tercera o de solidaridad entre pueblos, grupos y personas.</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Las mismas consideraciones establecidas para  la evolución del Derecho, podría afirmarse en el avance,  desarrollo, progreso y adelanto, del movimiento del cambio de la concepción sobre el Sistema Probatorio.</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En el mundo de hoy, para los sistemas del </w:t>
      </w:r>
      <w:r w:rsidRPr="00E10347">
        <w:rPr>
          <w:rFonts w:ascii="Palatino Linotype" w:hAnsi="Palatino Linotype" w:cs="Times New Roman"/>
          <w:b/>
          <w:sz w:val="21"/>
          <w:szCs w:val="21"/>
        </w:rPr>
        <w:t xml:space="preserve">civil law </w:t>
      </w:r>
      <w:r w:rsidRPr="00E10347">
        <w:rPr>
          <w:rFonts w:ascii="Palatino Linotype" w:hAnsi="Palatino Linotype" w:cs="Times New Roman"/>
          <w:sz w:val="21"/>
          <w:szCs w:val="21"/>
        </w:rPr>
        <w:t xml:space="preserve">y el </w:t>
      </w:r>
      <w:r w:rsidRPr="00E10347">
        <w:rPr>
          <w:rFonts w:ascii="Palatino Linotype" w:hAnsi="Palatino Linotype" w:cs="Times New Roman"/>
          <w:b/>
          <w:sz w:val="21"/>
          <w:szCs w:val="21"/>
        </w:rPr>
        <w:t xml:space="preserve">common law, </w:t>
      </w:r>
      <w:r w:rsidRPr="00E10347">
        <w:rPr>
          <w:rFonts w:ascii="Palatino Linotype" w:hAnsi="Palatino Linotype" w:cs="Times New Roman"/>
          <w:sz w:val="21"/>
          <w:szCs w:val="21"/>
        </w:rPr>
        <w:t xml:space="preserve">se promueve la reforma permanente para la modernización  de los sistemas procesales y probatorios a través de otros criterios para la valoración de las pruebas.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Principalmente se aboga por la observación directa y el análisis crítico de los datos. Esto significa recurrir a un método inductivo y fenomenológico. Entran en juego los conocimientos del juzgador en uso de una especie de psicología experimental. Según este método contemporáneo las pruebas se pesan, en cuanto los datos surgidos en el contradictorio de pruebas ofrecen distintas facetas y opciones, y no se cuentan como antes. Se pesan por su concreto valor individual y no sobre prejuicios abstractos o de criterios mecánicos preestablecidos. Lo importante no es la cantidad de pruebas sino la fe sincera sobre la luz de la verdad.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En la ideología del Medioevo las pruebas se contaban  (según cantidad), mientras con la ideología actual las probanzas se pesan (según la calidad)!!</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En la ideología del Medioevo las pruebas el Juez definía el cuadro fáctico, a través de hechos probados y no probados, por medio del </w:t>
      </w:r>
      <w:r w:rsidRPr="00E10347">
        <w:rPr>
          <w:rFonts w:ascii="Palatino Linotype" w:hAnsi="Palatino Linotype" w:cs="Times New Roman"/>
          <w:b/>
          <w:sz w:val="21"/>
          <w:szCs w:val="21"/>
        </w:rPr>
        <w:t xml:space="preserve">conteo de las pruebas </w:t>
      </w:r>
      <w:r w:rsidRPr="00E10347">
        <w:rPr>
          <w:rFonts w:ascii="Palatino Linotype" w:hAnsi="Palatino Linotype" w:cs="Times New Roman"/>
          <w:sz w:val="21"/>
          <w:szCs w:val="21"/>
        </w:rPr>
        <w:t xml:space="preserve">es decir </w:t>
      </w:r>
      <w:r w:rsidRPr="00E10347">
        <w:rPr>
          <w:rFonts w:ascii="Palatino Linotype" w:hAnsi="Palatino Linotype" w:cs="Times New Roman"/>
          <w:b/>
          <w:sz w:val="21"/>
          <w:szCs w:val="21"/>
        </w:rPr>
        <w:t>imperaba la cantidad</w:t>
      </w:r>
      <w:r w:rsidRPr="00E10347">
        <w:rPr>
          <w:rFonts w:ascii="Palatino Linotype" w:hAnsi="Palatino Linotype" w:cs="Times New Roman"/>
          <w:sz w:val="21"/>
          <w:szCs w:val="21"/>
        </w:rPr>
        <w:t xml:space="preserve"> de las probanzas. Existían tablas para proceder el peso de la suma de pruebas plevas con las restantes.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En la más avanzada ideología del Derecho Contemporáneo  </w:t>
      </w:r>
      <w:r w:rsidRPr="00E10347">
        <w:rPr>
          <w:rFonts w:ascii="Palatino Linotype" w:hAnsi="Palatino Linotype" w:cs="Times New Roman"/>
          <w:b/>
          <w:sz w:val="21"/>
          <w:szCs w:val="21"/>
        </w:rPr>
        <w:t>las pruebas  se pesan</w:t>
      </w:r>
      <w:r w:rsidRPr="00E10347">
        <w:rPr>
          <w:rFonts w:ascii="Palatino Linotype" w:hAnsi="Palatino Linotype" w:cs="Times New Roman"/>
          <w:sz w:val="21"/>
          <w:szCs w:val="21"/>
        </w:rPr>
        <w:t xml:space="preserve">, según </w:t>
      </w:r>
      <w:r w:rsidRPr="00E10347">
        <w:rPr>
          <w:rFonts w:ascii="Palatino Linotype" w:hAnsi="Palatino Linotype" w:cs="Times New Roman"/>
          <w:b/>
          <w:sz w:val="21"/>
          <w:szCs w:val="21"/>
        </w:rPr>
        <w:t>criterios de calidad</w:t>
      </w:r>
      <w:r w:rsidRPr="00E10347">
        <w:rPr>
          <w:rFonts w:ascii="Palatino Linotype" w:hAnsi="Palatino Linotype" w:cs="Times New Roman"/>
          <w:sz w:val="21"/>
          <w:szCs w:val="21"/>
        </w:rPr>
        <w:t xml:space="preserve">.  de los medios probatorios. La cantidad de pruebas no interesa.  Por ejemplo  un testigo calificado en la valoración de la prueba </w:t>
      </w:r>
      <w:r w:rsidRPr="00E10347">
        <w:rPr>
          <w:rFonts w:ascii="Palatino Linotype" w:hAnsi="Palatino Linotype" w:cs="Times New Roman"/>
          <w:sz w:val="21"/>
          <w:szCs w:val="21"/>
        </w:rPr>
        <w:lastRenderedPageBreak/>
        <w:t>puede prevalecer sobre muchos otros no calificados, incluso contra documentos y la confesional misma.</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Por esta razón se han abandonado los criterios de la plena prueba derivada de la confesional, incluso de la confesión ficta, así como la forma del interrogatorio en la prueba testimonial sujeta a un cuestionario determinado, y previamente calificado por el Tribunal.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El caso más sobresaliente se encuentra representado por el Código de Procedimiento Civil de la Ciudad del Vaticano, de 1946, porque superó los criterios medievales, arcaicos, superados, e introduce la oralidad con todas las características consustanciales.  La mención a este Código es importante porque significa canónicamente la superación de los antiguos criterios. Precisamente rebasados por el Derecho canónico encargado de asentar los nuevos  principio de la oralidad, de influencia decisiva incluso en los tribunales de la </w:t>
      </w:r>
      <w:r w:rsidRPr="00E10347">
        <w:rPr>
          <w:rFonts w:ascii="Palatino Linotype" w:hAnsi="Palatino Linotype" w:cs="Times New Roman"/>
          <w:b/>
          <w:i/>
          <w:sz w:val="21"/>
          <w:szCs w:val="21"/>
        </w:rPr>
        <w:t>equity jurisdiction</w:t>
      </w:r>
      <w:r w:rsidRPr="00E10347">
        <w:rPr>
          <w:rFonts w:ascii="Palatino Linotype" w:hAnsi="Palatino Linotype" w:cs="Times New Roman"/>
          <w:b/>
          <w:sz w:val="21"/>
          <w:szCs w:val="21"/>
        </w:rPr>
        <w:t xml:space="preserve"> </w:t>
      </w:r>
      <w:r w:rsidRPr="00E10347">
        <w:rPr>
          <w:rFonts w:ascii="Palatino Linotype" w:hAnsi="Palatino Linotype" w:cs="Times New Roman"/>
          <w:sz w:val="21"/>
          <w:szCs w:val="21"/>
        </w:rPr>
        <w:t xml:space="preserve"> del proceso anglosajón.  El criterio seguido ahora por la Ciudad del Vaticano ya había sido instaurado en Austria, Suiza, Alemania, Japón, y en general en la cultura anglosajona, y debe estar a la base de cualquier nuevo sistema procesal contemporáneo.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La oralidad procesal derivada de la ideología del Derecho Contemporáneo  debe tener un sistema de pruebas susceptible de permitir la declaración de la verdad real.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No puede tener criterios preestablecidos en cuanto al valor de las pruebas. Porque precisamente en la inmediatez del juzgador con las partes y principalmente las pruebas debe llegar a encontrar la luz de la verdad. Debe estar facultado para interrogar a la parte, tanto de hechos de terceros como propios, estar en contacto con los testigos para formularle todas las preguntas necesaria, recibir de forma directa aclaraciones y de los peritos criterios para conocer más profundamente sus estudios, visitar los lugares mismos donde acaecieron los hechos y acercarse a las cosas relevantes para la resolución del conflicto sometido a su conocimiento.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La valoración libre de todo el elemento probatorio permitirá acercarse a la auténtica verdad. A la verdad real y no solo formal. Dentro de las particularidades propias de la oralidad también la declaración de todas las personas se convierte en el elemento de convicción más importante. Por eso la testimonial es la prueba estrella de la oralidad. Y es la declaración tanto de los testigos como de las partes y de los peritos.</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ab/>
        <w:t xml:space="preserve">Naturalmente los criterios de valoración no pueden ser antojadizos o arbitrarios. Por el contrario deben ser motivados y razonados. El juzgador deberá expresar tanto los criterios de legalidad como de equidad utilizados para arribar a sus conclusiones. La razonabilidad ilumina la libertad de valoración.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Por estas razones en la casación deben superarse los viejos criterios, propios del sistema escrito y de la prueba tasada, de la violación indirecta al ordenamiento jurídico. Esto es la existencia de errores de hecho o de derecho en la valoración de la prueba. Porque la infracción probatoria puede ser por falta de motivación o razonabilidad en la valoración. Pero no por infracción del valor preestablecido a las pruebas en la normativa procesal. </w:t>
      </w:r>
    </w:p>
    <w:p w:rsidR="00B600D3" w:rsidRDefault="00B600D3" w:rsidP="00E10347">
      <w:pPr>
        <w:pStyle w:val="Sinespaciado"/>
        <w:jc w:val="both"/>
        <w:rPr>
          <w:rFonts w:ascii="Palatino Linotype" w:hAnsi="Palatino Linotype" w:cs="Times New Roman"/>
          <w:b/>
          <w:sz w:val="21"/>
          <w:szCs w:val="21"/>
        </w:rPr>
      </w:pPr>
    </w:p>
    <w:p w:rsidR="002014CA" w:rsidRPr="00E10347" w:rsidRDefault="002014CA" w:rsidP="00E10347">
      <w:pPr>
        <w:pStyle w:val="Sinespaciado"/>
        <w:jc w:val="both"/>
        <w:rPr>
          <w:rFonts w:ascii="Palatino Linotype" w:hAnsi="Palatino Linotype" w:cs="Times New Roman"/>
          <w:b/>
          <w:sz w:val="21"/>
          <w:szCs w:val="21"/>
        </w:rPr>
      </w:pPr>
      <w:r w:rsidRPr="00E10347">
        <w:rPr>
          <w:rFonts w:ascii="Palatino Linotype" w:hAnsi="Palatino Linotype" w:cs="Times New Roman"/>
          <w:b/>
          <w:sz w:val="21"/>
          <w:szCs w:val="21"/>
        </w:rPr>
        <w:t xml:space="preserve">8.  LOS SISTEMAS DE EVACUACIÓN DE LAS PRUEBAS EN EL DERECHO PROCESAL CONTEMPORÁNO.  A)   EN LA AUDIENCIA PRELIMINAR UNO DE LOS ASPECTOS A DETERMINAR ES EL  DE LA ADMISIBILIDAD DE LA PRUEBA.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La ideología actual correspondiente al Derecho Contemporáneo de la oralidad procesal debe tener en el Sistema de Pruebas un sello indeleble.  Este puede corroborarse con el análisis de los poderes de los Jueces de la oralidad en las distintas audiencias de diferentes etapas procesales.</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En efecto, dentro de los poderes del Juez en la oralidad se subrayan los de la </w:t>
      </w:r>
      <w:r w:rsidRPr="00E10347">
        <w:rPr>
          <w:rFonts w:ascii="Palatino Linotype" w:hAnsi="Palatino Linotype" w:cs="Times New Roman"/>
          <w:b/>
          <w:sz w:val="21"/>
          <w:szCs w:val="21"/>
        </w:rPr>
        <w:t>admisibilidad</w:t>
      </w:r>
      <w:r w:rsidRPr="00E10347">
        <w:rPr>
          <w:rFonts w:ascii="Palatino Linotype" w:hAnsi="Palatino Linotype" w:cs="Times New Roman"/>
          <w:sz w:val="21"/>
          <w:szCs w:val="21"/>
        </w:rPr>
        <w:t xml:space="preserve"> y los de la </w:t>
      </w:r>
      <w:r w:rsidRPr="00E10347">
        <w:rPr>
          <w:rFonts w:ascii="Palatino Linotype" w:hAnsi="Palatino Linotype" w:cs="Times New Roman"/>
          <w:b/>
          <w:sz w:val="21"/>
          <w:szCs w:val="21"/>
        </w:rPr>
        <w:t xml:space="preserve">recepción, </w:t>
      </w:r>
      <w:r w:rsidRPr="00E10347">
        <w:rPr>
          <w:rFonts w:ascii="Palatino Linotype" w:hAnsi="Palatino Linotype" w:cs="Times New Roman"/>
          <w:sz w:val="21"/>
          <w:szCs w:val="21"/>
        </w:rPr>
        <w:t>en la Audiencia Preliminar y en la Complementaria o de la evacuación probatoria.</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 En la segunda, por lo general, existe una apertura mayor hacia el acogimiento de otras bajo el asentimiento del Tribunal, por la necesidad de introducirlas independientemente si fueren declaradas inadmisibles en un principio, o no ofrecidas con la demanda o contestación, para suplir más elementos probatorios a los sentenciadores y a su vez para garantizar el verdadero acceso a la justicia a través del derecho del debido proceso, en cuanto a la defensa y el contradictorio.</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Si no se admitieren pruebas en el Tribunal de juicio es muy probable que quienes han afirmado no puedan cumplir con la carga de la prueba, tema casi nunca ponderado por el Tramitador</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Para un tratamiento más adecuado de estos dos momentos se profundiza seguidamente en ellos en forma más específica.</w:t>
      </w:r>
    </w:p>
    <w:p w:rsidR="00B600D3" w:rsidRDefault="00B600D3" w:rsidP="00E10347">
      <w:pPr>
        <w:pStyle w:val="Sinespaciado"/>
        <w:jc w:val="both"/>
        <w:rPr>
          <w:rFonts w:ascii="Palatino Linotype" w:hAnsi="Palatino Linotype" w:cs="Times New Roman"/>
          <w:b/>
          <w:sz w:val="21"/>
          <w:szCs w:val="21"/>
        </w:rPr>
      </w:pPr>
    </w:p>
    <w:p w:rsidR="002014CA" w:rsidRPr="00E10347" w:rsidRDefault="002014CA" w:rsidP="00E10347">
      <w:pPr>
        <w:pStyle w:val="Sinespaciado"/>
        <w:jc w:val="both"/>
        <w:rPr>
          <w:rFonts w:ascii="Palatino Linotype" w:hAnsi="Palatino Linotype" w:cs="Times New Roman"/>
          <w:b/>
          <w:sz w:val="21"/>
          <w:szCs w:val="21"/>
        </w:rPr>
      </w:pPr>
      <w:r w:rsidRPr="00E10347">
        <w:rPr>
          <w:rFonts w:ascii="Palatino Linotype" w:hAnsi="Palatino Linotype" w:cs="Times New Roman"/>
          <w:b/>
          <w:sz w:val="21"/>
          <w:szCs w:val="21"/>
        </w:rPr>
        <w:lastRenderedPageBreak/>
        <w:t xml:space="preserve">A)   EN LA AUDIENCIA PRELIMINAR UNO DE LOS ASPECTOS A DETERMINAR ES EL  DE LA ADMISIBILIDAD DE LA PRUEBA.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Esta acción significa el saneamiento del proceso y dejarlo listo para ser enviarlo al Tribunal para el Colegio de la Audiencia Complementaria.  Porque el Juez Tramitador frente a la prueba ofrecida por las partes determina la admisible, rechaza la abundante, la inconducente, la innecesaria, la repetida, la inaceptable,  y sobre todo puede ordenar la recepción de otras distintas para ser evacuadas durante la etapa probatoria en la Audiencia Complementaria o de la recepción de pruebas.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Los jueces de juicio, en la práctica, se han referido en forma negativa a una admisibilidad muy amplia porque  (increíble:  les obligan a evacuar prueba abundante o inconducente!!)  y por ello prefieren una admisibilidad restringida por el Juez Tramitador, y si las partes consideran inadecuado el criterio pueden llevar las pruebas a la Audiencia donde el Tribunal decide si las admite como prueba para mejor proveer.</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Esto ha llegado a una contradicción muy grave,  negatoria de la ideología en la admisibilidad consistente en la deformación (en apariencia hacia la escritura)  al </w:t>
      </w:r>
      <w:r w:rsidRPr="00E10347">
        <w:rPr>
          <w:rFonts w:ascii="Palatino Linotype" w:hAnsi="Palatino Linotype" w:cs="Times New Roman"/>
          <w:b/>
          <w:sz w:val="21"/>
          <w:szCs w:val="21"/>
        </w:rPr>
        <w:t>admitir todos los documentos, prueba pericial e incluso declaración de la parte</w:t>
      </w:r>
      <w:r w:rsidRPr="00E10347">
        <w:rPr>
          <w:rFonts w:ascii="Palatino Linotype" w:hAnsi="Palatino Linotype" w:cs="Times New Roman"/>
          <w:sz w:val="21"/>
          <w:szCs w:val="21"/>
        </w:rPr>
        <w:t xml:space="preserve">, negando  en forma muy restrictiva la testimonial.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Seguir el criterio de la escritura en la admisibilidad de la prueba testimonial conduce, necesariamente, en esta forma es perder el rumbo del desarrollo de la oralidad cuyo fundamento probatorio se orienta hacia la preponderancia de la prueba testimonial sobre las demás, en especial sobre la documental.</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El mayor problema de quebrar la ideología conceptual de la oralidad consiste en la desviación de juzgar con base en documentos.  </w:t>
      </w:r>
      <w:r w:rsidRPr="00E10347">
        <w:rPr>
          <w:rFonts w:ascii="Palatino Linotype" w:hAnsi="Palatino Linotype" w:cs="Times New Roman"/>
          <w:sz w:val="21"/>
          <w:szCs w:val="21"/>
        </w:rPr>
        <w:tab/>
        <w:t>Si bien es cierto hay procesos de pleno derecho, no por ello en una admisibilidad estreñida de los casos donde se requiere de la prueba testimonial el proceso carece de sentido porque si el principio fundamental de la prueba es "quien afirma debe probar", los Tramitadores le están cercenando a los actores, principalmente, su obligación de suministrar suficientes pruebas para conformar un cuadro fáctico base del análisis jurídico y de la determinación si declara o no la demanda.</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En la experiencia cotidiana, una vez rechazada toda, o la mayoría de la prueba ofrecida en tiempo, debe dejarse constando porque contra esa disposición solo cabe revocatoria, no  apelación y menos casación en materia contencioso administrativa.  Esto es un aspecto grave porque ella si es causal en materia Procesal </w:t>
      </w:r>
      <w:r w:rsidRPr="00E10347">
        <w:rPr>
          <w:rFonts w:ascii="Palatino Linotype" w:hAnsi="Palatino Linotype" w:cs="Times New Roman"/>
          <w:sz w:val="21"/>
          <w:szCs w:val="21"/>
        </w:rPr>
        <w:lastRenderedPageBreak/>
        <w:t xml:space="preserve">Civil pues procede la casación por la forma cuando se ha denegado la admisión de pruebas ofrecidas debidamente,  que pudieren causar indefensión.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Con la revocatoria, como ocurre en todos los casos, es muy difícil tener éxito, pues resulta más fácil obtener éxito en un Recurso de Casación que en una revocatoria porque, aún dándole muchas y muy razonables razones, el Juez Tramitador, por razones psicológicas que deberían estudiarse,  no es capaz de darle la razón al recurrente, y su disposición se mantiene incólume, en un tema tan grave donde se juega el éxito o la pérdida del proceso.</w:t>
      </w:r>
    </w:p>
    <w:p w:rsidR="00B600D3" w:rsidRDefault="00B600D3" w:rsidP="00E10347">
      <w:pPr>
        <w:pStyle w:val="Sinespaciado"/>
        <w:jc w:val="both"/>
        <w:rPr>
          <w:rFonts w:ascii="Palatino Linotype" w:hAnsi="Palatino Linotype" w:cs="Times New Roman"/>
          <w:b/>
          <w:sz w:val="21"/>
          <w:szCs w:val="21"/>
        </w:rPr>
      </w:pPr>
    </w:p>
    <w:p w:rsidR="002014CA" w:rsidRPr="00E10347" w:rsidRDefault="002014CA" w:rsidP="00E10347">
      <w:pPr>
        <w:pStyle w:val="Sinespaciado"/>
        <w:jc w:val="both"/>
        <w:rPr>
          <w:rFonts w:ascii="Palatino Linotype" w:hAnsi="Palatino Linotype" w:cs="Times New Roman"/>
          <w:b/>
          <w:sz w:val="21"/>
          <w:szCs w:val="21"/>
        </w:rPr>
      </w:pPr>
      <w:r w:rsidRPr="00E10347">
        <w:rPr>
          <w:rFonts w:ascii="Palatino Linotype" w:hAnsi="Palatino Linotype" w:cs="Times New Roman"/>
          <w:b/>
          <w:sz w:val="21"/>
          <w:szCs w:val="21"/>
        </w:rPr>
        <w:t xml:space="preserve">9.  (sigue)   B)  RESPECTO DE LA RECEPCIÓN DE LA PRUEBA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Se han concebido dos sistemas totalmente diferentes, uno respeta el principio dispositivo y el otro se vincula con los amplios poderes de los jueces para la investigación de la verdad cuya labor no se limita a las pruebas ofrecidas por las partes sino que puede ir a la búsqueda de otros datos.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a)  El sistema inspirado en los principios de la carga de la prueba, dispositivo y libertad probatoria para la recepción de las pruebas.</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Este sistema, considerado por sus seguidores como más democrático, se funda en los principios de  la carga de la prueba, dispositivo y libertad probatoria.  Sigue el principio de </w:t>
      </w:r>
      <w:r w:rsidRPr="00E10347">
        <w:rPr>
          <w:rFonts w:ascii="Palatino Linotype" w:hAnsi="Palatino Linotype" w:cs="Times New Roman"/>
          <w:b/>
          <w:i/>
          <w:sz w:val="21"/>
          <w:szCs w:val="21"/>
        </w:rPr>
        <w:t xml:space="preserve">judex secundum allegata el probata partium decidere debet.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b)  El sistema inquisitivo de la recepción de la prueba</w:t>
      </w:r>
    </w:p>
    <w:p w:rsidR="002014CA" w:rsidRPr="00E10347" w:rsidRDefault="002014CA" w:rsidP="00E10347">
      <w:pPr>
        <w:pStyle w:val="Sinespaciado"/>
        <w:jc w:val="both"/>
        <w:rPr>
          <w:rFonts w:ascii="Palatino Linotype" w:hAnsi="Palatino Linotype" w:cs="Times New Roman"/>
          <w:b/>
          <w:sz w:val="21"/>
          <w:szCs w:val="21"/>
        </w:rPr>
      </w:pPr>
      <w:r w:rsidRPr="00E10347">
        <w:rPr>
          <w:rFonts w:ascii="Palatino Linotype" w:hAnsi="Palatino Linotype" w:cs="Times New Roman"/>
          <w:sz w:val="21"/>
          <w:szCs w:val="21"/>
        </w:rPr>
        <w:tab/>
        <w:t xml:space="preserve">Esto significa darle un sentido más profundo al aforismo romano para transformarlo en </w:t>
      </w:r>
      <w:r w:rsidRPr="00E10347">
        <w:rPr>
          <w:rFonts w:ascii="Palatino Linotype" w:hAnsi="Palatino Linotype" w:cs="Times New Roman"/>
          <w:b/>
          <w:i/>
          <w:sz w:val="21"/>
          <w:szCs w:val="21"/>
        </w:rPr>
        <w:t>Judex secundum allegata partium decidere debet</w:t>
      </w:r>
      <w:r w:rsidRPr="00E10347">
        <w:rPr>
          <w:rFonts w:ascii="Palatino Linotype" w:hAnsi="Palatino Linotype" w:cs="Times New Roman"/>
          <w:b/>
          <w:sz w:val="21"/>
          <w:szCs w:val="21"/>
        </w:rPr>
        <w:t>.</w:t>
      </w:r>
      <w:r w:rsidRPr="00E10347">
        <w:rPr>
          <w:rFonts w:ascii="Palatino Linotype" w:hAnsi="Palatino Linotype" w:cs="Times New Roman"/>
          <w:sz w:val="21"/>
          <w:szCs w:val="21"/>
        </w:rPr>
        <w:t xml:space="preserve"> </w:t>
      </w:r>
      <w:r w:rsidRPr="00E10347">
        <w:rPr>
          <w:rFonts w:ascii="Palatino Linotype" w:hAnsi="Palatino Linotype" w:cs="Times New Roman"/>
          <w:b/>
          <w:sz w:val="21"/>
          <w:szCs w:val="21"/>
        </w:rPr>
        <w:t xml:space="preserve">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b/>
          <w:sz w:val="21"/>
          <w:szCs w:val="21"/>
        </w:rPr>
        <w:tab/>
      </w:r>
      <w:r w:rsidRPr="00E10347">
        <w:rPr>
          <w:rFonts w:ascii="Palatino Linotype" w:hAnsi="Palatino Linotype" w:cs="Times New Roman"/>
          <w:sz w:val="21"/>
          <w:szCs w:val="21"/>
        </w:rPr>
        <w:t xml:space="preserve">Porque en la búsqueda de la el rol del juez adquiere nuevas facetas. El otro aspecto de esta potestad de administración de la prueba se refiere a la evacuación.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En la audiencia de pruebas el juez realiza su máximo rol dinámico y creativo porque ahí es donde debe tomar la prueba en sus manos con el objeto de investigar toda la verdad de los hechos sometidos a su conocimiento para resolver la contienda judicial. Interroga sobre el conocimiento general de los hechos, sobre particularidades, pide adiciones o aclaraciones, contrasta una prueba con la otra, la pide comparecer de nuevo si luego descubre su importancia o la omisión en aspectos claves, e incluso puede instruir la recepción de otra no acordada previamente para completar el marco probatorio si resulta fundamental.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La personalidad del juez se descubre en el escenario de la etapa probatoria porque el guión se deja a su libre albedrío, la ley no lo escribe, asumiendo diversas dinámicas según sus propias exigencias.</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ab/>
        <w:t xml:space="preserve">Contemporáneamente la crítica al principio inquisitivo ha sido hasta de carácter constitucional porque no puede exiastir un sistema procesal donde se obtiene la verdad a través de interrogatorios duros o muy fuertes, destruyendo la estrategia del caso elaborado por las partes.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Además en materia probatoria el Juez debe limitarse a la prueba ofrecida por las partes, la prueba suplementaria o para mejor proveer ofrecidas pr las partes al momento de la iniciación de la Audiencia Complementaria, o que puede ordenar el Tribunal por considerarla fundamental por haber surgido del contradictorio de la evacuación de las pruebas, posiblemente ofrecida por las partes y no admitidas en la Audiencia de saneamiento.</w:t>
      </w:r>
    </w:p>
    <w:p w:rsidR="00B600D3" w:rsidRDefault="00B600D3" w:rsidP="00E10347">
      <w:pPr>
        <w:jc w:val="both"/>
        <w:rPr>
          <w:rFonts w:ascii="Palatino Linotype" w:hAnsi="Palatino Linotype" w:cs="Times New Roman"/>
          <w:b/>
          <w:sz w:val="21"/>
          <w:szCs w:val="21"/>
        </w:rPr>
      </w:pPr>
    </w:p>
    <w:p w:rsidR="002014CA" w:rsidRPr="00E10347" w:rsidRDefault="002014CA"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 xml:space="preserve">10. LA VALORACIÓN DE LA PRUEBA.  A)  EL SISTEMA PROCESAL ALEMÁN Y LA LIBRE VALORACIÓN DE LAS PRUEBAS.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Coherentes en la creación del "Sistema de la Oralidad", conformado por un conjunto de institutos todos concordantes entre sí para su correcto y adecuado funcionamiento, porque no puede estar conformado por unos elementos de un sistema y otros de uno distinto, sino de los propios suyos, en Alemania se enuncia el principio de la libre valoración de la prueba, único válido y jamás el escrito por su concepción de prueba tasada y tarifaria.  Más tarde en Austria se introducen más elementos calificantes de la nueva valoración probatoria, bajo la premisa de que solo dando mayores poderes al Juez sería posible cumplir con el objetivo fundamental de intentar o lograr la obtención de la verdad real.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Naturalmente, entre un sistema y otro existe la diferencia de que  la ideología austriaca fue más autoritaria pues facultaba al Juez a ir a investigar los hechos para llegar a la verdad real mientras en Alemania se respeta más el principio dispositivo. </w:t>
      </w:r>
    </w:p>
    <w:p w:rsidR="00B600D3" w:rsidRDefault="00B600D3" w:rsidP="00E10347">
      <w:pPr>
        <w:jc w:val="both"/>
        <w:rPr>
          <w:rFonts w:ascii="Palatino Linotype" w:hAnsi="Palatino Linotype" w:cs="Times New Roman"/>
          <w:b/>
          <w:sz w:val="21"/>
          <w:szCs w:val="21"/>
        </w:rPr>
      </w:pPr>
    </w:p>
    <w:p w:rsidR="002014CA" w:rsidRPr="00E10347" w:rsidRDefault="002014CA"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A)  EL SISTEMA PROCESAL ALEMÁN Y LA LIBRE VALORACIÓN DE LAS PRUEBAS.</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La ideología del Derecho  alemán, valoró las ventajas y desventajas del antiguo derecho común  (como fue siempre la idea de sus Escuelas de construir un nuevo Derecho buscando sus raíces en el Romano).  </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Así concibió la oralidad por medio de la ya citada </w:t>
      </w:r>
      <w:r w:rsidRPr="00E10347">
        <w:rPr>
          <w:rFonts w:ascii="Palatino Linotype" w:hAnsi="Palatino Linotype" w:cs="Times New Roman"/>
          <w:b/>
          <w:sz w:val="21"/>
          <w:szCs w:val="21"/>
        </w:rPr>
        <w:t xml:space="preserve">Zivilprozessordnug, </w:t>
      </w:r>
      <w:r w:rsidRPr="00E10347">
        <w:rPr>
          <w:rFonts w:ascii="Palatino Linotype" w:hAnsi="Palatino Linotype" w:cs="Times New Roman"/>
          <w:sz w:val="21"/>
          <w:szCs w:val="21"/>
        </w:rPr>
        <w:t xml:space="preserve">ZPO, alemana el 30 de enero de 1877,a través de elegir y preferir el carácter privado de la causa litigiosa para otorgarle un verdadero valor de igualdad de las partes en el </w:t>
      </w:r>
      <w:r w:rsidRPr="00E10347">
        <w:rPr>
          <w:rFonts w:ascii="Palatino Linotype" w:hAnsi="Palatino Linotype" w:cs="Times New Roman"/>
          <w:sz w:val="21"/>
          <w:szCs w:val="21"/>
        </w:rPr>
        <w:lastRenderedPageBreak/>
        <w:t>proceso, es decir en cuando al principio de iniciación o tramitación. Criticó y se separó de todo tipo procesal conformado por un conjunto de actos procesales, unidos, concatenados, de etapas preclusivas conforme al principio de la eventualidad.  Condenó el procedimentalismo excesivo y el formalismo desmedido en cuanto la múltiple normativa sustantiva, incoherente y contradictoria convivían sin conocer la derogación de la norma anterior, lo que generó a su vez un conjunto de procesos y procedimientos para cada normativa y a veces para cada ley, con la ruptura y desmantelamiento de  la naturalidad, simplicidad, inteligibilidad e imprescindible prontitud del sistema judicial.  en la administración de justicia.</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Toda esta ideología debía tener también una coherencia en cuanto a un sistema de pruebas y de la valoración probatoria. Condenó y rompió abruptamente con el sistema de la prueba legal. Porque nutrida por la escritura gobernaba enteramente la apreciación de la prueba, impedía obedecer la propia convicción del juzgador. Además, por una parte, el sistema de la prueba tasada si bien constituía un principio mecánico, riguroso e indispensable para el buen orden del proceso escrito también le impedía conocer el consecutivo orden en el tratamiento de los actos de ataque y defensa, y, por otra parte, excluía el trato directo del Tribunal con las partes, impedía la inmediata percepción del material litigioso y probatorio pues le cercenaba la posibilidad de adentrarse en la real voluntad de las partes, y el verdadero contenido del material de la prueba.  Debía rechazar también la preclusión, regida por el principio de la eventualidad porque el conjunto de actos ordenados y concatenados del proceso separa las pruebas de la interlocución probatoria.</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 xml:space="preserve"> </w:t>
      </w:r>
      <w:r w:rsidRPr="00E10347">
        <w:rPr>
          <w:rFonts w:ascii="Palatino Linotype" w:hAnsi="Palatino Linotype" w:cs="Times New Roman"/>
          <w:sz w:val="21"/>
          <w:szCs w:val="21"/>
        </w:rPr>
        <w:tab/>
        <w:t>Entonces, al introducir la oralidad, incorporó el sistema de la libre valoración probatoria, sin sujeción estricta a valores predeterminados por la ley sobre cada una de las pruebas.  Solo con esta idea la oralidad era completa.  Porque solo así se le permitía al Tribunal investigar dentro de las pruebas ofrecidas por las partes, dentro del contradictorio, y llegar a determinar una realidad ajustada a criterios probatorios libres.</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Estos lineamientos tan simples irían a iniciar una constante de un proceso casi universal adoptado por la mayoría de los ordenamientos jurídicos del mundo moderno. Incluso estos principios fundamentales se mantienen incólumes para las diferentes ramas del derecho porque las jurisdicciones especializas siguen los mismos criterios la ordenanza procesal civil manteniendo algunas de las propias particularidades. Un claro ejemplo de esto lo constituye la ordenanza los tribunales </w:t>
      </w:r>
      <w:r w:rsidRPr="00E10347">
        <w:rPr>
          <w:rFonts w:ascii="Palatino Linotype" w:hAnsi="Palatino Linotype" w:cs="Times New Roman"/>
          <w:sz w:val="21"/>
          <w:szCs w:val="21"/>
        </w:rPr>
        <w:lastRenderedPageBreak/>
        <w:t xml:space="preserve">administrativos alemanes del 21 de enero de 1960. Porque en derecho administrativo se mantiene la oralidad y todos estos principios con algunas particularidades propias de esta disciplina, como es el caso de contar dentro del tribunal con jueces no juristas. </w:t>
      </w:r>
    </w:p>
    <w:p w:rsidR="00B600D3" w:rsidRDefault="00B600D3" w:rsidP="00E10347">
      <w:pPr>
        <w:jc w:val="both"/>
        <w:rPr>
          <w:rFonts w:ascii="Palatino Linotype" w:hAnsi="Palatino Linotype" w:cs="Times New Roman"/>
          <w:b/>
          <w:sz w:val="21"/>
          <w:szCs w:val="21"/>
        </w:rPr>
      </w:pPr>
    </w:p>
    <w:p w:rsidR="002014CA" w:rsidRPr="00E10347" w:rsidRDefault="002014CA"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11.  (sigue) B)  EL SISTEMA PROCESAL AUSTRÍACO Y EL SISTEMA DE LA LIBRE VALORACIÓN O LIBRE CONVENCIMIENTO JUDICIAL.</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El otro  hito de este gran movimiento de la oralidad, dio características más humanas al sistema procesal. Se trata de la </w:t>
      </w:r>
      <w:r w:rsidRPr="00E10347">
        <w:rPr>
          <w:rFonts w:ascii="Palatino Linotype" w:hAnsi="Palatino Linotype" w:cs="Times New Roman"/>
          <w:b/>
          <w:sz w:val="21"/>
          <w:szCs w:val="21"/>
        </w:rPr>
        <w:t xml:space="preserve">Zivilprozesordnung, </w:t>
      </w:r>
      <w:r w:rsidRPr="00E10347">
        <w:rPr>
          <w:rFonts w:ascii="Palatino Linotype" w:hAnsi="Palatino Linotype" w:cs="Times New Roman"/>
          <w:sz w:val="21"/>
          <w:szCs w:val="21"/>
        </w:rPr>
        <w:t xml:space="preserve">ZPO, austriaca del 1° de agosto de 1895. Porque su innovación mayor fue la de acentuar la función activa del juez dentro del proceso a través del ejercicio de importantes poderes.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Concibe, bajo estas premisas el sistema de la libre valoración o libre convicción judicial para darle real efectividad y vigencia al principio de la oralidad procesal. </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Ello porque en el ámbito de las pruebas y su valoración también esta normativa puso especial acento.  Porque siendo el objetivo fundamental lograr la obtención de la verdad real, la ideología austriaca se dirigió hacia la consideración  indispensable de dotar de suficientes poderes al juez para la investigación del material probatorio.  Siendo más inquisitivo estimó procedente darle poderes al Juez para la determinación de la exactitud de todo cuanto acontece o aconteció, y no solo  de cuanto las partes alegan o pretenden probar. Para el adecuado cumplimento de este fin la orientación austriaca si bien se separa completamente del sistema  y de los criterios de la prueba tasada o tarifada, también comete un grave error al otorgar poderes propios de sistemas autoritarios, para quienes resulta aplicable la deformación del famoso aforismo de la congruencia para sustituirlo por el </w:t>
      </w:r>
      <w:r w:rsidRPr="00E10347">
        <w:rPr>
          <w:rFonts w:ascii="Palatino Linotype" w:hAnsi="Palatino Linotype" w:cs="Times New Roman"/>
          <w:b/>
          <w:i/>
          <w:sz w:val="21"/>
          <w:szCs w:val="21"/>
        </w:rPr>
        <w:t>judex secundum alegata partium decidere debet</w:t>
      </w:r>
      <w:r w:rsidRPr="00E10347">
        <w:rPr>
          <w:rFonts w:ascii="Palatino Linotype" w:hAnsi="Palatino Linotype" w:cs="Times New Roman"/>
          <w:sz w:val="21"/>
          <w:szCs w:val="21"/>
        </w:rPr>
        <w:t xml:space="preserve">  (el Juez resuelve conforme a lo que alegan las partes). </w:t>
      </w:r>
    </w:p>
    <w:p w:rsidR="00B600D3" w:rsidRDefault="00B600D3" w:rsidP="00E10347">
      <w:pPr>
        <w:pStyle w:val="Sinespaciado"/>
        <w:jc w:val="both"/>
        <w:rPr>
          <w:rFonts w:ascii="Palatino Linotype" w:hAnsi="Palatino Linotype" w:cs="Times New Roman"/>
          <w:b/>
          <w:sz w:val="21"/>
          <w:szCs w:val="21"/>
        </w:rPr>
      </w:pPr>
    </w:p>
    <w:p w:rsidR="002014CA" w:rsidRPr="00E10347" w:rsidRDefault="002014CA" w:rsidP="00E10347">
      <w:pPr>
        <w:pStyle w:val="Sinespaciado"/>
        <w:jc w:val="both"/>
        <w:rPr>
          <w:rFonts w:ascii="Palatino Linotype" w:hAnsi="Palatino Linotype" w:cs="Times New Roman"/>
          <w:b/>
          <w:sz w:val="21"/>
          <w:szCs w:val="21"/>
        </w:rPr>
      </w:pPr>
      <w:r w:rsidRPr="00E10347">
        <w:rPr>
          <w:rFonts w:ascii="Palatino Linotype" w:hAnsi="Palatino Linotype" w:cs="Times New Roman"/>
          <w:b/>
          <w:sz w:val="21"/>
          <w:szCs w:val="21"/>
        </w:rPr>
        <w:t>12. (sigue)   C)  LAS VISIONES DE EVOLUCIÓN Y ESTANCAMIENTO CON LA SANA CRÍTICA.</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  En la evolución operada con el surgimiento de la oralidad se planteó formular una solución equidistante al sumarle a ese método el sistema de la sana crítica.  Según el avance en la ideología de la valoración de las pruebas o el atraso de ella, bien podrían encontrarse dos sistemas contrastantes para calificarlas.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ab/>
        <w:t xml:space="preserve">a)  En una visión restringida, o realista para el momento, alguna doctrina sostuvo que, en  buena técnica, dicho planteamiento puede entrañar una falacia porque si se mantiene el ordenamiento de la prueba tasada para la totalidad del sistema, solo se autoriza el recurso a la sana crítica para el análisis global de la prueba en su conjunto.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Entonces el método de la sana crítica no se cumple respecto de una prueba específica  sino para ser empleado dentro de la globalidad de todas las probanzas existentes en el proceso.  Consecuentemente, en esta visión, ello significaría mantener el mismos sistema legal o tarifario de la valoración probatoria. Porque no se superó o abandonó el sistema de la prueba tasada.</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b)  Otros han pretendido plantear una visión más amplia y actual, acorde para la oralidad procesal tomando como punto de partida la misma sana crítica.  Para ello  fue necesario mencionar preferentemente las reglas de la sana crítica, y no meramente la expresión de sana critica.</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A tal efecto se introdujeron los  elementos propios de la libre valoración probatoria como serían los criterios de la lógica, experiencia, psicología y ciencia que informan el correcto entendimiento humano.</w:t>
      </w:r>
    </w:p>
    <w:p w:rsidR="002014CA" w:rsidRPr="00E10347" w:rsidRDefault="002014CA" w:rsidP="00E10347">
      <w:pPr>
        <w:pStyle w:val="Sinespaciado"/>
        <w:jc w:val="both"/>
        <w:rPr>
          <w:rFonts w:ascii="Palatino Linotype" w:eastAsia="Calibri" w:hAnsi="Palatino Linotype" w:cs="Times New Roman"/>
          <w:sz w:val="21"/>
          <w:szCs w:val="21"/>
        </w:rPr>
      </w:pPr>
      <w:r w:rsidRPr="00E10347">
        <w:rPr>
          <w:rFonts w:ascii="Palatino Linotype" w:hAnsi="Palatino Linotype" w:cs="Times New Roman"/>
          <w:sz w:val="21"/>
          <w:szCs w:val="21"/>
        </w:rPr>
        <w:tab/>
        <w:t xml:space="preserve">Y en la misma forma como la valoración es libre ello no significa una valoración arbitraria, sino vinculante, por tal razón dentro de la misma sana crítica se exigió que en la </w:t>
      </w:r>
      <w:r w:rsidRPr="00E10347">
        <w:rPr>
          <w:rFonts w:ascii="Palatino Linotype" w:hAnsi="Palatino Linotype" w:cs="Times New Roman"/>
          <w:b/>
          <w:sz w:val="21"/>
          <w:szCs w:val="21"/>
        </w:rPr>
        <w:t>valoración de las pruebas</w:t>
      </w:r>
      <w:r w:rsidRPr="00E10347">
        <w:rPr>
          <w:rFonts w:ascii="Palatino Linotype" w:hAnsi="Palatino Linotype" w:cs="Times New Roman"/>
          <w:sz w:val="21"/>
          <w:szCs w:val="21"/>
        </w:rPr>
        <w:t>, los juzgadores están obligados a expresar los fundamentos  jurídicos y de equidad de sus conclusiones  en la elaboración de su cuadro fáctico.   Es decir en el falo los jueces deben expresar las razones del porqué  unas pruebas, y otras no, le permitieron llegar a la credibilidad, de la apreciación conjunta  y armónica de las pruebas y las eventuales presunciones.</w:t>
      </w:r>
      <w:r w:rsidRPr="00E10347">
        <w:rPr>
          <w:rFonts w:ascii="Palatino Linotype" w:eastAsia="Calibri" w:hAnsi="Palatino Linotype" w:cs="Times New Roman"/>
          <w:sz w:val="21"/>
          <w:szCs w:val="21"/>
        </w:rPr>
        <w:t xml:space="preserve"> </w:t>
      </w:r>
    </w:p>
    <w:p w:rsidR="002014CA" w:rsidRPr="00E10347" w:rsidRDefault="002014CA" w:rsidP="00E10347">
      <w:pPr>
        <w:pStyle w:val="Sinespaciado"/>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 xml:space="preserve">La justificación del impulso de este nuevo criterio se fundó en la aspiración procesal de apartarse del procedimentalismo excesivo y el formalismo desmedido. Se inclina hacia las simplificaciones procesales  atendiendo siempre la técnica del proceso. Por ello en la oralidad se redujeron  los recursos, se eliminaron los incidentes y se estableció  el saneamiento para cumplir con una justicia pronta y cumplida. </w:t>
      </w:r>
    </w:p>
    <w:p w:rsidR="00B600D3" w:rsidRDefault="00B600D3" w:rsidP="00E10347">
      <w:pPr>
        <w:jc w:val="both"/>
        <w:rPr>
          <w:rFonts w:ascii="Palatino Linotype" w:hAnsi="Palatino Linotype" w:cs="Times New Roman"/>
          <w:b/>
          <w:sz w:val="21"/>
          <w:szCs w:val="21"/>
        </w:rPr>
      </w:pPr>
    </w:p>
    <w:p w:rsidR="002014CA" w:rsidRPr="00E10347" w:rsidRDefault="002014CA"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 xml:space="preserve">13.  (sigue)  D)  LOS AVANCES DEL </w:t>
      </w:r>
      <w:r w:rsidRPr="00E10347">
        <w:rPr>
          <w:rFonts w:ascii="Palatino Linotype" w:hAnsi="Palatino Linotype" w:cs="Times New Roman"/>
          <w:b/>
          <w:i/>
          <w:sz w:val="21"/>
          <w:szCs w:val="21"/>
        </w:rPr>
        <w:t>CIVIL LAW</w:t>
      </w:r>
      <w:r w:rsidRPr="00E10347">
        <w:rPr>
          <w:rFonts w:ascii="Palatino Linotype" w:hAnsi="Palatino Linotype" w:cs="Times New Roman"/>
          <w:b/>
          <w:sz w:val="21"/>
          <w:szCs w:val="21"/>
        </w:rPr>
        <w:t xml:space="preserve"> Y EL </w:t>
      </w:r>
      <w:r w:rsidRPr="00E10347">
        <w:rPr>
          <w:rFonts w:ascii="Palatino Linotype" w:hAnsi="Palatino Linotype" w:cs="Times New Roman"/>
          <w:b/>
          <w:i/>
          <w:sz w:val="21"/>
          <w:szCs w:val="21"/>
        </w:rPr>
        <w:t>COMMON LAW</w:t>
      </w:r>
      <w:r w:rsidRPr="00E10347">
        <w:rPr>
          <w:rFonts w:ascii="Palatino Linotype" w:hAnsi="Palatino Linotype" w:cs="Times New Roman"/>
          <w:b/>
          <w:sz w:val="21"/>
          <w:szCs w:val="21"/>
        </w:rPr>
        <w:t>.</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En el mundo contemporáneo, para los sistemas del </w:t>
      </w:r>
      <w:r w:rsidRPr="00E10347">
        <w:rPr>
          <w:rFonts w:ascii="Palatino Linotype" w:hAnsi="Palatino Linotype" w:cs="Times New Roman"/>
          <w:b/>
          <w:i/>
          <w:sz w:val="21"/>
          <w:szCs w:val="21"/>
        </w:rPr>
        <w:t>civil law</w:t>
      </w:r>
      <w:r w:rsidRPr="00E10347">
        <w:rPr>
          <w:rFonts w:ascii="Palatino Linotype" w:hAnsi="Palatino Linotype" w:cs="Times New Roman"/>
          <w:b/>
          <w:sz w:val="21"/>
          <w:szCs w:val="21"/>
        </w:rPr>
        <w:t xml:space="preserve"> </w:t>
      </w:r>
      <w:r w:rsidRPr="00E10347">
        <w:rPr>
          <w:rFonts w:ascii="Palatino Linotype" w:hAnsi="Palatino Linotype" w:cs="Times New Roman"/>
          <w:sz w:val="21"/>
          <w:szCs w:val="21"/>
        </w:rPr>
        <w:t xml:space="preserve">y </w:t>
      </w:r>
      <w:r w:rsidRPr="00E10347">
        <w:rPr>
          <w:rFonts w:ascii="Palatino Linotype" w:hAnsi="Palatino Linotype" w:cs="Times New Roman"/>
          <w:b/>
          <w:i/>
          <w:sz w:val="21"/>
          <w:szCs w:val="21"/>
        </w:rPr>
        <w:t xml:space="preserve">common </w:t>
      </w:r>
      <w:r w:rsidRPr="00E10347">
        <w:rPr>
          <w:rFonts w:ascii="Palatino Linotype" w:hAnsi="Palatino Linotype" w:cs="Times New Roman"/>
          <w:b/>
          <w:sz w:val="21"/>
          <w:szCs w:val="21"/>
        </w:rPr>
        <w:t>law</w:t>
      </w:r>
      <w:r w:rsidRPr="00E10347">
        <w:rPr>
          <w:rFonts w:ascii="Palatino Linotype" w:hAnsi="Palatino Linotype" w:cs="Times New Roman"/>
          <w:sz w:val="21"/>
          <w:szCs w:val="21"/>
        </w:rPr>
        <w:t xml:space="preserve"> se promueve cada vez más el perfeccionamiento de los sistemas procesales y probatorios  a través de otros criterios para la valoración de las pruebas. </w:t>
      </w:r>
      <w:r w:rsidRPr="00E10347">
        <w:rPr>
          <w:rFonts w:ascii="Palatino Linotype" w:hAnsi="Palatino Linotype" w:cs="Times New Roman"/>
          <w:sz w:val="21"/>
          <w:szCs w:val="21"/>
        </w:rPr>
        <w:lastRenderedPageBreak/>
        <w:t xml:space="preserve">Principalmente se aboga por la observación de los Jueces, en forma directa, con la posibilidad del análisis crítico de los datos. Esto significa recurrir a un método inductivo y fenomenológico. </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Aquí entran en juego los conocimientos del juzgador en uso de una especie de psicología experimental. Según ese método moderno las pruebas se pesan, en cuanto lo datos surgidos del </w:t>
      </w:r>
      <w:r w:rsidRPr="00E10347">
        <w:rPr>
          <w:rFonts w:ascii="Palatino Linotype" w:hAnsi="Palatino Linotype" w:cs="Times New Roman"/>
          <w:b/>
          <w:sz w:val="21"/>
          <w:szCs w:val="21"/>
        </w:rPr>
        <w:t>contradictorio</w:t>
      </w:r>
      <w:r w:rsidRPr="00E10347">
        <w:rPr>
          <w:rFonts w:ascii="Palatino Linotype" w:hAnsi="Palatino Linotype" w:cs="Times New Roman"/>
          <w:sz w:val="21"/>
          <w:szCs w:val="21"/>
        </w:rPr>
        <w:t xml:space="preserve">  de pruebas ofrecen distintas facetas y opciones, y no se cuentan como antes. Se pesan por su concreto valor individual y no sobre prejuicios abstractos o de criterios mecánicos preestablecidos. Lo importante no es la cantidad de pruebas sino la fe sincera sobre la luz de la verdad, de ahí la existencia del principio de la carga de la prueba.</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Por esta razón </w:t>
      </w:r>
      <w:r w:rsidRPr="00E10347">
        <w:rPr>
          <w:rFonts w:ascii="Palatino Linotype" w:hAnsi="Palatino Linotype" w:cs="Times New Roman"/>
          <w:b/>
          <w:sz w:val="21"/>
          <w:szCs w:val="21"/>
        </w:rPr>
        <w:t>se han abandonado los criterios de la plena prueba derivada de la confesional</w:t>
      </w:r>
      <w:r w:rsidRPr="00E10347">
        <w:rPr>
          <w:rFonts w:ascii="Palatino Linotype" w:hAnsi="Palatino Linotype" w:cs="Times New Roman"/>
          <w:sz w:val="21"/>
          <w:szCs w:val="21"/>
        </w:rPr>
        <w:t xml:space="preserve">, incluso de la confesión ficta, así como la forma del interrogatorio en la prueba testimonial sujeta a un cuestionario determinado, y previamente calificado por el juez. </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El caso más significativo de la </w:t>
      </w:r>
      <w:r w:rsidRPr="00E10347">
        <w:rPr>
          <w:rFonts w:ascii="Palatino Linotype" w:hAnsi="Palatino Linotype" w:cs="Times New Roman"/>
          <w:b/>
          <w:sz w:val="21"/>
          <w:szCs w:val="21"/>
        </w:rPr>
        <w:t>abolición de la confesional</w:t>
      </w:r>
      <w:r w:rsidRPr="00E10347">
        <w:rPr>
          <w:rFonts w:ascii="Palatino Linotype" w:hAnsi="Palatino Linotype" w:cs="Times New Roman"/>
          <w:sz w:val="21"/>
          <w:szCs w:val="21"/>
        </w:rPr>
        <w:t xml:space="preserve"> se encuentra representado por el </w:t>
      </w:r>
      <w:r w:rsidRPr="00E10347">
        <w:rPr>
          <w:rFonts w:ascii="Palatino Linotype" w:hAnsi="Palatino Linotype" w:cs="Times New Roman"/>
          <w:b/>
          <w:sz w:val="21"/>
          <w:szCs w:val="21"/>
        </w:rPr>
        <w:t>Código de Procedimiento Civil de la Ciudad del Vaticano</w:t>
      </w:r>
      <w:r w:rsidRPr="00E10347">
        <w:rPr>
          <w:rFonts w:ascii="Palatino Linotype" w:hAnsi="Palatino Linotype" w:cs="Times New Roman"/>
          <w:sz w:val="21"/>
          <w:szCs w:val="21"/>
        </w:rPr>
        <w:t xml:space="preserve">, de 1946, porque superó estos criterios. La mención a este Código es importante porque significa canónicamente la superación de los viejos criterios. Precisamente rebasados por el derecho canónico encargado de asentar este principio medieval de influencia decisiva incluso en los tribunales de la </w:t>
      </w:r>
      <w:r w:rsidRPr="00E10347">
        <w:rPr>
          <w:rFonts w:ascii="Palatino Linotype" w:hAnsi="Palatino Linotype" w:cs="Times New Roman"/>
          <w:b/>
          <w:i/>
          <w:sz w:val="21"/>
          <w:szCs w:val="21"/>
        </w:rPr>
        <w:t>equity jurisdiction</w:t>
      </w:r>
      <w:r w:rsidRPr="00E10347">
        <w:rPr>
          <w:rFonts w:ascii="Palatino Linotype" w:hAnsi="Palatino Linotype" w:cs="Times New Roman"/>
          <w:b/>
          <w:sz w:val="21"/>
          <w:szCs w:val="21"/>
        </w:rPr>
        <w:t xml:space="preserve"> </w:t>
      </w:r>
      <w:r w:rsidRPr="00E10347">
        <w:rPr>
          <w:rFonts w:ascii="Palatino Linotype" w:hAnsi="Palatino Linotype" w:cs="Times New Roman"/>
          <w:sz w:val="21"/>
          <w:szCs w:val="21"/>
        </w:rPr>
        <w:t>del proceso anglosajón. El criterio seguido ahora por la Ciudad del Vaticano ya había sido instaurado en Austria, Suiza, Alemania, Japón, y en general en la cultura anglosajona, y debe estar a la base de cualquier nuevo sistema procesal moderno.</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A diferencia de cuanto se pueda comprender, la prueba residual que fue la testimonial en el sistema de la escritura, ahora pasa a ser la prueba reina, la más importante, en  la oralidad.</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La oralidad procesal, en consecuencia, debe tener un sistema de pruebas susceptible de permitir su recepción delante del Juez, donde opera el principio más importante: incluso para algunos superior a la oralidad a cuando  esta de ser un sistema y no un instrumento  de prueba:  la inmediatez  y en presencia de las partes para procurar la declaración de la verdad real, de todo cuanto probatoriamente ha surgido de la audiencia. </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No puede tener criterios preestablecidos en cuanto al valor de las pruebas. Porque precisamente en la inmediatez del juzgador  con las partes y principalmente las pruebas debe llegar a encontrar la luz de la verdad. Debe estar facultado para </w:t>
      </w:r>
      <w:r w:rsidRPr="00E10347">
        <w:rPr>
          <w:rFonts w:ascii="Palatino Linotype" w:hAnsi="Palatino Linotype" w:cs="Times New Roman"/>
          <w:sz w:val="21"/>
          <w:szCs w:val="21"/>
        </w:rPr>
        <w:lastRenderedPageBreak/>
        <w:t>interrogar a la parte, tanto de hechos de terceros como propios, estar en contracto con los testigos para formularle las preguntas necesarias, recibir de los peritos sus informes pero también solicitarles en forma directa aclaración y criterios para conocer más profundamente sus estudios, visitar los lugares mismos donde acaecieron los hechos y acercarse a las cosas relevantes para la resolución del conflicto sometido a su conocimiento.</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La valoración libre  de todo el elemento probatorio permitirá acercarse a la autentica verdad. A la verdad real y no solo formal. Dentro de las particularidad propias de la oralidad también la declaración de todas las personas se convierte en el elemento de convicción más importante. Por esto la testimonial es la prueba estrella de la oralidad. Y es la declaración tanto de los testigos como de las partes y de los peritos.</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Naturalmente los criterios de valoración no pueden ser antojadizos o arbitrario. Pero para adquirir valor, por el contrario, deben ser motivados y razonados. El juzgador deberá expresar tanto los criterios de legalidad como de equidad utilizados para arribar a sus conclusiones. La razonabilidad ilumina la libertad de valoración.</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Por estas razones en la casación deben superarse los viejos criterios, propios del sistema escrito y de la prueba tasada, de la violación indirecta al ordenamiento jurídico. Esto es la existen de errores de hechos o de derecho en la valoración de la prueba. Porque la infracción probatoria puede ser por falta de motivación  o falta de razonabilidad en la valoración. Pero no por infracción del valor preestablecido dado a las pruebas en la normativa procesal.</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 En consecuencia el argumento fundamental para valorar si un determinado sistema se ha adecuado a la ideología del Derecho Contemporáneo se vincula con la valoración de la prueba.  Porque en la oralidad el juez es investido con la potestad de llegar a los hechos a través de su íntima convicción al apreciar y valorar la prueba. Al interrogar a las partes, los testigos expertos, discutir sobre el contenido y alcance de los documentos, escuchar y confrontar las conclusiones de la partes, y ver todo el elementos probatorio a la luz del ordenamiento jurídico arriba a determinar un cuadro fáctico al cual se aplicarán las normas y principios  jurídicos.  Pero este cuadro fáctico es construido sin sujeción estricta a normas preestablecidas de valoración probatoria, dejadas a su íntima convicción, como consecuencia de la labor probatoria de las partes, de la calidad de lo probado, en uso de una cierta sicología práctica para investigar y asentar realmente el contenido de la verdad </w:t>
      </w:r>
      <w:r w:rsidRPr="00E10347">
        <w:rPr>
          <w:rFonts w:ascii="Palatino Linotype" w:hAnsi="Palatino Linotype" w:cs="Times New Roman"/>
          <w:sz w:val="21"/>
          <w:szCs w:val="21"/>
        </w:rPr>
        <w:lastRenderedPageBreak/>
        <w:t xml:space="preserve">buscada.   El convencimiento de esa realidad, sin embargo, no puede ser arbitrario, porque la libre convicción debe justificarse en criterios de razonabilidad. Por esta razón al llegar a la determinación de aspectos claves para el pronunciamiento judicial, el juez debe señalar los criterios de legalidad y equidad utilizados para llegar a sus conclusiones en la construcción fáctica. </w:t>
      </w:r>
    </w:p>
    <w:p w:rsidR="002014CA" w:rsidRPr="00E10347" w:rsidRDefault="002014CA" w:rsidP="00E10347">
      <w:pPr>
        <w:pStyle w:val="Sinespaciado"/>
        <w:ind w:firstLine="708"/>
        <w:jc w:val="both"/>
        <w:rPr>
          <w:rFonts w:ascii="Palatino Linotype" w:hAnsi="Palatino Linotype" w:cs="Times New Roman"/>
          <w:b/>
          <w:sz w:val="21"/>
          <w:szCs w:val="21"/>
        </w:rPr>
      </w:pPr>
      <w:r w:rsidRPr="00E10347">
        <w:rPr>
          <w:rFonts w:ascii="Palatino Linotype" w:hAnsi="Palatino Linotype" w:cs="Times New Roman"/>
          <w:sz w:val="21"/>
          <w:szCs w:val="21"/>
        </w:rPr>
        <w:t>Es decir, siempre en un Código General deben mantenerse las normas de prueba, como ha acontecido siempre, para permitirle al juzgador admitir las pertinentes, e incluso señalar sus características y modalidades para poder justificar la valoración, aun cuando al crear el cuadro de los hechos la interpretación se deje al Tribunal.</w:t>
      </w:r>
    </w:p>
    <w:p w:rsidR="00B600D3" w:rsidRDefault="00B600D3" w:rsidP="00E10347">
      <w:pPr>
        <w:pStyle w:val="Sinespaciado"/>
        <w:jc w:val="both"/>
        <w:rPr>
          <w:rFonts w:ascii="Palatino Linotype" w:hAnsi="Palatino Linotype" w:cs="Times New Roman"/>
          <w:b/>
          <w:sz w:val="21"/>
          <w:szCs w:val="21"/>
        </w:rPr>
      </w:pPr>
    </w:p>
    <w:p w:rsidR="002014CA" w:rsidRPr="00E10347" w:rsidRDefault="002014CA" w:rsidP="00E10347">
      <w:pPr>
        <w:pStyle w:val="Sinespaciado"/>
        <w:jc w:val="both"/>
        <w:rPr>
          <w:rFonts w:ascii="Palatino Linotype" w:hAnsi="Palatino Linotype" w:cs="Times New Roman"/>
          <w:b/>
          <w:sz w:val="21"/>
          <w:szCs w:val="21"/>
        </w:rPr>
      </w:pPr>
      <w:r w:rsidRPr="00E10347">
        <w:rPr>
          <w:rFonts w:ascii="Palatino Linotype" w:hAnsi="Palatino Linotype" w:cs="Times New Roman"/>
          <w:b/>
          <w:sz w:val="21"/>
          <w:szCs w:val="21"/>
        </w:rPr>
        <w:t>14.   EL MODELO DEL CÓDIGO PROCESAL GENERAL EN COSTA RICA.</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 En Costa Rica a partir de 1998 se iniciaron planteamientos serios dentro del Poder Judicial por introducir la oralidad dentro de los  procesos de Derecho Privado y Derecho Público.  La redacción del </w:t>
      </w:r>
      <w:r w:rsidRPr="00E10347">
        <w:rPr>
          <w:rFonts w:ascii="Palatino Linotype" w:hAnsi="Palatino Linotype" w:cs="Times New Roman"/>
          <w:b/>
          <w:sz w:val="21"/>
          <w:szCs w:val="21"/>
        </w:rPr>
        <w:t xml:space="preserve">Código Procesal General </w:t>
      </w:r>
      <w:r w:rsidRPr="00E10347">
        <w:rPr>
          <w:rFonts w:ascii="Palatino Linotype" w:hAnsi="Palatino Linotype" w:cs="Times New Roman"/>
          <w:sz w:val="21"/>
          <w:szCs w:val="21"/>
        </w:rPr>
        <w:t>quedó terminada en el 2000.</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La propuesta primera y más interesante  lo constituyó el Documento de Bases encargado al Magistrado Ricardo Zeledón Zeledón con el título </w:t>
      </w:r>
      <w:r w:rsidRPr="00E10347">
        <w:rPr>
          <w:rFonts w:ascii="Palatino Linotype" w:eastAsia="Calibri" w:hAnsi="Palatino Linotype" w:cs="Times New Roman"/>
          <w:b/>
          <w:sz w:val="21"/>
          <w:szCs w:val="21"/>
        </w:rPr>
        <w:t>Por un Código General del proceso (basado en la oralidad y la conciliación)</w:t>
      </w:r>
      <w:r w:rsidRPr="00E10347">
        <w:rPr>
          <w:rFonts w:ascii="Palatino Linotype" w:eastAsia="Calibri" w:hAnsi="Palatino Linotype" w:cs="Times New Roman"/>
          <w:sz w:val="21"/>
          <w:szCs w:val="21"/>
        </w:rPr>
        <w:t xml:space="preserve">, 1998,  para institucionalizar la oralidad en un proceso más ágil, menos formal, más rápido, humanista y eficiente, único en la parte general para civil, familia, agrario, contencioso administrativo, laboral, respetando separadamente las particularidades de esas ramas jurídicas.  Luego fue  publicado </w:t>
      </w:r>
      <w:r w:rsidRPr="00E10347">
        <w:rPr>
          <w:rFonts w:ascii="Palatino Linotype" w:eastAsia="Calibri" w:hAnsi="Palatino Linotype"/>
          <w:sz w:val="21"/>
          <w:szCs w:val="21"/>
        </w:rPr>
        <w:t xml:space="preserve">como </w:t>
      </w:r>
      <w:r w:rsidRPr="00E10347">
        <w:rPr>
          <w:rFonts w:ascii="Palatino Linotype" w:hAnsi="Palatino Linotype" w:cs="Times New Roman"/>
          <w:b/>
          <w:bCs/>
          <w:sz w:val="21"/>
          <w:szCs w:val="21"/>
        </w:rPr>
        <w:t>¡Salvemos la Justicia</w:t>
      </w:r>
      <w:r w:rsidRPr="00E10347">
        <w:rPr>
          <w:rFonts w:ascii="Palatino Linotype" w:hAnsi="Palatino Linotype" w:cs="Times New Roman"/>
          <w:bCs/>
          <w:sz w:val="21"/>
          <w:szCs w:val="21"/>
        </w:rPr>
        <w:t xml:space="preserve">!  </w:t>
      </w:r>
      <w:r w:rsidRPr="00E10347">
        <w:rPr>
          <w:rFonts w:ascii="Palatino Linotype" w:hAnsi="Palatino Linotype" w:cs="Times New Roman"/>
          <w:sz w:val="21"/>
          <w:szCs w:val="21"/>
        </w:rPr>
        <w:t>(Editorial Porvenir, San José, 1998).</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Se trata de la primera propuesta de un Código fundado en la oralidad. Tiene sus orígenes en  la Ordenanza Alemana </w:t>
      </w:r>
      <w:r w:rsidRPr="00E10347">
        <w:rPr>
          <w:rFonts w:ascii="Palatino Linotype" w:hAnsi="Palatino Linotype" w:cs="Times New Roman"/>
          <w:b/>
          <w:sz w:val="21"/>
          <w:szCs w:val="21"/>
        </w:rPr>
        <w:t xml:space="preserve">Zivilprozessordnug, </w:t>
      </w:r>
      <w:r w:rsidRPr="00E10347">
        <w:rPr>
          <w:rFonts w:ascii="Palatino Linotype" w:hAnsi="Palatino Linotype" w:cs="Times New Roman"/>
          <w:sz w:val="21"/>
          <w:szCs w:val="21"/>
        </w:rPr>
        <w:t xml:space="preserve">ZPO, del 30 de enero de 1877, con vigencia a partir del 1° de octubre de 1789,  y la Ordenanza por la </w:t>
      </w:r>
      <w:r w:rsidRPr="00E10347">
        <w:rPr>
          <w:rFonts w:ascii="Palatino Linotype" w:hAnsi="Palatino Linotype" w:cs="Times New Roman"/>
          <w:b/>
          <w:sz w:val="21"/>
          <w:szCs w:val="21"/>
        </w:rPr>
        <w:t xml:space="preserve">Zivilprozessordung, </w:t>
      </w:r>
      <w:r w:rsidRPr="00E10347">
        <w:rPr>
          <w:rFonts w:ascii="Palatino Linotype" w:hAnsi="Palatino Linotype" w:cs="Times New Roman"/>
          <w:sz w:val="21"/>
          <w:szCs w:val="21"/>
        </w:rPr>
        <w:t xml:space="preserve">ZPO, austríaca del 1 de agosto de 1895, en cuanto concebían una oralidad por audiencias, ya difundido entre varios países europeos, especialmente del </w:t>
      </w:r>
      <w:r w:rsidRPr="00E10347">
        <w:rPr>
          <w:rFonts w:ascii="Palatino Linotype" w:hAnsi="Palatino Linotype" w:cs="Times New Roman"/>
          <w:b/>
          <w:i/>
          <w:sz w:val="21"/>
          <w:szCs w:val="21"/>
        </w:rPr>
        <w:t>Common law</w:t>
      </w:r>
      <w:r w:rsidRPr="00E10347">
        <w:rPr>
          <w:rFonts w:ascii="Palatino Linotype" w:hAnsi="Palatino Linotype" w:cs="Times New Roman"/>
          <w:sz w:val="21"/>
          <w:szCs w:val="21"/>
        </w:rPr>
        <w:t xml:space="preserve">.  Influyó el </w:t>
      </w:r>
      <w:r w:rsidRPr="00E10347">
        <w:rPr>
          <w:rFonts w:ascii="Palatino Linotype" w:hAnsi="Palatino Linotype" w:cs="Times New Roman"/>
          <w:b/>
          <w:i/>
          <w:sz w:val="21"/>
          <w:szCs w:val="21"/>
        </w:rPr>
        <w:t xml:space="preserve">Codice di Procedura Civile </w:t>
      </w:r>
      <w:r w:rsidRPr="00E10347">
        <w:rPr>
          <w:rFonts w:ascii="Palatino Linotype" w:hAnsi="Palatino Linotype" w:cs="Times New Roman"/>
          <w:sz w:val="21"/>
          <w:szCs w:val="21"/>
        </w:rPr>
        <w:t xml:space="preserve"> italiano de 1940 conocido como Código Grandi o Código Grandi-Calamandrei por los nombres del Ministro de aquella época Grandi y el gran jurista Piero Calamandrei en cuanto a la </w:t>
      </w:r>
      <w:r w:rsidRPr="00E10347">
        <w:rPr>
          <w:rFonts w:ascii="Palatino Linotype" w:hAnsi="Palatino Linotype" w:cs="Times New Roman"/>
          <w:b/>
          <w:i/>
          <w:sz w:val="21"/>
          <w:szCs w:val="21"/>
          <w:u w:val="single"/>
        </w:rPr>
        <w:t>prima udienza di trattazione</w:t>
      </w:r>
      <w:r w:rsidRPr="00E10347">
        <w:rPr>
          <w:rFonts w:ascii="Palatino Linotype" w:hAnsi="Palatino Linotype" w:cs="Times New Roman"/>
          <w:sz w:val="21"/>
          <w:szCs w:val="21"/>
        </w:rPr>
        <w:t xml:space="preserve">.   Un antecedente cercado fue el Còdigo Procesal Civil Modelo para Amèrica Latina, del Instituto Iberoameericano de Derecho Procesal inspirado a su vez en el Código Procesal Civil de Eduardo J. Couture de </w:t>
      </w:r>
      <w:r w:rsidRPr="00E10347">
        <w:rPr>
          <w:rFonts w:ascii="Palatino Linotype" w:hAnsi="Palatino Linotype" w:cs="Times New Roman"/>
          <w:sz w:val="21"/>
          <w:szCs w:val="21"/>
        </w:rPr>
        <w:lastRenderedPageBreak/>
        <w:t xml:space="preserve">1950, encargado a los juristas uruguayos Adolfo Gelsi Bidart y Enrique Véscovi en sus VI Jornadas celebradas en Valencia, Carabobo, 1968, con un documento de bases elaborado en 1974, y una amplia discusión hasta su aprobación en 1988.  Y más concretamente el Código General del Proceso aprobado en Uruguay, en 1988,  impulsado por los juristas Adolfo Gelsi Bidart, Luis Torello y Enrique Véscovi.  La audiencia preliminar tiene los rasgos  del  de Portugal donde se instituyó el </w:t>
      </w:r>
      <w:r w:rsidRPr="00E10347">
        <w:rPr>
          <w:rFonts w:ascii="Palatino Linotype" w:hAnsi="Palatino Linotype" w:cs="Times New Roman"/>
          <w:b/>
          <w:i/>
          <w:sz w:val="21"/>
          <w:szCs w:val="21"/>
          <w:u w:val="single"/>
        </w:rPr>
        <w:t>despacho regulador do proceso,</w:t>
      </w:r>
      <w:r w:rsidRPr="00E10347">
        <w:rPr>
          <w:rFonts w:ascii="Palatino Linotype" w:hAnsi="Palatino Linotype" w:cs="Times New Roman"/>
          <w:sz w:val="21"/>
          <w:szCs w:val="21"/>
        </w:rPr>
        <w:t xml:space="preserve">  en 1907, y luego se perfeccionó en Brasil como </w:t>
      </w:r>
      <w:r w:rsidRPr="00E10347">
        <w:rPr>
          <w:rFonts w:ascii="Palatino Linotype" w:hAnsi="Palatino Linotype" w:cs="Times New Roman"/>
          <w:b/>
          <w:i/>
          <w:sz w:val="21"/>
          <w:szCs w:val="21"/>
          <w:u w:val="single"/>
        </w:rPr>
        <w:t>despacho saneador</w:t>
      </w:r>
      <w:r w:rsidRPr="00E10347">
        <w:rPr>
          <w:rFonts w:ascii="Palatino Linotype" w:hAnsi="Palatino Linotype" w:cs="Times New Roman"/>
          <w:sz w:val="21"/>
          <w:szCs w:val="21"/>
        </w:rPr>
        <w:t xml:space="preserve"> en 1939.  Y doctrinalmente recibió la influencia de la Escuela Florentina del Derecho Procesal:  Giuseppe Chiovenda, Piero   Calamandrei y Mauro Cappelletti, y de los latinoamericanos Enrique Véscovi,  Adolfo Gelsi Bidart.  Antes de la redacción del documento el autor conoció personalmente experiencias procesales sobre oralidad en Austria, Italia, Estados Unidos, Alemania, Uruguay y Brasil.</w:t>
      </w:r>
    </w:p>
    <w:p w:rsidR="002014CA" w:rsidRPr="00E10347" w:rsidRDefault="002014CA" w:rsidP="00E10347">
      <w:pPr>
        <w:pStyle w:val="Textoindependiente"/>
        <w:spacing w:after="0"/>
        <w:ind w:firstLine="6"/>
        <w:rPr>
          <w:rFonts w:ascii="Palatino Linotype" w:hAnsi="Palatino Linotype"/>
          <w:sz w:val="21"/>
          <w:szCs w:val="21"/>
        </w:rPr>
      </w:pPr>
      <w:r w:rsidRPr="00E10347">
        <w:rPr>
          <w:rFonts w:ascii="Palatino Linotype" w:hAnsi="Palatino Linotype"/>
          <w:sz w:val="21"/>
          <w:szCs w:val="21"/>
        </w:rPr>
        <w:tab/>
        <w:t xml:space="preserve">A principios del 2000 estaban redactados los dos primeros libros “Normas aplicables a todos los procesos” y “Procesos”, El Libro Tercero “Jurisdicciones especializadas”, se terminó a mediados de ese año,  con  redacción de Ricardo Zeledón Zeledón, Sergio Artavia Barrantes y Rodrigo Montenegro Trejos.  En marzo Luis Paulino Mora Mora, Presidente de la Corte Suprema de Justicia, lo oficializó entregándose al  Presidente de la República y al Presidente de la Asamblea Legislativa, en el Acto de Inauguración del Año Judicial.   La totalidad del Proyecto de Código se publicó para la celebración del “Seminario sobre la reforma procesal”, San José, 21 a 23 de marzo del 2000, con el beneplácito de muchos procesalistas nacionales y extranjeros, en el libro del Poder Judicial del mismo año </w:t>
      </w:r>
      <w:r w:rsidRPr="00E10347">
        <w:rPr>
          <w:rFonts w:ascii="Palatino Linotype" w:hAnsi="Palatino Linotype"/>
          <w:b/>
          <w:bCs/>
          <w:sz w:val="21"/>
          <w:szCs w:val="21"/>
        </w:rPr>
        <w:t>La Gran Reforma Procesal</w:t>
      </w:r>
      <w:r w:rsidRPr="00E10347">
        <w:rPr>
          <w:rFonts w:ascii="Palatino Linotype" w:hAnsi="Palatino Linotype"/>
          <w:sz w:val="21"/>
          <w:szCs w:val="21"/>
        </w:rPr>
        <w:t>.</w:t>
      </w:r>
    </w:p>
    <w:p w:rsidR="002014CA" w:rsidRPr="00E10347" w:rsidRDefault="002014CA" w:rsidP="00E10347">
      <w:pPr>
        <w:pStyle w:val="Textoindependiente"/>
        <w:spacing w:after="0"/>
        <w:ind w:firstLine="6"/>
        <w:rPr>
          <w:rFonts w:ascii="Palatino Linotype" w:eastAsia="Calibri" w:hAnsi="Palatino Linotype"/>
          <w:sz w:val="21"/>
          <w:szCs w:val="21"/>
        </w:rPr>
      </w:pPr>
      <w:r w:rsidRPr="00E10347">
        <w:rPr>
          <w:rFonts w:ascii="Palatino Linotype" w:hAnsi="Palatino Linotype"/>
          <w:b/>
          <w:sz w:val="21"/>
          <w:szCs w:val="21"/>
        </w:rPr>
        <w:tab/>
      </w:r>
      <w:r w:rsidRPr="00E10347">
        <w:rPr>
          <w:rFonts w:ascii="Palatino Linotype" w:eastAsia="Calibri" w:hAnsi="Palatino Linotype"/>
          <w:sz w:val="21"/>
          <w:szCs w:val="21"/>
        </w:rPr>
        <w:t xml:space="preserve">Para el 2002 la Corte Plena   aprobó el “Código Procesal General”. </w:t>
      </w:r>
      <w:r w:rsidRPr="00E10347">
        <w:rPr>
          <w:rFonts w:ascii="Palatino Linotype" w:hAnsi="Palatino Linotype"/>
          <w:sz w:val="21"/>
          <w:szCs w:val="21"/>
        </w:rPr>
        <w:t xml:space="preserve">Se incorporaron todas las observaciones, quedando solamente por definir la situación de las Jurisdicciones Especializadas.  En él se pretendía  incorporar </w:t>
      </w:r>
      <w:r w:rsidRPr="00E10347">
        <w:rPr>
          <w:rFonts w:ascii="Palatino Linotype" w:eastAsia="Calibri" w:hAnsi="Palatino Linotype"/>
          <w:sz w:val="21"/>
          <w:szCs w:val="21"/>
        </w:rPr>
        <w:t xml:space="preserve"> la oralidad procesal en casi todo el sistema judicial, como una respuesta humanista y democrática, con los principios de inmediatez, concentración, identidad física del juzgador, con jueces imparciales y preparados. Quedaron excluidos el penal que gozaba de oralidad, y el contencioso administrativo porque se trabajaba en un proyecto paralelo, bajo los mismos principios e institutos del “Código Procesal General”. </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 xml:space="preserve">Ideológicamente se garantizó a las partes la efectiva igualdad, no solo formal, dentro del proceso.  Para ello mantuvo el principio dispositivo para darle </w:t>
      </w:r>
      <w:r w:rsidRPr="00E10347">
        <w:rPr>
          <w:rFonts w:ascii="Palatino Linotype" w:eastAsia="Calibri" w:hAnsi="Palatino Linotype" w:cs="Times New Roman"/>
          <w:sz w:val="21"/>
          <w:szCs w:val="21"/>
        </w:rPr>
        <w:lastRenderedPageBreak/>
        <w:t>solo a las partes la potestad de la iniciativa del proceso.   Aún cuando, para la corrección de la demanda, la contestación y la contrademanda se otorgaron poderes a los jueces para colaborar con ellas evitando errores, omisiones o impresisiones.</w:t>
      </w:r>
    </w:p>
    <w:p w:rsidR="002014CA" w:rsidRPr="00E10347" w:rsidRDefault="002014CA" w:rsidP="00E10347">
      <w:pPr>
        <w:jc w:val="both"/>
        <w:rPr>
          <w:rFonts w:ascii="Palatino Linotype" w:hAnsi="Palatino Linotype" w:cs="Times New Roman"/>
          <w:sz w:val="21"/>
          <w:szCs w:val="21"/>
        </w:rPr>
      </w:pPr>
      <w:r w:rsidRPr="00E10347">
        <w:rPr>
          <w:rFonts w:ascii="Palatino Linotype" w:eastAsia="Calibri" w:hAnsi="Palatino Linotype" w:cs="Times New Roman"/>
          <w:sz w:val="21"/>
          <w:szCs w:val="21"/>
        </w:rPr>
        <w:tab/>
        <w:t xml:space="preserve">Su ideología central está en la decisión de apartarse de la escritura y sus principio para asumir la oralidad. </w:t>
      </w:r>
      <w:r w:rsidRPr="00E10347">
        <w:rPr>
          <w:rFonts w:ascii="Palatino Linotype" w:hAnsi="Palatino Linotype" w:cs="Times New Roman"/>
          <w:sz w:val="21"/>
          <w:szCs w:val="21"/>
        </w:rPr>
        <w:t xml:space="preserve"> Pero no todo es oral. Serán escritas la demanda,  la contestación, contrademanda y réplica, todos los documentos, informes, actas y muy especialmente la sentencia.  Porque todos ellos requieren ser documentados.</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 xml:space="preserve">El Código eliminó la preclusión, propio de la escritura, consistente en un conjunto de actos, ordenados y continuos, como forma de  crear un proceso por audiencias orales donde se conocen un conjunto de actividades a cumplir. </w:t>
      </w:r>
    </w:p>
    <w:p w:rsidR="002014CA" w:rsidRPr="00E10347" w:rsidRDefault="002014CA" w:rsidP="00E10347">
      <w:pPr>
        <w:shd w:val="clear" w:color="auto" w:fill="FFFFFF"/>
        <w:ind w:left="10" w:right="14" w:firstLine="648"/>
        <w:rPr>
          <w:rFonts w:ascii="Palatino Linotype" w:hAnsi="Palatino Linotype"/>
          <w:sz w:val="21"/>
          <w:szCs w:val="21"/>
        </w:rPr>
      </w:pPr>
      <w:r w:rsidRPr="00E10347">
        <w:rPr>
          <w:rFonts w:ascii="Palatino Linotype" w:hAnsi="Palatino Linotype"/>
          <w:sz w:val="21"/>
          <w:szCs w:val="21"/>
        </w:rPr>
        <w:t>El Código prevé el desarrollo de seis etapas fundamentales (Artículo 37.2) dentro de las audiencias orales:</w:t>
      </w:r>
    </w:p>
    <w:p w:rsidR="002014CA" w:rsidRPr="00E10347" w:rsidRDefault="002014CA" w:rsidP="00E83320">
      <w:pPr>
        <w:numPr>
          <w:ilvl w:val="0"/>
          <w:numId w:val="30"/>
        </w:numPr>
        <w:shd w:val="clear" w:color="auto" w:fill="FFFFFF"/>
        <w:ind w:left="1260" w:right="14" w:hanging="540"/>
        <w:jc w:val="both"/>
        <w:rPr>
          <w:rFonts w:ascii="Palatino Linotype" w:hAnsi="Palatino Linotype"/>
          <w:sz w:val="21"/>
          <w:szCs w:val="21"/>
        </w:rPr>
      </w:pPr>
      <w:r w:rsidRPr="00E10347">
        <w:rPr>
          <w:rFonts w:ascii="Palatino Linotype" w:hAnsi="Palatino Linotype"/>
          <w:sz w:val="21"/>
          <w:szCs w:val="21"/>
        </w:rPr>
        <w:t>La definición del contenido del proceso o el objeto mismo de la audiencia específica.</w:t>
      </w:r>
    </w:p>
    <w:p w:rsidR="002014CA" w:rsidRPr="00E10347" w:rsidRDefault="002014CA" w:rsidP="00E83320">
      <w:pPr>
        <w:numPr>
          <w:ilvl w:val="0"/>
          <w:numId w:val="31"/>
        </w:numPr>
        <w:shd w:val="clear" w:color="auto" w:fill="FFFFFF"/>
        <w:tabs>
          <w:tab w:val="left" w:pos="1162"/>
        </w:tabs>
        <w:ind w:right="14" w:firstLine="720"/>
        <w:jc w:val="both"/>
        <w:rPr>
          <w:rFonts w:ascii="Palatino Linotype" w:hAnsi="Palatino Linotype"/>
          <w:sz w:val="21"/>
          <w:szCs w:val="21"/>
        </w:rPr>
      </w:pPr>
      <w:r w:rsidRPr="00E10347">
        <w:rPr>
          <w:rFonts w:ascii="Palatino Linotype" w:hAnsi="Palatino Linotype"/>
          <w:sz w:val="21"/>
          <w:szCs w:val="21"/>
        </w:rPr>
        <w:t>La concliación.</w:t>
      </w:r>
    </w:p>
    <w:p w:rsidR="002014CA" w:rsidRPr="00E10347" w:rsidRDefault="002014CA" w:rsidP="00E83320">
      <w:pPr>
        <w:numPr>
          <w:ilvl w:val="0"/>
          <w:numId w:val="31"/>
        </w:numPr>
        <w:shd w:val="clear" w:color="auto" w:fill="FFFFFF"/>
        <w:tabs>
          <w:tab w:val="left" w:pos="0"/>
          <w:tab w:val="left" w:pos="1162"/>
        </w:tabs>
        <w:ind w:left="595" w:right="14" w:firstLine="125"/>
        <w:jc w:val="both"/>
        <w:rPr>
          <w:rFonts w:ascii="Palatino Linotype" w:hAnsi="Palatino Linotype"/>
          <w:sz w:val="21"/>
          <w:szCs w:val="21"/>
        </w:rPr>
      </w:pPr>
      <w:r w:rsidRPr="00E10347">
        <w:rPr>
          <w:rFonts w:ascii="Palatino Linotype" w:hAnsi="Palatino Linotype"/>
          <w:sz w:val="21"/>
          <w:szCs w:val="21"/>
        </w:rPr>
        <w:t>El saneamiento.</w:t>
      </w:r>
    </w:p>
    <w:p w:rsidR="002014CA" w:rsidRPr="00E10347" w:rsidRDefault="002014CA" w:rsidP="00E83320">
      <w:pPr>
        <w:numPr>
          <w:ilvl w:val="0"/>
          <w:numId w:val="31"/>
        </w:numPr>
        <w:shd w:val="clear" w:color="auto" w:fill="FFFFFF"/>
        <w:tabs>
          <w:tab w:val="left" w:pos="1162"/>
        </w:tabs>
        <w:ind w:left="595" w:right="14" w:firstLine="125"/>
        <w:jc w:val="both"/>
        <w:rPr>
          <w:rFonts w:ascii="Palatino Linotype" w:hAnsi="Palatino Linotype"/>
          <w:sz w:val="21"/>
          <w:szCs w:val="21"/>
        </w:rPr>
      </w:pPr>
      <w:r w:rsidRPr="00E10347">
        <w:rPr>
          <w:rFonts w:ascii="Palatino Linotype" w:hAnsi="Palatino Linotype"/>
          <w:sz w:val="21"/>
          <w:szCs w:val="21"/>
        </w:rPr>
        <w:t>La recepción de pruebas.</w:t>
      </w:r>
    </w:p>
    <w:p w:rsidR="002014CA" w:rsidRPr="00E10347" w:rsidRDefault="002014CA" w:rsidP="00E83320">
      <w:pPr>
        <w:numPr>
          <w:ilvl w:val="0"/>
          <w:numId w:val="31"/>
        </w:numPr>
        <w:shd w:val="clear" w:color="auto" w:fill="FFFFFF"/>
        <w:tabs>
          <w:tab w:val="left" w:pos="1162"/>
        </w:tabs>
        <w:ind w:left="1260" w:right="14" w:hanging="540"/>
        <w:jc w:val="both"/>
        <w:rPr>
          <w:rFonts w:ascii="Palatino Linotype" w:hAnsi="Palatino Linotype"/>
          <w:sz w:val="21"/>
          <w:szCs w:val="21"/>
        </w:rPr>
      </w:pPr>
      <w:r w:rsidRPr="00E10347">
        <w:rPr>
          <w:rFonts w:ascii="Palatino Linotype" w:hAnsi="Palatino Linotype"/>
          <w:sz w:val="21"/>
          <w:szCs w:val="21"/>
        </w:rPr>
        <w:t>Las conclusiones de los abogados o las partes.</w:t>
      </w:r>
    </w:p>
    <w:p w:rsidR="002014CA" w:rsidRPr="00E10347" w:rsidRDefault="002014CA" w:rsidP="00E83320">
      <w:pPr>
        <w:numPr>
          <w:ilvl w:val="0"/>
          <w:numId w:val="31"/>
        </w:numPr>
        <w:shd w:val="clear" w:color="auto" w:fill="FFFFFF"/>
        <w:tabs>
          <w:tab w:val="left" w:pos="1162"/>
        </w:tabs>
        <w:ind w:left="1350" w:right="14" w:hanging="630"/>
        <w:jc w:val="both"/>
        <w:rPr>
          <w:rFonts w:ascii="Palatino Linotype" w:hAnsi="Palatino Linotype"/>
          <w:sz w:val="21"/>
          <w:szCs w:val="21"/>
        </w:rPr>
      </w:pPr>
      <w:r w:rsidRPr="00E10347">
        <w:rPr>
          <w:rFonts w:ascii="Palatino Linotype" w:hAnsi="Palatino Linotype"/>
          <w:sz w:val="21"/>
          <w:szCs w:val="21"/>
        </w:rPr>
        <w:t>El dictado de la parte dispositiva de la sentencia.</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Aún cuando todos los asuntos se conocen y resuelven en audiencias, las dos más importantes son la Preliminar o de saneamiento y la Complementaria o de pruebas.</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 xml:space="preserve">La Audiencia Preliminar se concibió para el saneamiento Judicial, corrigiendo demanda, contestación y contrademanda, resolviendo todos los asuntos susceptibles de causar nulidades, se pronunciaba sobre las defensas previas y finalmente se admitía la prueba.  </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 xml:space="preserve">Con el proceso saneado se pasaba a la Audiencia Complementaria o de pruebas, donde las partes exponen brevemente el objeto del proceso con sus pretensiones o excepciones, se recibe la prueba admitida, se puede evacuar la ofrecida en esa misma audiencia y acogida por el Tribunal, se emiten conclusiones y se dicta sentencia.  </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 xml:space="preserve">Para apartarse del procedimentalismo excesivo y el formalismo desmedido, se inclina hacia las simplificaciones procesales  atendiendo siempre la técnica del proceso, redujo los recursos, eliminó los incidentes y previó el saneamiento,  impulsó la justicia pronta y cumplida por medio de su inteligibilidad y prontitud. </w:t>
      </w:r>
    </w:p>
    <w:p w:rsidR="002014CA" w:rsidRPr="00E10347" w:rsidRDefault="002014CA" w:rsidP="00E10347">
      <w:pPr>
        <w:jc w:val="both"/>
        <w:rPr>
          <w:rFonts w:ascii="Palatino Linotype" w:hAnsi="Palatino Linotype" w:cs="Times New Roman"/>
          <w:sz w:val="21"/>
          <w:szCs w:val="21"/>
        </w:rPr>
      </w:pPr>
      <w:r w:rsidRPr="00E10347">
        <w:rPr>
          <w:rFonts w:ascii="Palatino Linotype" w:eastAsia="Calibri" w:hAnsi="Palatino Linotype" w:cs="Times New Roman"/>
          <w:sz w:val="21"/>
          <w:szCs w:val="21"/>
        </w:rPr>
        <w:lastRenderedPageBreak/>
        <w:tab/>
        <w:t>Dejó a los Jueces el patrimonio en la teoría formal de la prueba. Rechazó el antiguo  sistema de la prueba legal o tarifada, por ser mecánico, riguroso e indispensable para la escritura.  La ideología en este tema viene sobre todo de la concepción austriaca de la libre valoración  y libre</w:t>
      </w:r>
      <w:r w:rsidRPr="00E10347">
        <w:rPr>
          <w:rFonts w:ascii="Palatino Linotype" w:hAnsi="Palatino Linotype" w:cs="Times New Roman"/>
          <w:sz w:val="21"/>
          <w:szCs w:val="21"/>
        </w:rPr>
        <w:t xml:space="preserve"> convicción judicial para darle real efectividad y vigencia al principio de la oralidad procesal. </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Correlativamente se imponen a las partes, sus abogados y sus pruebas obligaciones de transparencia, honradez y veracidad.  Porque el compromiso moral con la verdad no es un problema exclusivo de los Jueces o del Sistema de Administración de Justica, sino también de toda la Sociedad.   La filosofía de obligaciones éticas se vincula con la aspiración de una sana moralidad. Los deberes son:  a)  los de buena fe  lealtad procesal por ello ajustarán su conducta a la dignidad de la justicia, el respeto debido a los otros litigantes, considerándose como actos contrarios a la lealtad y cometidos en fraude procesal las demandas, incidentes o excepciones abusivas o reiterativas el ofrecimiento de prueba falsa o ilícita, el abuso del proceso, fraude procesal, la colusión y cualquier otra conducta desleal, ilícita o dilatoria;  b) uso racional del sistema, deberán encontrar satisfacción a sus pretensiones,  utilizando las vías  expresamente concebidas sin  abusar de ellas, al efecto no podrán promover procesos o incidentes, recursos y gestiones duplicados, innecesarios o dilatorios;  c)  cooperar con el sistema de administración de justicia, y la parte contraria.</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En cuanto a la valoración de la prueba el </w:t>
      </w:r>
      <w:r w:rsidRPr="00E10347">
        <w:rPr>
          <w:rFonts w:ascii="Palatino Linotype" w:hAnsi="Palatino Linotype" w:cs="Times New Roman"/>
          <w:b/>
          <w:sz w:val="21"/>
          <w:szCs w:val="21"/>
        </w:rPr>
        <w:t>Código Procesal General</w:t>
      </w:r>
      <w:r w:rsidRPr="00E10347">
        <w:rPr>
          <w:rFonts w:ascii="Palatino Linotype" w:hAnsi="Palatino Linotype" w:cs="Times New Roman"/>
          <w:sz w:val="21"/>
          <w:szCs w:val="21"/>
        </w:rPr>
        <w:t xml:space="preserve"> establece  el </w:t>
      </w:r>
      <w:r w:rsidRPr="00E10347">
        <w:rPr>
          <w:rFonts w:ascii="Palatino Linotype" w:hAnsi="Palatino Linotype" w:cs="Times New Roman"/>
          <w:b/>
          <w:sz w:val="21"/>
          <w:szCs w:val="21"/>
        </w:rPr>
        <w:t>principio del convencimiento judicial</w:t>
      </w:r>
      <w:r w:rsidRPr="00E10347">
        <w:rPr>
          <w:rFonts w:ascii="Palatino Linotype" w:hAnsi="Palatino Linotype" w:cs="Times New Roman"/>
          <w:sz w:val="21"/>
          <w:szCs w:val="21"/>
        </w:rPr>
        <w:t xml:space="preserve"> para el acercamiento lo más posible a la verdad real, sobre la investigación de la veracidad de los hechos sometidos en la demanda, contestación (así como eventuales contrademanda y réplica).  Y opera mediante el proceso oral con la evacuación de las probanzas admitidas y evacuadas delante del Tribunal .  </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El principio del convencimiento judicial constituye el método propio de la oralidad.  El cuadro fáctico, base para la posterior aplicación del Derecho sustantivo, se configura en hechos probados y no probados derivados del conjunto de las probanzas evacuadas en las audiencias a  las que los jueces acreditan certeza.  </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Y se denomina convencimiento judicial es porque las partes con las pruebas admitidas, aportadas y evacuadas, convencen, dentro del contradictorio de la prevalencia de sus pruebas sobre la contraria.  En tal sentido los jueces deben  expresar su convencimiento conforme a criterios de lógica, experiencia, ciencia y el correcto entendimiento humano.</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hAnsi="Palatino Linotype" w:cs="Times New Roman"/>
          <w:sz w:val="21"/>
          <w:szCs w:val="21"/>
        </w:rPr>
        <w:lastRenderedPageBreak/>
        <w:tab/>
        <w:t xml:space="preserve">Para tal efecto en la </w:t>
      </w:r>
      <w:r w:rsidRPr="00E10347">
        <w:rPr>
          <w:rFonts w:ascii="Palatino Linotype" w:hAnsi="Palatino Linotype" w:cs="Times New Roman"/>
          <w:b/>
          <w:sz w:val="21"/>
          <w:szCs w:val="21"/>
        </w:rPr>
        <w:t>valoración de las pruebas</w:t>
      </w:r>
      <w:r w:rsidRPr="00E10347">
        <w:rPr>
          <w:rFonts w:ascii="Palatino Linotype" w:hAnsi="Palatino Linotype" w:cs="Times New Roman"/>
          <w:sz w:val="21"/>
          <w:szCs w:val="21"/>
        </w:rPr>
        <w:t>, los juzgadores están obligados a expresar los fundamentos fácticos, jurídicos y de equidad de sus conclusiones  en la elaboración de su cuadro fáctico.  Para ello deberán indicar en el fallo las razones del porqué  unas pruebas, y otras no, le permitieron llegar a la credibilidad, de la apreciación conjunta  y armónica de las pruebas y las eventuales presunciones.</w:t>
      </w:r>
      <w:r w:rsidRPr="00E10347">
        <w:rPr>
          <w:rFonts w:ascii="Palatino Linotype" w:eastAsia="Calibri" w:hAnsi="Palatino Linotype" w:cs="Times New Roman"/>
          <w:sz w:val="21"/>
          <w:szCs w:val="21"/>
        </w:rPr>
        <w:t xml:space="preserve"> Para apartarse del procedimentalismo excesivo y el formalismo desmedido, se inclina hacia las simplificaciones procesales  atendiendo siempre la técnica del proceso, redujo los recursos, eliminó los incidentes y previó el saneamiento,  impulsó la justicia pronta y cumplida por medio de su inteligibilidad y prontitud. </w:t>
      </w:r>
    </w:p>
    <w:p w:rsidR="002014CA" w:rsidRPr="00E10347" w:rsidRDefault="002014CA" w:rsidP="00E10347">
      <w:pPr>
        <w:jc w:val="both"/>
        <w:rPr>
          <w:rFonts w:ascii="Palatino Linotype" w:hAnsi="Palatino Linotype" w:cs="Times New Roman"/>
          <w:sz w:val="21"/>
          <w:szCs w:val="21"/>
        </w:rPr>
      </w:pPr>
      <w:r w:rsidRPr="00E10347">
        <w:rPr>
          <w:rFonts w:ascii="Palatino Linotype" w:eastAsia="Calibri" w:hAnsi="Palatino Linotype" w:cs="Times New Roman"/>
          <w:sz w:val="21"/>
          <w:szCs w:val="21"/>
        </w:rPr>
        <w:tab/>
        <w:t>Dejó a los Jueces el patrimonio en la teoría formal de la prueba. Rechazó el antiguo  sistema de la prueba legal o tarifada, por ser mecánico, riguroso e indispensable para la escritura.  La ideología en este tema viene sobre todo de la concepción austriaca de la libre valoración  y libre</w:t>
      </w:r>
      <w:r w:rsidRPr="00E10347">
        <w:rPr>
          <w:rFonts w:ascii="Palatino Linotype" w:hAnsi="Palatino Linotype" w:cs="Times New Roman"/>
          <w:sz w:val="21"/>
          <w:szCs w:val="21"/>
        </w:rPr>
        <w:t xml:space="preserve"> convicción judicial para darle real efectividad y vigencia al principio de la oralidad procesal</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En síntesis el </w:t>
      </w:r>
      <w:r w:rsidRPr="00E10347">
        <w:rPr>
          <w:rFonts w:ascii="Palatino Linotype" w:hAnsi="Palatino Linotype" w:cs="Times New Roman"/>
          <w:b/>
          <w:sz w:val="21"/>
          <w:szCs w:val="21"/>
        </w:rPr>
        <w:t xml:space="preserve">Código Procesal General </w:t>
      </w:r>
      <w:r w:rsidRPr="00E10347">
        <w:rPr>
          <w:rFonts w:ascii="Palatino Linotype" w:hAnsi="Palatino Linotype" w:cs="Times New Roman"/>
          <w:sz w:val="21"/>
          <w:szCs w:val="21"/>
        </w:rPr>
        <w:t xml:space="preserve">destaca las siguientes características al admitir:  a) respeto del </w:t>
      </w:r>
      <w:r w:rsidRPr="00E10347">
        <w:rPr>
          <w:rFonts w:ascii="Palatino Linotype" w:hAnsi="Palatino Linotype" w:cs="Times New Roman"/>
          <w:b/>
          <w:sz w:val="21"/>
          <w:szCs w:val="21"/>
        </w:rPr>
        <w:t>principio dispositivo</w:t>
      </w:r>
      <w:r w:rsidRPr="00E10347">
        <w:rPr>
          <w:rFonts w:ascii="Palatino Linotype" w:hAnsi="Palatino Linotype" w:cs="Times New Roman"/>
          <w:sz w:val="21"/>
          <w:szCs w:val="21"/>
        </w:rPr>
        <w:t xml:space="preserve"> resguardando el poder irrestricto de las partes  de determinar el contenido de la discusión judicial, a través de la formalización de la etapa de la demanda en actos escritos y documentados, para corresponder al final del proceso con una sentencia también escrita y en forma de documento, b) establecimiento  la </w:t>
      </w:r>
      <w:r w:rsidRPr="00E10347">
        <w:rPr>
          <w:rFonts w:ascii="Palatino Linotype" w:hAnsi="Palatino Linotype" w:cs="Times New Roman"/>
          <w:b/>
          <w:sz w:val="21"/>
          <w:szCs w:val="21"/>
        </w:rPr>
        <w:t>oralidad procesal</w:t>
      </w:r>
      <w:r w:rsidRPr="00E10347">
        <w:rPr>
          <w:rFonts w:ascii="Palatino Linotype" w:hAnsi="Palatino Linotype" w:cs="Times New Roman"/>
          <w:sz w:val="21"/>
          <w:szCs w:val="21"/>
        </w:rPr>
        <w:t xml:space="preserve">   (con sus principios consustanciales de inmediatez, concentración, identidad física del Juzgador)  a través de un proceso por audiencias para permitir un contacto directo del juez con las partes y especialmente con las pruebas, en un ambiente de publicidad, para permitirle al juzgador un contacto más directo con la realidad, c)  declara como </w:t>
      </w:r>
      <w:r w:rsidRPr="00E10347">
        <w:rPr>
          <w:rFonts w:ascii="Palatino Linotype" w:hAnsi="Palatino Linotype" w:cs="Times New Roman"/>
          <w:b/>
          <w:sz w:val="21"/>
          <w:szCs w:val="21"/>
        </w:rPr>
        <w:t>principios incompatibles</w:t>
      </w:r>
      <w:r w:rsidRPr="00E10347">
        <w:rPr>
          <w:rFonts w:ascii="Palatino Linotype" w:hAnsi="Palatino Linotype" w:cs="Times New Roman"/>
          <w:sz w:val="21"/>
          <w:szCs w:val="21"/>
        </w:rPr>
        <w:t xml:space="preserve"> la escritura para la evacuación de las pruebas o en las audiencias, el principio inquisitivo para evitar arbitrariedades de los jueces e impulsar un proceso más democrático, la mediación porque es prohibido confiar a otros tribunales la recepción de pruebas o actos propios de las audiencias ;  d)  </w:t>
      </w:r>
      <w:r w:rsidRPr="00E10347">
        <w:rPr>
          <w:rFonts w:ascii="Palatino Linotype" w:hAnsi="Palatino Linotype" w:cs="Times New Roman"/>
          <w:b/>
          <w:sz w:val="21"/>
          <w:szCs w:val="21"/>
        </w:rPr>
        <w:t xml:space="preserve">eliminación de todo tipo de formalismos procesales innecesarios </w:t>
      </w:r>
      <w:r w:rsidRPr="00E10347">
        <w:rPr>
          <w:rFonts w:ascii="Palatino Linotype" w:hAnsi="Palatino Linotype" w:cs="Times New Roman"/>
          <w:sz w:val="21"/>
          <w:szCs w:val="21"/>
        </w:rPr>
        <w:t xml:space="preserve">(cono incidentes)  </w:t>
      </w:r>
      <w:r w:rsidRPr="00E10347">
        <w:rPr>
          <w:rFonts w:ascii="Palatino Linotype" w:hAnsi="Palatino Linotype" w:cs="Times New Roman"/>
          <w:b/>
          <w:sz w:val="21"/>
          <w:szCs w:val="21"/>
        </w:rPr>
        <w:t xml:space="preserve">y limitación de muchos otros </w:t>
      </w:r>
      <w:r w:rsidRPr="00E10347">
        <w:rPr>
          <w:rFonts w:ascii="Palatino Linotype" w:hAnsi="Palatino Linotype" w:cs="Times New Roman"/>
          <w:sz w:val="21"/>
          <w:szCs w:val="21"/>
        </w:rPr>
        <w:t xml:space="preserve"> (como recursos, articulación, y discusiones innecesarias), para permitir la simplicidad y la celeridad, entendiendo siempre al proceso como un sistema dotado de técnicas jurídicas y procesales de obligatorio cumplimiento en la forma y el tiempo establecido por el orden procesal;  e)  para la buena marcha del sistema de administración de justicia, como interés de toda la </w:t>
      </w:r>
      <w:r w:rsidRPr="00E10347">
        <w:rPr>
          <w:rFonts w:ascii="Palatino Linotype" w:hAnsi="Palatino Linotype" w:cs="Times New Roman"/>
          <w:sz w:val="21"/>
          <w:szCs w:val="21"/>
        </w:rPr>
        <w:lastRenderedPageBreak/>
        <w:t xml:space="preserve">Sociedad,  </w:t>
      </w:r>
      <w:r w:rsidRPr="00E10347">
        <w:rPr>
          <w:rFonts w:ascii="Palatino Linotype" w:hAnsi="Palatino Linotype" w:cs="Times New Roman"/>
          <w:b/>
          <w:sz w:val="21"/>
          <w:szCs w:val="21"/>
        </w:rPr>
        <w:t>impone a las partes obligaciones</w:t>
      </w:r>
      <w:r w:rsidRPr="00E10347">
        <w:rPr>
          <w:rFonts w:ascii="Palatino Linotype" w:hAnsi="Palatino Linotype" w:cs="Times New Roman"/>
          <w:sz w:val="21"/>
          <w:szCs w:val="21"/>
        </w:rPr>
        <w:t xml:space="preserve"> de buena fe y probidad, uso racional del sistema, y cooperación con el sistema judicial  y la parte contraria; y, f)  establecimiento del </w:t>
      </w:r>
      <w:r w:rsidRPr="00E10347">
        <w:rPr>
          <w:rFonts w:ascii="Palatino Linotype" w:hAnsi="Palatino Linotype" w:cs="Times New Roman"/>
          <w:b/>
          <w:sz w:val="21"/>
          <w:szCs w:val="21"/>
        </w:rPr>
        <w:t>principio del convencimiento judicial</w:t>
      </w:r>
      <w:r w:rsidRPr="00E10347">
        <w:rPr>
          <w:rFonts w:ascii="Palatino Linotype" w:hAnsi="Palatino Linotype" w:cs="Times New Roman"/>
          <w:sz w:val="21"/>
          <w:szCs w:val="21"/>
        </w:rPr>
        <w:t xml:space="preserve"> para la averiguación de la verdad real,  sin sujeción estricta a valores predeterminados en la ley sobre cada una de las pruebas, para permitirle al juez señalar la realidad de los hechos investigados. </w:t>
      </w:r>
    </w:p>
    <w:p w:rsidR="00B600D3" w:rsidRDefault="00B600D3" w:rsidP="00E10347">
      <w:pPr>
        <w:jc w:val="both"/>
        <w:rPr>
          <w:rFonts w:ascii="Palatino Linotype" w:hAnsi="Palatino Linotype" w:cs="Times New Roman"/>
          <w:b/>
          <w:sz w:val="21"/>
          <w:szCs w:val="21"/>
        </w:rPr>
      </w:pPr>
    </w:p>
    <w:p w:rsidR="002014CA" w:rsidRPr="00E10347" w:rsidRDefault="002014CA"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 xml:space="preserve">15.  </w:t>
      </w:r>
      <w:r w:rsidRPr="00E10347">
        <w:rPr>
          <w:rFonts w:ascii="Palatino Linotype" w:hAnsi="Palatino Linotype"/>
          <w:b/>
          <w:sz w:val="21"/>
          <w:szCs w:val="21"/>
        </w:rPr>
        <w:tab/>
      </w:r>
      <w:r w:rsidRPr="00E10347">
        <w:rPr>
          <w:rFonts w:ascii="Palatino Linotype" w:hAnsi="Palatino Linotype" w:cs="Times New Roman"/>
          <w:b/>
          <w:sz w:val="21"/>
          <w:szCs w:val="21"/>
        </w:rPr>
        <w:t>EL CÓDIGO PROCESAL CONTENCIOSO ADMINISTRATIVO, LEY N° 8508 DEL 24 DE ABRIL DEL 2006 VIGENTE DESDE EL 1º DE ENERO DEL 2008.</w:t>
      </w:r>
    </w:p>
    <w:p w:rsidR="002014CA" w:rsidRPr="00E10347" w:rsidRDefault="002014CA" w:rsidP="00E10347">
      <w:pPr>
        <w:ind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El </w:t>
      </w:r>
      <w:r w:rsidRPr="00E10347">
        <w:rPr>
          <w:rFonts w:ascii="Palatino Linotype" w:hAnsi="Palatino Linotype" w:cs="Times New Roman"/>
          <w:b/>
          <w:sz w:val="21"/>
          <w:szCs w:val="21"/>
        </w:rPr>
        <w:t>Código Procesal Contencioso Administrativo</w:t>
      </w:r>
      <w:r w:rsidRPr="00E10347">
        <w:rPr>
          <w:rFonts w:ascii="Palatino Linotype" w:hAnsi="Palatino Linotype" w:cs="Times New Roman"/>
          <w:sz w:val="21"/>
          <w:szCs w:val="21"/>
        </w:rPr>
        <w:t xml:space="preserve">,  constituye un hito legislativo histórico en todo el largo proceso de Modernización de la Administración de Justicia en Costa Rica.  </w:t>
      </w:r>
    </w:p>
    <w:p w:rsidR="002014CA" w:rsidRPr="00E10347" w:rsidRDefault="002014CA" w:rsidP="00E10347">
      <w:pPr>
        <w:ind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Inicialmente una comisión comenzó a trabajar en 1989, para impulsar un Proyecto de Código Procesal Contencioso  con el modelo de otro proyecto, basado en la escritura como la Ley  Reguladora de la Jurisdicción Contencioso administrativa, escrita, de la Universidad de Henares, redactado para el Partido Socialista Español.  Pero como el Proyecto no tuvo éxito, por el triunfo del Partido Popular, y porque varios administrativistas llamados a la Comisión de Oralidad conocieron el rumbo de la oralidad procesal,  lograron en la Comisión impulsar un proyecto similar al </w:t>
      </w:r>
      <w:r w:rsidRPr="00E10347">
        <w:rPr>
          <w:rFonts w:ascii="Palatino Linotype" w:hAnsi="Palatino Linotype" w:cs="Times New Roman"/>
          <w:b/>
          <w:sz w:val="21"/>
          <w:szCs w:val="21"/>
        </w:rPr>
        <w:t>Código Procesal General</w:t>
      </w:r>
      <w:r w:rsidRPr="00E10347">
        <w:rPr>
          <w:rFonts w:ascii="Palatino Linotype" w:hAnsi="Palatino Linotype" w:cs="Times New Roman"/>
          <w:sz w:val="21"/>
          <w:szCs w:val="21"/>
        </w:rPr>
        <w:t>, con la inmensa diferencia de que el primero fue aprobado por la Asamblea Legislativa y el Procesal General nunca llegó a tener éxito por las razones que se explicarán más adelante.</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El nuevo modelo, fundado en la oralidad, es el más original y mejor concebido  de su tipo en todo el Continente.  Solo podría ser equiparado a su gemela, la Ordenanza alemana del contencioso administrativo, de 1996, heredera de la gran experiencia y tradición en oralidad que viene desde el</w:t>
      </w:r>
      <w:r w:rsidRPr="00E10347">
        <w:rPr>
          <w:rFonts w:ascii="Palatino Linotype" w:hAnsi="Palatino Linotype" w:cs="Times New Roman"/>
          <w:b/>
          <w:i/>
          <w:sz w:val="21"/>
          <w:szCs w:val="21"/>
          <w:u w:val="single"/>
        </w:rPr>
        <w:t xml:space="preserve"> </w:t>
      </w:r>
      <w:r w:rsidRPr="00E10347">
        <w:rPr>
          <w:rFonts w:ascii="Palatino Linotype" w:hAnsi="Palatino Linotype" w:cs="Times New Roman"/>
          <w:b/>
          <w:i/>
          <w:sz w:val="21"/>
          <w:szCs w:val="21"/>
        </w:rPr>
        <w:t>Civilprozessordnung</w:t>
      </w:r>
      <w:r w:rsidRPr="00E10347">
        <w:rPr>
          <w:rFonts w:ascii="Palatino Linotype" w:hAnsi="Palatino Linotype" w:cs="Times New Roman"/>
          <w:sz w:val="21"/>
          <w:szCs w:val="21"/>
        </w:rPr>
        <w:t xml:space="preserve"> de 1877. </w:t>
      </w:r>
    </w:p>
    <w:p w:rsidR="002014CA" w:rsidRPr="00E10347" w:rsidRDefault="002014CA" w:rsidP="00E10347">
      <w:pPr>
        <w:ind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Superó al Còdigo General del Proceso uruguayo, de 1988, porque en él solo se previó la oralidad en primera instancia, y creó una segunda escrita.  Es mejor que la Ley Española, de 1999, porque en España no hay oralidad real, ni siquiera en ciertos procesos introducidos con la Ley de Enjuiciamiento Civil del 2000.  Tiene mucho de los </w:t>
      </w:r>
      <w:r w:rsidRPr="00E10347">
        <w:rPr>
          <w:rFonts w:ascii="Palatino Linotype" w:hAnsi="Palatino Linotype" w:cs="Times New Roman"/>
          <w:b/>
          <w:i/>
          <w:sz w:val="21"/>
          <w:szCs w:val="21"/>
        </w:rPr>
        <w:t>Tribunali amministrativi regionali</w:t>
      </w:r>
      <w:r w:rsidRPr="00E10347">
        <w:rPr>
          <w:rFonts w:ascii="Palatino Linotype" w:hAnsi="Palatino Linotype" w:cs="Times New Roman"/>
          <w:sz w:val="21"/>
          <w:szCs w:val="21"/>
        </w:rPr>
        <w:t>, pero posiblemente los supera.</w:t>
      </w:r>
    </w:p>
    <w:p w:rsidR="002014CA" w:rsidRPr="00E10347" w:rsidRDefault="002014CA" w:rsidP="00E10347">
      <w:pPr>
        <w:ind w:firstLine="708"/>
        <w:jc w:val="both"/>
        <w:rPr>
          <w:rFonts w:ascii="Palatino Linotype" w:hAnsi="Palatino Linotype" w:cs="Times New Roman"/>
          <w:sz w:val="21"/>
          <w:szCs w:val="21"/>
        </w:rPr>
      </w:pPr>
      <w:r w:rsidRPr="00E10347">
        <w:rPr>
          <w:rFonts w:ascii="Palatino Linotype" w:hAnsi="Palatino Linotype" w:cs="Times New Roman"/>
          <w:sz w:val="21"/>
          <w:szCs w:val="21"/>
        </w:rPr>
        <w:t>Los contenciosos duraron siempre muchos años, ahora son  conocidos  en tiempos relativamente menores.  Esto tiene una explicación filosófica y política, haber abandonado el sistema formal, imperdonablemente lento de la escritura.</w:t>
      </w:r>
    </w:p>
    <w:p w:rsidR="002014CA" w:rsidRPr="00E10347" w:rsidRDefault="002014CA" w:rsidP="00E10347">
      <w:pPr>
        <w:ind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El nuevo Còdigo optó por los principios de oralidad, inmediatez, </w:t>
      </w:r>
      <w:r w:rsidRPr="00E10347">
        <w:rPr>
          <w:rFonts w:ascii="Palatino Linotype" w:hAnsi="Palatino Linotype" w:cs="Times New Roman"/>
          <w:sz w:val="21"/>
          <w:szCs w:val="21"/>
        </w:rPr>
        <w:lastRenderedPageBreak/>
        <w:t xml:space="preserve">concentración, identidad física del juzgador, contradictorio, sana crítica. Pretende acercar la demanda a la sentencia, ser más humano, más rápido, menos formalista, más àgil.  </w:t>
      </w:r>
    </w:p>
    <w:p w:rsidR="002014CA" w:rsidRPr="00E10347" w:rsidRDefault="002014CA" w:rsidP="00E10347">
      <w:pPr>
        <w:ind w:firstLine="708"/>
        <w:jc w:val="both"/>
        <w:rPr>
          <w:rFonts w:ascii="Palatino Linotype" w:hAnsi="Palatino Linotype" w:cs="Times New Roman"/>
          <w:sz w:val="21"/>
          <w:szCs w:val="21"/>
        </w:rPr>
      </w:pPr>
      <w:r w:rsidRPr="00E10347">
        <w:rPr>
          <w:rFonts w:ascii="Palatino Linotype" w:hAnsi="Palatino Linotype" w:cs="Times New Roman"/>
          <w:sz w:val="21"/>
          <w:szCs w:val="21"/>
        </w:rPr>
        <w:t>Es oral porque la actividad procesal se realiza mediante audiencias.  En ellas se cumplen un conjunto de tareas previstas por el Código que los Jueces del Tribunal Contencioso pueden ir adecuando de conformidad a particularidades y diferencias de los procesos.  Por eso se dice doctrinariamente que "la audiencia se va conformando en el momento.</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 xml:space="preserve"> </w:t>
      </w:r>
      <w:r w:rsidRPr="00E10347">
        <w:rPr>
          <w:rFonts w:ascii="Palatino Linotype" w:hAnsi="Palatino Linotype" w:cs="Times New Roman"/>
          <w:sz w:val="21"/>
          <w:szCs w:val="21"/>
        </w:rPr>
        <w:tab/>
        <w:t>Actualmente han desaparecido los expedientes tradicionales, de papel, porque han sido sustituidos por el expediente digital, cuyo acceso pueden tener las partes desde sus oficinas sin necesidad de comparecer al Tribunal.  Entonces a las audiencias los abogados van con sus computadores personales llevando ahí la totalidad del expediente.</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Existe un solo Tribunal Contencioso Administrativo, ubicado en San José.  Para la tramitación de los contenciosos y los civiles de Hacienda la Audiencia Preliminar es responsabilidad de Jueces Tramitadores.  La Audiencia Complementaria es conocida por Secciones de Juicio conformado por Tribunales colegiados de tres jueces.  Existen dos secciones de Apelaciones también colegiadas.  Hay un Tribunal de  Casación y la Casación misma de la Sala Primera.  Y por su parte con la misma nomenclatura de  Tribunal Contencioso hay jueces conciliadores y ejecutores.   </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El mayor aporte de la jurisdicción contencioso administrativa a todo el Sistema Judicial, cuyo seguimiento debería ser obligatorio en todos los demás intentos de nuevas normativas procesales, radica en la política de organización del tribunales, idóneo para la oralidad.</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El Código no derogó la Ley Reguladora de la Jurisdicción contencioso Administrativa y por tal en el contencioso quedaron un conjunto de jueces encargados de terminar todos los procesos pendientes con el Juzgado Contencioso Administrativo y el Tribunal Contencioso Administrativo.</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Con el Código se creó un único Tribunal Contencioso Administrativo, con la previsión de que en un futuro podría establecerse otro  u otros fuera de San José, donde hay diferentes tipos de Jueces.  Jueces Tramitadores para la Audiencia Preliminar, de Juicio para la Audiencia Complementaria, Secciones de Apelaciones para ese recurso, Jueces conciliadores, de ejecución, e incluso un Tribunal de Casación para los casos de su competencia.  El Recurso de Casación contra las </w:t>
      </w:r>
      <w:r w:rsidRPr="00E10347">
        <w:rPr>
          <w:rFonts w:ascii="Palatino Linotype" w:hAnsi="Palatino Linotype" w:cs="Times New Roman"/>
          <w:sz w:val="21"/>
          <w:szCs w:val="21"/>
        </w:rPr>
        <w:lastRenderedPageBreak/>
        <w:t>sentencias definitivas dictadas por las Secciones de Juicio es conocido por la Sala Primera de Casación de la Corte Suprema de Justicia.</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La Audiencia Preliminar se realiza en el Tribunal Contencioso Administrativo bajo la responsabilidad de un Juez Tramitador. En concurso con las partes el Tribunal, después de darse traslado a la demanda y ser contestada,  conoce y resuelve nulidades, se corrigen errores, se pronuncia sobre defensas previas,  se examinan los hechos controvertidos para admitir prueba, y se pasa el expediente, completamente saneado,  para que el Tribunal Contencioso disponga su conocimiento por alguna de las seis Secciones para la realizar la siguiente audiencia. </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La </w:t>
      </w:r>
      <w:r w:rsidRPr="00E10347">
        <w:rPr>
          <w:rFonts w:ascii="Palatino Linotype" w:hAnsi="Palatino Linotype" w:cs="Times New Roman"/>
          <w:b/>
          <w:sz w:val="21"/>
          <w:szCs w:val="21"/>
        </w:rPr>
        <w:t>Audiencia Complementaria</w:t>
      </w:r>
      <w:r w:rsidRPr="00E10347">
        <w:rPr>
          <w:rFonts w:ascii="Palatino Linotype" w:hAnsi="Palatino Linotype" w:cs="Times New Roman"/>
          <w:sz w:val="21"/>
          <w:szCs w:val="21"/>
        </w:rPr>
        <w:t xml:space="preserve"> también realizada por el mismo Tribunal Contencioso Administrativo es conocido por Tribunales Colegiados.  La audiencia es  llamada también por el Código  como “</w:t>
      </w:r>
      <w:r w:rsidRPr="00E10347">
        <w:rPr>
          <w:rFonts w:ascii="Palatino Linotype" w:hAnsi="Palatino Linotype" w:cs="Times New Roman"/>
          <w:b/>
          <w:sz w:val="21"/>
          <w:szCs w:val="21"/>
        </w:rPr>
        <w:t>juicio oral y público</w:t>
      </w:r>
      <w:r w:rsidRPr="00E10347">
        <w:rPr>
          <w:rFonts w:ascii="Palatino Linotype" w:hAnsi="Palatino Linotype" w:cs="Times New Roman"/>
          <w:sz w:val="21"/>
          <w:szCs w:val="21"/>
        </w:rPr>
        <w:t>”.   Esta Audiencia para tener éxito requiere de un profundo conocimiento del Tribunal del caso, y es dirigida por quien preside.  Al inicio el Tribunal autoriza a las partes para exponer brevemente el caso con sus pretensiones, luego se evacùa la prueba ofrecidas por las partes (interrogadas en su orden por los proponentes, por la contraria y los  jueces), y al finalizar los abogados emiten sus conclusiones en cuanto a las pruebas y el derecho sustantivo.  Al final el Tribunal se retira a deliberar para el dictado oral de la sentencia en un plazo breve.  Empero en la práctica los Jueces alegan tratarse de un caso complejo gozando de 15 días para el dictado escrito del fallo.</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Hay muchas otras tipos de audiencias.  El Juez las convoca libremente, como para resolver medidas cautelares o la conciliación.</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Contra la sentencia dictada por el Tribunal cabe el recurso de casación.  Técnicamente el Código fue concebido para cumplir  con la oralidad incluso en una audiencia en la Sala Primera para discutir el recurso.  Empero tal audiencia fue eliminado para dejar como escrita esta etapa, es decir rompiendo con la oralidad a nivel casacional.</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También hay un Tribunal de Casación, diferente al de la Sala, encargado de conocer una serie de asuntos distintos a la sentencia definitiva. </w:t>
      </w:r>
    </w:p>
    <w:p w:rsidR="002014CA" w:rsidRPr="00E10347" w:rsidRDefault="002014CA" w:rsidP="00E10347">
      <w:pPr>
        <w:ind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La aspiración de la celeridad  en la Audiencia Preliminar con la corrección de las demandas previo a darle curso,  para el traslado se fijo un plazo de 15 días, pudiendo notificarse este y cualquier otra resolución cuando sea personal por medio de Notarios Públicos, amén de los sistemas establecidos de las Oficinas Centralizadas de notificaciones, las medidas cautelares deberían resolverse acto seguido,  o convocando a una audiencia para su discusión.  Empero la cantidad de </w:t>
      </w:r>
      <w:r w:rsidRPr="00E10347">
        <w:rPr>
          <w:rFonts w:ascii="Palatino Linotype" w:hAnsi="Palatino Linotype" w:cs="Times New Roman"/>
          <w:sz w:val="21"/>
          <w:szCs w:val="21"/>
        </w:rPr>
        <w:lastRenderedPageBreak/>
        <w:t>procesos planteados va en un aumento considerable, y pese a tener muchos jueces el Tribunal, en algunos aspectos ha colapsado sobre todo  con la lentitud en las resoluciones escritas y en la dilación para la fijación de hora y fecha para las audiencias (entre otros motivos porque existen salas de juicio grandes, cuando debieron de construirse en un número mayor y con menor espacio).</w:t>
      </w:r>
    </w:p>
    <w:p w:rsidR="002014CA" w:rsidRPr="00E10347" w:rsidRDefault="002014CA" w:rsidP="00E10347">
      <w:pPr>
        <w:ind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En la </w:t>
      </w:r>
      <w:r w:rsidRPr="00E10347">
        <w:rPr>
          <w:rFonts w:ascii="Palatino Linotype" w:hAnsi="Palatino Linotype" w:cs="Times New Roman"/>
          <w:b/>
          <w:sz w:val="21"/>
          <w:szCs w:val="21"/>
        </w:rPr>
        <w:t>valoración de la prueba</w:t>
      </w:r>
      <w:r w:rsidRPr="00E10347">
        <w:rPr>
          <w:rFonts w:ascii="Palatino Linotype" w:hAnsi="Palatino Linotype" w:cs="Times New Roman"/>
          <w:sz w:val="21"/>
          <w:szCs w:val="21"/>
        </w:rPr>
        <w:t xml:space="preserve">  el Código Procesal Contencioso Administrativo  no adoptó el principio de la libre valoración o del convencimiento</w:t>
      </w:r>
      <w:r w:rsidRPr="00E10347">
        <w:rPr>
          <w:rFonts w:ascii="Palatino Linotype" w:hAnsi="Palatino Linotype" w:cs="Times New Roman"/>
          <w:b/>
          <w:sz w:val="21"/>
          <w:szCs w:val="21"/>
        </w:rPr>
        <w:t xml:space="preserve"> judicial en forma expresa. </w:t>
      </w:r>
      <w:r w:rsidRPr="00E10347">
        <w:rPr>
          <w:rFonts w:ascii="Palatino Linotype" w:hAnsi="Palatino Linotype" w:cs="Times New Roman"/>
          <w:sz w:val="21"/>
          <w:szCs w:val="21"/>
        </w:rPr>
        <w:t xml:space="preserve">Sus redactores lo mantuvieron el criterio de la apreciación de la prueba con base en </w:t>
      </w:r>
      <w:r w:rsidRPr="00E10347">
        <w:rPr>
          <w:rFonts w:ascii="Palatino Linotype" w:hAnsi="Palatino Linotype" w:cs="Times New Roman"/>
          <w:b/>
          <w:sz w:val="21"/>
          <w:szCs w:val="21"/>
        </w:rPr>
        <w:t>las reglas de la sana crítica</w:t>
      </w:r>
      <w:r w:rsidRPr="00E10347">
        <w:rPr>
          <w:rFonts w:ascii="Palatino Linotype" w:hAnsi="Palatino Linotype" w:cs="Times New Roman"/>
          <w:sz w:val="21"/>
          <w:szCs w:val="21"/>
        </w:rPr>
        <w:t xml:space="preserve"> cuya objeción, censura o ataque es su  limitación en la interpretación generalmente de Casación, como acontece con la escritura, donde se sigue un sistema restrictivo consistente en comprender la sana crítica como la valoración en conjunto de todas las pruebas.  </w:t>
      </w:r>
    </w:p>
    <w:p w:rsidR="002014CA" w:rsidRPr="00E10347" w:rsidRDefault="002014CA" w:rsidP="00E10347">
      <w:pPr>
        <w:ind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Y la desaprobación deriva del reproche de originarse en un sistema denominado por alguna parte de la jurisprudencia como intermedio, pues trata de remediar el criterio arcaico de la prueba tarifada o tasada, solo aplicable cuando los Jueces encargados de evacuar y valorar la prueba llegan a determinados criterios como consecuencia del análisis de todo el elemento probatorio. </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Hoy día debe asumirse un pensamiento más amplio de</w:t>
      </w:r>
      <w:r w:rsidRPr="00E10347">
        <w:rPr>
          <w:rFonts w:ascii="Palatino Linotype" w:hAnsi="Palatino Linotype" w:cs="Times New Roman"/>
          <w:b/>
          <w:sz w:val="21"/>
          <w:szCs w:val="21"/>
        </w:rPr>
        <w:t xml:space="preserve"> la sana </w:t>
      </w:r>
      <w:r w:rsidRPr="00E10347">
        <w:rPr>
          <w:rFonts w:ascii="Palatino Linotype" w:hAnsi="Palatino Linotype" w:cs="Times New Roman"/>
          <w:sz w:val="21"/>
          <w:szCs w:val="21"/>
        </w:rPr>
        <w:t>crítica pues también puede ser comprendida como</w:t>
      </w:r>
      <w:r w:rsidRPr="00E10347">
        <w:rPr>
          <w:rFonts w:ascii="Palatino Linotype" w:hAnsi="Palatino Linotype" w:cs="Times New Roman"/>
          <w:b/>
          <w:sz w:val="21"/>
          <w:szCs w:val="21"/>
        </w:rPr>
        <w:t xml:space="preserve">  Principio de la libre valoración o del convencimiento judicial</w:t>
      </w:r>
      <w:r w:rsidRPr="00E10347">
        <w:rPr>
          <w:rFonts w:ascii="Palatino Linotype" w:hAnsi="Palatino Linotype" w:cs="Times New Roman"/>
          <w:sz w:val="21"/>
          <w:szCs w:val="21"/>
        </w:rPr>
        <w:t>.  Con esto se aparte del arcaico sistema tarifario o de tasación de las pruebas propias de la escritura medieval.</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Si se denomina convencimiento judicial es porque las partes con las pruebas admitidas, aportadas y evacuadas, convencen, dentro del contradictorio,  de la prevalencia de sus pruebas sobre la contraria.  En tal sentido los jueces deben  llegar a su convencimiento conforme a criterios de lógica, experiencia, ciencia y el correcto entendimiento humano.</w:t>
      </w:r>
    </w:p>
    <w:p w:rsidR="002014CA" w:rsidRPr="00E10347" w:rsidRDefault="002014CA" w:rsidP="00E10347">
      <w:pPr>
        <w:ind w:firstLine="708"/>
        <w:jc w:val="both"/>
        <w:rPr>
          <w:rFonts w:ascii="Palatino Linotype" w:eastAsia="Calibri" w:hAnsi="Palatino Linotype" w:cs="Times New Roman"/>
          <w:sz w:val="21"/>
          <w:szCs w:val="21"/>
        </w:rPr>
      </w:pPr>
      <w:r w:rsidRPr="00E10347">
        <w:rPr>
          <w:rFonts w:ascii="Palatino Linotype" w:hAnsi="Palatino Linotype" w:cs="Times New Roman"/>
          <w:sz w:val="21"/>
          <w:szCs w:val="21"/>
        </w:rPr>
        <w:t>Para tal efecto en la valoración de las pruebas, los juzgadores están obligados a expresar los fundamentos fácticos, jurídicos y de equidad de sus conclusiones  en la elaboración de su cuadro fáctico.  Para ello deberán indicar en el fallo las razones del porqué  unas pruebas sí, y otras no, le permitieron llegar a la credibilidad, de la apreciación conjunta  y armónica de las pruebas y las eventuales presunciones.</w:t>
      </w:r>
      <w:r w:rsidRPr="00E10347">
        <w:rPr>
          <w:rFonts w:ascii="Palatino Linotype" w:eastAsia="Calibri" w:hAnsi="Palatino Linotype" w:cs="Times New Roman"/>
          <w:sz w:val="21"/>
          <w:szCs w:val="21"/>
        </w:rPr>
        <w:t xml:space="preserve"> </w:t>
      </w:r>
    </w:p>
    <w:p w:rsidR="002014CA" w:rsidRPr="00E10347" w:rsidRDefault="002014CA" w:rsidP="00E10347">
      <w:pPr>
        <w:ind w:firstLine="708"/>
        <w:jc w:val="both"/>
        <w:rPr>
          <w:rFonts w:ascii="Palatino Linotype" w:hAnsi="Palatino Linotype" w:cs="Times New Roman"/>
          <w:sz w:val="21"/>
          <w:szCs w:val="21"/>
        </w:rPr>
      </w:pPr>
      <w:r w:rsidRPr="00E10347">
        <w:rPr>
          <w:rFonts w:ascii="Palatino Linotype" w:eastAsia="Calibri" w:hAnsi="Palatino Linotype" w:cs="Times New Roman"/>
          <w:sz w:val="21"/>
          <w:szCs w:val="21"/>
        </w:rPr>
        <w:t xml:space="preserve">Para apartarse del procedimentalismo excesivo y el formalismo desmedido, se inclina hacia las simplificaciones procesales  atendiendo siempre la técnica del proceso, redujo los recursos, eliminó los incidentes y previó el saneamiento,  </w:t>
      </w:r>
      <w:r w:rsidRPr="00E10347">
        <w:rPr>
          <w:rFonts w:ascii="Palatino Linotype" w:eastAsia="Calibri" w:hAnsi="Palatino Linotype" w:cs="Times New Roman"/>
          <w:sz w:val="21"/>
          <w:szCs w:val="21"/>
        </w:rPr>
        <w:lastRenderedPageBreak/>
        <w:t>impulsó la justicia pronta y cumplida por medio de su inteligibilidad y prontitud.</w:t>
      </w:r>
    </w:p>
    <w:p w:rsidR="002014CA" w:rsidRPr="00E10347" w:rsidRDefault="002014CA" w:rsidP="00E10347">
      <w:pPr>
        <w:ind w:firstLine="708"/>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El exitoso proceso contencioso administrativo ha comenzado a sentir los bastones debajo de las ruedas, escriturizándolo en algunos aspectos. Lo comenzó a escriturar la Sala Primera eliminado la audiencia para el recurso de casación, y obligado a los Tribunales de Juicio a emiatir sus sentencias por escrito y no oralmente como en un principio.  En este segundo aspecto a  la Sala se le da razón porque para los recurrentes, recurridos y la misma Sala es casi imposible oponerlo, combatirlo o resolverlo si para ello los Magistrados, en buena teoría, debieran conocer el caso a través de las videograbaciones (incluso para conocer todas las vicisitudes del juicio)  cuyo registro no se consagra en la sentencia sino también  en la valoración de la prueba y los argumentos de las partes.</w:t>
      </w:r>
    </w:p>
    <w:p w:rsidR="002014CA" w:rsidRPr="00E10347" w:rsidRDefault="002014CA" w:rsidP="00E10347">
      <w:pPr>
        <w:ind w:firstLine="708"/>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 xml:space="preserve">En conflictos de competencia de lo contencioso con otras materias, también se aplica la escritura con gran lentitud, sobre todo cuando llega también a la Sala Primera donde está durando más de un año en resolverlas. </w:t>
      </w:r>
    </w:p>
    <w:p w:rsidR="002014CA" w:rsidRPr="00E10347" w:rsidRDefault="002014CA" w:rsidP="00E10347">
      <w:pPr>
        <w:ind w:firstLine="708"/>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 xml:space="preserve">Por otro lado, y esto es lo más grave, en la nueva jurisdicción contenciosa administrativa los procesos comienza a convertirse en procesos lentos, según aducen sus jueces, por el gigantesco acceso a este tipo de justicia por los ciudadanos traducido en un gran atraso a nivel de Jueces Tramitadores y  los de Juicio.  </w:t>
      </w:r>
    </w:p>
    <w:p w:rsidR="00B600D3" w:rsidRDefault="00B600D3" w:rsidP="00E10347">
      <w:pPr>
        <w:jc w:val="both"/>
        <w:rPr>
          <w:rFonts w:ascii="Palatino Linotype" w:hAnsi="Palatino Linotype" w:cs="Times New Roman"/>
          <w:b/>
          <w:sz w:val="21"/>
          <w:szCs w:val="21"/>
        </w:rPr>
      </w:pPr>
    </w:p>
    <w:p w:rsidR="002014CA" w:rsidRPr="00E10347" w:rsidRDefault="002014CA"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16</w:t>
      </w:r>
      <w:r w:rsidRPr="00E10347">
        <w:rPr>
          <w:rFonts w:ascii="Palatino Linotype" w:eastAsia="Calibri" w:hAnsi="Palatino Linotype" w:cs="Times New Roman"/>
          <w:b/>
          <w:sz w:val="21"/>
          <w:szCs w:val="21"/>
        </w:rPr>
        <w:t xml:space="preserve">.  </w:t>
      </w:r>
      <w:r w:rsidRPr="00E10347">
        <w:rPr>
          <w:rFonts w:ascii="Palatino Linotype" w:hAnsi="Palatino Linotype" w:cs="Times New Roman"/>
          <w:b/>
          <w:sz w:val="21"/>
          <w:szCs w:val="21"/>
        </w:rPr>
        <w:t xml:space="preserve">EL CAMBIO DEL PARADIGMA IDEOLÓGICO DE  LA ORALIDAD Y LA VALORACIÓN DE LA PRUEBA EN  LAS </w:t>
      </w:r>
      <w:r w:rsidRPr="00E10347">
        <w:rPr>
          <w:rFonts w:ascii="Palatino Linotype" w:eastAsia="Calibri" w:hAnsi="Palatino Linotype" w:cs="Times New Roman"/>
          <w:b/>
          <w:sz w:val="21"/>
          <w:szCs w:val="21"/>
        </w:rPr>
        <w:t xml:space="preserve"> JURISDICCIONES ESPECIALIZADAS SEPARADAS DEL CÓDIGO PROCESAL GENERAL.</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 xml:space="preserve">En el  2003,  después de aprobada la iniciativa del </w:t>
      </w:r>
      <w:r w:rsidRPr="00E10347">
        <w:rPr>
          <w:rFonts w:ascii="Palatino Linotype" w:eastAsia="Calibri" w:hAnsi="Palatino Linotype" w:cs="Times New Roman"/>
          <w:b/>
          <w:sz w:val="21"/>
          <w:szCs w:val="21"/>
        </w:rPr>
        <w:t>Código Procesal General</w:t>
      </w:r>
      <w:r w:rsidRPr="00E10347">
        <w:rPr>
          <w:rFonts w:ascii="Palatino Linotype" w:eastAsia="Calibri" w:hAnsi="Palatino Linotype" w:cs="Times New Roman"/>
          <w:sz w:val="21"/>
          <w:szCs w:val="21"/>
        </w:rPr>
        <w:t xml:space="preserve"> por parte de la Corte Plena cuya obligación era pasarlo a la Asamblea Legislativa, surgieron todo tipo de obstáculos para frenarlo.  Primero impidiéndole pasar al Parlamento y luego nombrándole otra Comisión Revisora de Jueces para evitar su promulgación, pues duró muchos años en esa labor.</w:t>
      </w:r>
    </w:p>
    <w:p w:rsidR="002014CA" w:rsidRPr="00E10347" w:rsidRDefault="002014CA" w:rsidP="00E10347">
      <w:pPr>
        <w:ind w:firstLine="708"/>
        <w:jc w:val="both"/>
        <w:rPr>
          <w:rFonts w:ascii="Palatino Linotype" w:eastAsia="Calibri" w:hAnsi="Palatino Linotype" w:cs="Times New Roman"/>
          <w:sz w:val="21"/>
          <w:szCs w:val="21"/>
        </w:rPr>
      </w:pPr>
      <w:r w:rsidRPr="00E10347">
        <w:rPr>
          <w:rFonts w:ascii="Palatino Linotype" w:hAnsi="Palatino Linotype" w:cs="Times New Roman"/>
          <w:sz w:val="21"/>
          <w:szCs w:val="21"/>
        </w:rPr>
        <w:t xml:space="preserve">Dueños de  verdaderos feudos, </w:t>
      </w:r>
      <w:r w:rsidRPr="00E10347">
        <w:rPr>
          <w:rFonts w:ascii="Palatino Linotype" w:eastAsia="Calibri" w:hAnsi="Palatino Linotype" w:cs="Times New Roman"/>
          <w:sz w:val="21"/>
          <w:szCs w:val="21"/>
        </w:rPr>
        <w:t>integrantes de Corte Plena,  fomentaron la independencia</w:t>
      </w:r>
      <w:r w:rsidRPr="00E10347">
        <w:rPr>
          <w:rFonts w:ascii="Palatino Linotype" w:hAnsi="Palatino Linotype"/>
          <w:sz w:val="21"/>
          <w:szCs w:val="21"/>
        </w:rPr>
        <w:t xml:space="preserve">, en razón de la materia, </w:t>
      </w:r>
      <w:r w:rsidRPr="00E10347">
        <w:rPr>
          <w:rFonts w:ascii="Palatino Linotype" w:eastAsia="Calibri" w:hAnsi="Palatino Linotype" w:cs="Times New Roman"/>
          <w:sz w:val="21"/>
          <w:szCs w:val="21"/>
        </w:rPr>
        <w:t xml:space="preserve"> para formular otros nuevos Códigos desligándose de la tesis de  un solo proceso común, general, por audiencias, con plazos comunes, un solo tipo de recursos y casación propia de la oralidad, en la parte general, con una libre valoración de la prueba o libre convencimiento judicial, sin afectar a  las jurisdicciones especializadas en sus propias particularidades técnicas ni en el aspecto procesal menos de fondo.  </w:t>
      </w:r>
    </w:p>
    <w:p w:rsidR="002014CA" w:rsidRPr="00E10347" w:rsidRDefault="002014CA" w:rsidP="00E10347">
      <w:pPr>
        <w:ind w:firstLine="708"/>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 xml:space="preserve">La idea era divorciarse </w:t>
      </w:r>
      <w:r w:rsidRPr="00E10347">
        <w:rPr>
          <w:rFonts w:ascii="Palatino Linotype" w:eastAsia="Calibri" w:hAnsi="Palatino Linotype" w:cs="Times New Roman"/>
          <w:b/>
          <w:sz w:val="21"/>
          <w:szCs w:val="21"/>
        </w:rPr>
        <w:t xml:space="preserve">para tener su propio Código.  </w:t>
      </w:r>
      <w:r w:rsidRPr="00E10347">
        <w:rPr>
          <w:rFonts w:ascii="Palatino Linotype" w:eastAsia="Calibri" w:hAnsi="Palatino Linotype" w:cs="Times New Roman"/>
          <w:sz w:val="21"/>
          <w:szCs w:val="21"/>
        </w:rPr>
        <w:tab/>
        <w:t xml:space="preserve">Algunos se </w:t>
      </w:r>
      <w:r w:rsidRPr="00E10347">
        <w:rPr>
          <w:rFonts w:ascii="Palatino Linotype" w:eastAsia="Calibri" w:hAnsi="Palatino Linotype" w:cs="Times New Roman"/>
          <w:sz w:val="21"/>
          <w:szCs w:val="21"/>
        </w:rPr>
        <w:lastRenderedPageBreak/>
        <w:t>atrevieron a incitar a “</w:t>
      </w:r>
      <w:r w:rsidRPr="00E10347">
        <w:rPr>
          <w:rFonts w:ascii="Palatino Linotype" w:eastAsia="Calibri" w:hAnsi="Palatino Linotype" w:cs="Times New Roman"/>
          <w:b/>
          <w:sz w:val="21"/>
          <w:szCs w:val="21"/>
        </w:rPr>
        <w:t>sus jurisdicciones</w:t>
      </w:r>
      <w:r w:rsidRPr="00E10347">
        <w:rPr>
          <w:rFonts w:ascii="Palatino Linotype" w:eastAsia="Calibri" w:hAnsi="Palatino Linotype" w:cs="Times New Roman"/>
          <w:sz w:val="21"/>
          <w:szCs w:val="21"/>
        </w:rPr>
        <w:t xml:space="preserve">"   a proclamar la independencia y la rebeldía, para reclamar proyectos propios, sin vinculación al </w:t>
      </w:r>
      <w:r w:rsidRPr="00E10347">
        <w:rPr>
          <w:rFonts w:ascii="Palatino Linotype" w:eastAsia="Calibri" w:hAnsi="Palatino Linotype" w:cs="Times New Roman"/>
          <w:b/>
          <w:sz w:val="21"/>
          <w:szCs w:val="21"/>
        </w:rPr>
        <w:t>General.</w:t>
      </w:r>
      <w:r w:rsidRPr="00E10347">
        <w:rPr>
          <w:rFonts w:ascii="Palatino Linotype" w:eastAsia="Calibri" w:hAnsi="Palatino Linotype" w:cs="Times New Roman"/>
          <w:sz w:val="21"/>
          <w:szCs w:val="21"/>
        </w:rPr>
        <w:t xml:space="preserve">  Fue una actitud desleal con la Corte Plena y el Poder Judicial.</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 xml:space="preserve">El resultado conocido fue la redacción de borradores de proyectos improvisados e insostenibles, promotores de concepciones inquisitivas (de uso en los superados y antidemocráticos regímenes autoritarios), con la incorporación expresa del principio inquisitivo, la confesión forzosa, la prueba para mejor proveer, amplitud en nulidades, amplísimos poderes de los jueces para anular en el proceso e incumplir con el debido proceso hasta en la proposición y evacuación de la prueba.  </w:t>
      </w:r>
    </w:p>
    <w:p w:rsidR="002014CA" w:rsidRPr="00E10347" w:rsidRDefault="002014CA" w:rsidP="00E10347">
      <w:pPr>
        <w:ind w:firstLine="708"/>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 xml:space="preserve">Los jueces, no procesalistas de cada disciplina intuyen, pero no conocen, la oralidad procesal. Porque no la han vivido ni estudiado.  Y lo peor fue no haber recurrido,  para conocer, una jurisdicción en pleno funcionamiento como la contencioso administrativo, y su sistema de organización de tribunales para la oralidad, encontrándose en los nuevos la incomprensión de esta política manteniéndose en el sistema escrito hasta de tres instancias. </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 xml:space="preserve">Mientras esto ocurría algunas de las jurisdicciones especializadas se adelantaron en la redacción, por medio de Jueces, de otros Códigos.  </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Los primeros en separarse fueron los sectores vinculados al Derecho laboral para tener en el mismo Código de Trabajo sus procesos bajo la pobre tesis de la costumbre de juzgadores y litigantes de utilizar un solo Código y no varios.  La comprensión de esta idea permite deducir las grandes limitaciones culturales de los propulsores de la independencia procesal.</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Tras la gran preocupación, de muchos años, de los cultores del Derecho agrario de adaptarse a la oralidad, crear un nuevo proceso, también aprovecharon la coyuntura para tratar de resolver este problema.  Lamentablemente se cometieron dos errores estratégicos, el primero fue inclinarse por la promulgación de un Código cuando la reforma se podía impulsar por medio de una ley sencilla y manejable, el otro, quizá más grave, fue la errada tentación de ampliar la competencia, y hasta el nombre, agregándole al agrario los contradictorios y equivocados criterios de incluir lo "agroalimentario" y lo "agroambiental", seguidos por una minoría en el país no así en el Derecho agrario comparado.</w:t>
      </w:r>
    </w:p>
    <w:p w:rsidR="002014CA" w:rsidRPr="00E10347" w:rsidRDefault="002014CA" w:rsidP="00E10347">
      <w:pPr>
        <w:ind w:firstLine="708"/>
        <w:jc w:val="both"/>
        <w:rPr>
          <w:rFonts w:ascii="Palatino Linotype" w:hAnsi="Palatino Linotype" w:cs="Times New Roman"/>
          <w:sz w:val="21"/>
          <w:szCs w:val="21"/>
        </w:rPr>
      </w:pPr>
      <w:r w:rsidRPr="00E10347">
        <w:rPr>
          <w:rFonts w:ascii="Palatino Linotype" w:eastAsia="Calibri" w:hAnsi="Palatino Linotype" w:cs="Times New Roman"/>
          <w:sz w:val="21"/>
          <w:szCs w:val="21"/>
        </w:rPr>
        <w:t xml:space="preserve">El resultado, como se verá seguidamente, aunque se tome solo un ángulo de análisis ha sido la divergencia procesal, con institutos tratados en muchas formas: de difícil interpretación y comprensión, con equivocaciones,  contradictorias y lamentablemente antagónicas, concebida con equivocaciones, una cierta </w:t>
      </w:r>
      <w:r w:rsidRPr="00E10347">
        <w:rPr>
          <w:rFonts w:ascii="Palatino Linotype" w:eastAsia="Calibri" w:hAnsi="Palatino Linotype" w:cs="Times New Roman"/>
          <w:sz w:val="21"/>
          <w:szCs w:val="21"/>
        </w:rPr>
        <w:lastRenderedPageBreak/>
        <w:t>i</w:t>
      </w:r>
      <w:r w:rsidRPr="00E10347">
        <w:rPr>
          <w:rFonts w:ascii="Palatino Linotype" w:hAnsi="Palatino Linotype" w:cs="Times New Roman"/>
          <w:sz w:val="21"/>
          <w:szCs w:val="21"/>
        </w:rPr>
        <w:t>ndisciplina, desorden o  anarquía, obligando a los usuarios del sistema judicial y en general a los operadores  a comenzar a distinguir las diferencias de las codificaciones para procesos iguales.</w:t>
      </w:r>
    </w:p>
    <w:p w:rsidR="00B600D3" w:rsidRDefault="00B600D3" w:rsidP="00E10347">
      <w:pPr>
        <w:jc w:val="both"/>
        <w:rPr>
          <w:rFonts w:ascii="Palatino Linotype" w:eastAsia="Calibri" w:hAnsi="Palatino Linotype" w:cs="Times New Roman"/>
          <w:b/>
          <w:sz w:val="21"/>
          <w:szCs w:val="21"/>
        </w:rPr>
      </w:pPr>
    </w:p>
    <w:p w:rsidR="002014CA" w:rsidRPr="00E10347" w:rsidRDefault="002014CA" w:rsidP="00E10347">
      <w:pPr>
        <w:jc w:val="both"/>
        <w:rPr>
          <w:rFonts w:ascii="Palatino Linotype" w:eastAsia="Calibri" w:hAnsi="Palatino Linotype" w:cs="Times New Roman"/>
          <w:b/>
          <w:sz w:val="21"/>
          <w:szCs w:val="21"/>
        </w:rPr>
      </w:pPr>
      <w:r w:rsidRPr="00E10347">
        <w:rPr>
          <w:rFonts w:ascii="Palatino Linotype" w:eastAsia="Calibri" w:hAnsi="Palatino Linotype" w:cs="Times New Roman"/>
          <w:b/>
          <w:sz w:val="21"/>
          <w:szCs w:val="21"/>
        </w:rPr>
        <w:t>A)  La Reforma Procesal al Código de Trabajo por Ley N° 9343 del 9 de diciembre del 2015, con vigencia  a partir del 25 de julio del 2017.</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 xml:space="preserve">De todos los intentos el laboral fue aprobado primero por la Asamblea Legislativa como </w:t>
      </w:r>
      <w:r w:rsidRPr="00E10347">
        <w:rPr>
          <w:rFonts w:ascii="Palatino Linotype" w:eastAsia="Calibri" w:hAnsi="Palatino Linotype" w:cs="Times New Roman"/>
          <w:b/>
          <w:sz w:val="21"/>
          <w:szCs w:val="21"/>
        </w:rPr>
        <w:t>Reforma Procesal al Código de Trabajo</w:t>
      </w:r>
      <w:r w:rsidRPr="00E10347">
        <w:rPr>
          <w:rFonts w:ascii="Palatino Linotype" w:eastAsia="Calibri" w:hAnsi="Palatino Linotype" w:cs="Times New Roman"/>
          <w:sz w:val="21"/>
          <w:szCs w:val="21"/>
        </w:rPr>
        <w:t xml:space="preserve">.  Constituye la reforma más significativa del Código de Trabajo de 1943, en su jurisdicción contemplada en el Artículo 70 de la Constitución Política. </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 xml:space="preserve">Originalmente fue redactado por una consultoría con un abogado costarricense de la Organización Internacional del Trabajo para introducir en su seno los Convenios suscritos por Costa Rica. Posteriormente se pasó a la revisión de unos jueces laborales.  Su discusión se prolongó mucho en la Asamblea por una oposición férrea a varias Convenios.  Esto originó el veto del Poder Ejecutivo. Con el polémico levantamiento del veto por otro Presidente de la República, pues constitucionalmente el Proyecto debió devolverse a la Asamblea para determinar si obtenía la mayoría calificada para su refrendo. </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A)  La reforma está concebida para dirimir los conflictos individuales y colectivos cuando se deba aplicar las normas de derecho de trabajo y seguridad social.   Dentro de ellas la reforma incluyó el polémico tema del conocimiento de todas las prestaciones derivadas de las relaciones de empleo público.</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 xml:space="preserve">Conforme a la letra de la reforma el proceso laboral se regirá por la oralidad.  Denomina como principios procesales (aún cuando algunos de ellos no son principios sino características) la conciliación actuaciones prioritariamente  orales, la sencillez, el informalismo, la oficiosidad relativa así como la celeridad, la concentración, la inmediación la búsqueda de la verdad real, la libertad probatoria, la lealtad procesal y la gratuidad o el costo mínimo.  </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 xml:space="preserve">También conforme a su letra parece traducir un Código autoritario.  Dentro de la norma prevista para la interpretación se dice "Las personas encargadas de los órganos de esta materia dirigirán el proceso de forma protagónica, impulsándolo oportunamente, buscando la verdad real dentro de los límites establecidos, dándole a esta primacía sobre las expresiones formales, tutelando la indisponibilidad de los derechos y aplicando, de forma adecuada las reglas "pro operario" ("in dubio pro operario", norma más favorable y condición más beneficiosa), de modo que en la </w:t>
      </w:r>
      <w:r w:rsidRPr="00E10347">
        <w:rPr>
          <w:rFonts w:ascii="Palatino Linotype" w:eastAsia="Calibri" w:hAnsi="Palatino Linotype" w:cs="Times New Roman"/>
          <w:sz w:val="21"/>
          <w:szCs w:val="21"/>
        </w:rPr>
        <w:lastRenderedPageBreak/>
        <w:t>solución de los conflictos se cumplan los principios cristianos de justicia social y la desigualdad de la parte trabajadora no se exprese en el resultado del proceso".</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a)  A pesar de las anteriores, y otras manifestaciones propias de la ideología laboral, la organización y funcionamiento de la jurisdicción de trabajo resulta antagónica y contraria a la organización de tribunales para la oralidad.  Porque en la jurisdicción laboral han mantenido prácticamente tres instancias con Juzgados, Tribunales de Conciliación y Arbitraje, Tribunal de Apelación y Casación.</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b)  Tres instancias procesales, en la forma como se concibe en la reforma procesal, contradice sus expresados principios porque no superan un proceso lento, formalista,muy a pesar de la (¡demagógica!) afirmación de que los ordinarios laborales se resuelven en una sola audiencia.  Si en una sola instancia oral pero también en dos más escritas.</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c)  Aparte de ello la reforma insiste en temas muy superados del exceso de formalidades al dedicar amplias posibilidades para detener, atrasar, dilatar el proceso antes de la audiencia con conflictos de competencia, nulidades, incidencias, problemas referidos a impedimentos, excusas, recusaciones, e ignora realidades procesales ampliamente superadas como el agotamiento de la vía administrativa  (resuelto mucho antes de la redacción del proyecto), repite temas antiguos como los de las firmas de los demandantes, notificaciones por la ley respectiva, y aún cuando tiene presente la existencia de tecnología electrónica en varios aspectos aparentemente se prefiere el expediente físico al el  expediente digital, pues este segundo siempre existirá para el acceso de las partes y sus abogados.</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d)  Mantiene una de las injusticias más grandes del sistema procesal laboral tradicional.  Admite la  posibilidad del trabajador de conducir su propio proceso sin necesidad de abogado.  Porque los jueces jamás le establecerán la estrategia del caso de los actores por su imparcialidad.  El patrocinio letrado no fue establecido como obligatorio, pese a la defensa gratuita creada como una Sección de Defensores Públicos, limitada a pobres, mujeres jóvenes o embarazadas, y a personas en estado de vulnerabilidad.</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 xml:space="preserve">B)  Como la oralidad se caracteriza por un </w:t>
      </w:r>
      <w:r w:rsidRPr="00E10347">
        <w:rPr>
          <w:rFonts w:ascii="Palatino Linotype" w:eastAsia="Calibri" w:hAnsi="Palatino Linotype" w:cs="Times New Roman"/>
          <w:b/>
          <w:sz w:val="21"/>
          <w:szCs w:val="21"/>
        </w:rPr>
        <w:t>proceso por audiencias,</w:t>
      </w:r>
      <w:r w:rsidRPr="00E10347">
        <w:rPr>
          <w:rFonts w:ascii="Palatino Linotype" w:eastAsia="Calibri" w:hAnsi="Palatino Linotype" w:cs="Times New Roman"/>
          <w:sz w:val="21"/>
          <w:szCs w:val="21"/>
        </w:rPr>
        <w:t xml:space="preserve"> la reforma no las llama con sus nombres técnicos de Audiencia Preliminar o de saneamiento y Audiencia Complementaria o de pruebas.   Las denomina Audiencia de Fase Preliminar y de Fase Complementaria.  Esto no es importante pero carecía de lógica cambiar sus nombres.</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 xml:space="preserve">a)  De la audiencia de la fase preliminar resulta criticable la forma como ha </w:t>
      </w:r>
      <w:r w:rsidRPr="00E10347">
        <w:rPr>
          <w:rFonts w:ascii="Palatino Linotype" w:eastAsia="Calibri" w:hAnsi="Palatino Linotype" w:cs="Times New Roman"/>
          <w:sz w:val="21"/>
          <w:szCs w:val="21"/>
        </w:rPr>
        <w:lastRenderedPageBreak/>
        <w:t>sido concebida.   Por regla general se autoriza siempre al Juez Tramitador, a diferencia del principio preclusivo de la escritura, a contar con una mayor libertad para la conducción de la audiencia, y sobre todo a tomar en consideración los criterios de las partes para darle un orden convencional según las particularidades del caso.  Por esa razón Gelsi Bidart las calificaba como "una audiencia a tres", es decir con la participación del Juez y las partes contendientes.</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La Audiencia de la Fase Preliminar, por el contrario, es excesivamente formalista. Con ello la indebida característica dada por la reforma al Juez de ser "protagonista", para decirlo en términos más técnicos y menos autoritarios, es que no debe ser un espectador sino, como las partes, también debe participar del debate.</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 xml:space="preserve"> En efecto el Código reglamenta en forma detallada todas las etapas cuyo orden debe seguirse.  Pero además resulta exagerada, e innecesaria, en cuanto a la recepción de pruebas para todo:  para la subsanación, para las nulidades, para las excepciones previas, cuando todas esas pruebas deben estar acompañadas desde el planteamiento por quien las denuncia.  </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Por ejemplo en las defensas previas el demandado con su invocación debe a su vez señalar las pruebas para la demostración de su dicho, y es el Juez, dentro del contradictorio de ambas partes quien las resuelve pero no es posible darle tanta formalidad a esa parte de la audiencia como para plantear el señalamiento de la evacuación de tales  pruebas, porque de las defensas previas el Tramitador debe darle audiencia al actor cuando se ha contestado la demanda.</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 xml:space="preserve">También parece un avance para las partes en el tema de la Admisión de la Prueba, tampoco llamada técnicamente como corresponde, porque no se autoriza al Juez a reducir la prueba de las partes, o a pedirles la escogencia de una menor cantidad de testigos, por ejemplo.  Porque si de algún abuso se quejan los litigantes en materia procesal liberal es de la reducción, por parte de los jueces, a un testigo por cada parte, porque ello atenta contra los principio de la carga de la prueba, del contradictorio, del debido proceso.  </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 xml:space="preserve">El pronunciamiento exigido por el Código al momento de la terminación de la Audiencia preliminar en el contencioso ha sido correctamente sustituido por un acta lacónica donde un funcionario judicial, quien además de llevar el control de la grabación por audio o por video, la va conformando conjuntamente con el Juez, y cuando hay resoluciones determinadas el Tramitador las dicta oralmente  delante de las partes, y así se resguardarán junto a las grabaciones. </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 xml:space="preserve">C) La Audiencia de la Fase Complementaria parece  más flexible, pero no lo </w:t>
      </w:r>
      <w:r w:rsidRPr="00E10347">
        <w:rPr>
          <w:rFonts w:ascii="Palatino Linotype" w:eastAsia="Calibri" w:hAnsi="Palatino Linotype" w:cs="Times New Roman"/>
          <w:sz w:val="21"/>
          <w:szCs w:val="21"/>
        </w:rPr>
        <w:lastRenderedPageBreak/>
        <w:t>es si se analiza toda la normativa dedicada a ella, extremadamente formalista.</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Lo criticable es que como la política de organización de Tribunales repite la de la escritura, de tres instancias, va a ser solo el Juez de primera instancia quien vaya a recibir la prueba, escuchar las conclusiones y dictar la parte dispositiva de la sentencia, así como redactar el fallo.</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Si la reforma hubiere seguido realmente el principio invocado de oralidad, no podría ser el tramitador  (aquí el Juez de primera instancia) quien evacúe la segunda audiencia, ello debería ser ante un Tribunal, un órgano colegiado.</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D)  Además de lo dicho debe expresarse la inutilidad práctica y el atraso causado al proceso con la previsión de los recursos de Apelación y Casación, cuyo único motivo consiste en dilatar el proceso innecesariamente.  En causarle un daño muy serio al actor a quien le han colocado muy larga la sentencia definitiva de su demanda.  Porque la competencia del Tribunal Superior es súmamente restringida, prácticamente si capacidad para revocar el fallo de la instancia oral, y el de Casación donde se señala que se podrá recibir pruebas en una audiencia oral a ese nivel del proceso la Casación no puede, ni debería, moralmente, quebrar un fallo impugnado donde ni siquiera estuvo.</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Aún cuando la normativa se detiene, en forma pormenorizada,  al desarrollo de la Audiencia de la Fase Complementaria, de nada sirve tanta reglamentación para el Juez de primera instancia  si el sistema ha renunciado a la oralidad plena.</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Porque cuando medie apelación, el Tribunal Superior de Trabajo se rige por la escritura.  ¿Y que puede resolver la segunda instancia de un proceso oral ante el Juez de instancia si no estuvo en contacto con las partes y la prueba, es decir no hubo el principio de inmediatez?   Jamás podría cambiar el cuadro fáctico. Si ordenara prueba para mejor proveer podría estar cometiendo una arbitrariedad gigante si se vale de ella, que no fue objeto del contradictorio en la audiencia de pruebas, para quebrar o modificar el cuadro fáctico.</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 xml:space="preserve">Si se analiza como los recursos de apelación y Casación se verá que el primero se mantiene por puro capricho porque no tiene prácticamente competencia para quebrar el fallo.  Solo se le faculta para detectar dos vicios formales:  a)  las cuestiones de nulidad propuestas, pero solo puede declararlas si los defectos constituyen vicios esenciales del debido proceso, ordenándole al inferior las correcciones necesarias y conservará las actuaciones para corregir las no afectadas por el vicio susceptibles de subsanar; y, 2) declarar la inadmisibilidad del recurso, reposición o corrección de trámites emitiendo pronunciamiento a los demás </w:t>
      </w:r>
      <w:r w:rsidRPr="00E10347">
        <w:rPr>
          <w:rFonts w:ascii="Palatino Linotype" w:eastAsia="Calibri" w:hAnsi="Palatino Linotype" w:cs="Times New Roman"/>
          <w:sz w:val="21"/>
          <w:szCs w:val="21"/>
        </w:rPr>
        <w:lastRenderedPageBreak/>
        <w:t>agravios del recurso.</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 xml:space="preserve">Realmente se trata de una fase innecesaria, devaluada, carente de sentido, únicamente útil para violentar la celeridad.  </w:t>
      </w:r>
      <w:r w:rsidRPr="00E10347">
        <w:rPr>
          <w:rFonts w:ascii="Palatino Linotype" w:eastAsia="Calibri" w:hAnsi="Palatino Linotype" w:cs="Times New Roman"/>
          <w:sz w:val="21"/>
          <w:szCs w:val="21"/>
        </w:rPr>
        <w:tab/>
        <w:t xml:space="preserve">El Recurso de Casación está concebido casi igual a la apelación.  </w:t>
      </w:r>
      <w:r w:rsidRPr="00E10347">
        <w:rPr>
          <w:rFonts w:ascii="Palatino Linotype" w:eastAsia="Calibri" w:hAnsi="Palatino Linotype" w:cs="Times New Roman"/>
          <w:sz w:val="21"/>
          <w:szCs w:val="21"/>
        </w:rPr>
        <w:tab/>
        <w:t xml:space="preserve">En la apelación el recurrente debe expresar "las razones claras y precisas que ameriten la revocatoria del pronunciamiento, incluidas las reclamaciones formales y después las sustanciales"  </w:t>
      </w:r>
    </w:p>
    <w:p w:rsidR="002014CA" w:rsidRPr="00E10347" w:rsidRDefault="00B600D3" w:rsidP="00E10347">
      <w:pPr>
        <w:jc w:val="both"/>
        <w:rPr>
          <w:rFonts w:ascii="Palatino Linotype" w:eastAsia="Calibri" w:hAnsi="Palatino Linotype" w:cs="Times New Roman"/>
          <w:sz w:val="21"/>
          <w:szCs w:val="21"/>
        </w:rPr>
      </w:pPr>
      <w:r>
        <w:rPr>
          <w:rFonts w:ascii="Palatino Linotype" w:eastAsia="Calibri" w:hAnsi="Palatino Linotype" w:cs="Times New Roman"/>
          <w:sz w:val="21"/>
          <w:szCs w:val="21"/>
        </w:rPr>
        <w:tab/>
        <w:t xml:space="preserve">En el </w:t>
      </w:r>
      <w:r w:rsidR="002014CA" w:rsidRPr="00E10347">
        <w:rPr>
          <w:rFonts w:ascii="Palatino Linotype" w:eastAsia="Calibri" w:hAnsi="Palatino Linotype" w:cs="Times New Roman"/>
          <w:sz w:val="21"/>
          <w:szCs w:val="21"/>
        </w:rPr>
        <w:t>mismo artículo se exige para el recurso de casación "puntualizar en esa misma forma los motivos por los cuales se estima que el ordenamiento jurídico ha sido violentado y por los cuales procede la nulidad y eventual revocatoria de la sentencia impugnada; primero se harán las reclamaciones form</w:t>
      </w:r>
      <w:r w:rsidR="00C912FE" w:rsidRPr="00E10347">
        <w:rPr>
          <w:rFonts w:ascii="Palatino Linotype" w:eastAsia="Calibri" w:hAnsi="Palatino Linotype" w:cs="Times New Roman"/>
          <w:sz w:val="21"/>
          <w:szCs w:val="21"/>
        </w:rPr>
        <w:t>ales y después las sustanciales</w:t>
      </w:r>
      <w:r w:rsidR="002014CA" w:rsidRPr="00E10347">
        <w:rPr>
          <w:rFonts w:ascii="Palatino Linotype" w:eastAsia="Calibri" w:hAnsi="Palatino Linotype" w:cs="Times New Roman"/>
          <w:sz w:val="21"/>
          <w:szCs w:val="21"/>
        </w:rPr>
        <w:t>",</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En ningún caso es necesario citar las normas jurídicas que se consideren violentadas, debiendo formular las reclamaciones en forma clara en las razones por las cuales la parte se considera afectada.  Y si hay error en el señalamiento de la norma no por ello la Sala podrá decretar la inadmisibilidad del recurso.</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E)   Si bien se han formulado críticas a diversas orientaciones de la Reforma Procesal Laboral, también es importante destacar la forma como se intentó introducir la valoración de la prueba.  Porque al principio pareciera seguir el criterio de la libre valoración o del libre convencimiento judicial, pero al final se introduce una norma contradictoria más relacionada a la sana crítica y no al principio de comentario.</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a)   En efecto introduce correctamente la libre valoración cuando señala sus criterios básicos de la lógica, la experiencia, la ciencia, el correcto entendimiento humano y las presunciones humanas y legales, respetando el contradictorio.</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b)  Igualmente es concordante en cuanto obliga al Juzgador a expresar los fundamentos fácticos, jurídicos y de equidad de las conclusiones y de las razones para conferir menor o mayor valor a unas pruebas u otras.  Quizá lo único inexacto son los fundamentos fácticos.</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c)  Pero al final desdice lo acertado porque expresa criterios de una sana crítica restringida.  Porque prohíbe formular una referencia al conjunto probatorio como único fundamento, sin indicación concreta de los elementos particulares y de derecho que sirven de apoyo, no obstante el criterio de afirmar la apreciación armónica en atención al conjunto probatorio.  Posiblemente esto fue un error introducido en el largo proceso de análisis y discusión por quienes desconocen el tema de la valoración probatoria.</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lastRenderedPageBreak/>
        <w:tab/>
        <w:t>B)  El nuevo Código Procesal Civil, Ley N° 9342 del 3 de febrero del 2016, con vigencia después de 30 meses. Negación y desconocimiento del Modelo de Código Procesal General y el Código Procesal Contencioso Administrativo.</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 xml:space="preserve">La Comisión Revisora del </w:t>
      </w:r>
      <w:r w:rsidRPr="00E10347">
        <w:rPr>
          <w:rFonts w:ascii="Palatino Linotype" w:eastAsia="Calibri" w:hAnsi="Palatino Linotype" w:cs="Times New Roman"/>
          <w:b/>
          <w:sz w:val="21"/>
          <w:szCs w:val="21"/>
        </w:rPr>
        <w:t>Código Procesal General</w:t>
      </w:r>
      <w:r w:rsidRPr="00E10347">
        <w:rPr>
          <w:rFonts w:ascii="Palatino Linotype" w:eastAsia="Calibri" w:hAnsi="Palatino Linotype" w:cs="Times New Roman"/>
          <w:sz w:val="21"/>
          <w:szCs w:val="21"/>
        </w:rPr>
        <w:t xml:space="preserve">, conformada en el Poder Judicial por jueces,  en vez de estudiar, corregir, mejorarlo, sobre su base le introdujeron modificaciones restrictivas y negadoras de la ideología de la oralidad, las pruebas y su valoración.  Entre una inmensa cantidad de destrucciones y negaciones se puede notar la forma como, desde el primer artículo, procedieron a sacrificar su condición de </w:t>
      </w:r>
      <w:r w:rsidRPr="00E10347">
        <w:rPr>
          <w:rFonts w:ascii="Palatino Linotype" w:eastAsia="Calibri" w:hAnsi="Palatino Linotype" w:cs="Times New Roman"/>
          <w:b/>
          <w:i/>
          <w:sz w:val="21"/>
          <w:szCs w:val="21"/>
        </w:rPr>
        <w:t>lex generalis</w:t>
      </w:r>
      <w:r w:rsidRPr="00E10347">
        <w:rPr>
          <w:rFonts w:ascii="Palatino Linotype" w:eastAsia="Calibri" w:hAnsi="Palatino Linotype" w:cs="Times New Roman"/>
          <w:sz w:val="21"/>
          <w:szCs w:val="21"/>
        </w:rPr>
        <w:t xml:space="preserve">, redujeron su competencia solo lo civil y comercial,  trastocaron y destruyeron, pensando que fuere de buena fe:  con una ignorancia absoluta, invirtieron mucho los criterios del sistema de la oralidad  (al describirla invirtieron todos los principios consagrados en el Código en revisión), volvieron al formalismo introduciendo los incidentes como instrumento para todos las gestiones tendientes a la paralización del proceso, deformaron la Casación al  agregarle a las causales de casación oral las violaciones directas e indirectas típicas causales de la escritura.  Y en el tema de interés de la valoración de la prueba </w:t>
      </w:r>
    </w:p>
    <w:p w:rsidR="002014CA" w:rsidRPr="00E10347" w:rsidRDefault="002014CA" w:rsidP="00E10347">
      <w:pPr>
        <w:ind w:firstLine="708"/>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 xml:space="preserve">La Comisión desconocía los fundamentos mínimos del "Sistema de la oralidad" concatenada con todo un conjunto de institutos acordes con la oralidad, como audiencias, recursos, valoración de la prueba, y muchos más propios de ese "Sistema", Quizá todo se deba a la influencia la Ley de Enjuiciamiento Civil Española, del 2000, no oral, sino únicamente verbal para pequeñas causas.  </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 xml:space="preserve">Al un principio la Corte rechazó la propuesta.  Porque el texto no era la revisión del </w:t>
      </w:r>
      <w:r w:rsidRPr="00E10347">
        <w:rPr>
          <w:rFonts w:ascii="Palatino Linotype" w:eastAsia="Calibri" w:hAnsi="Palatino Linotype" w:cs="Times New Roman"/>
          <w:b/>
          <w:sz w:val="21"/>
          <w:szCs w:val="21"/>
        </w:rPr>
        <w:t>Código  Procesal General</w:t>
      </w:r>
      <w:r w:rsidRPr="00E10347">
        <w:rPr>
          <w:rFonts w:ascii="Palatino Linotype" w:eastAsia="Calibri" w:hAnsi="Palatino Linotype" w:cs="Times New Roman"/>
          <w:sz w:val="21"/>
          <w:szCs w:val="21"/>
        </w:rPr>
        <w:t xml:space="preserve">.  Como excusa manifestaron su intención de concebir  un Nuevo Código Procesal Civil. Entonces se remitió a la Asamblea sin mayor estudio. </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 xml:space="preserve">Con sus características de ser contrario al </w:t>
      </w:r>
      <w:r w:rsidRPr="00E10347">
        <w:rPr>
          <w:rFonts w:ascii="Palatino Linotype" w:eastAsia="Calibri" w:hAnsi="Palatino Linotype" w:cs="Times New Roman"/>
          <w:b/>
          <w:sz w:val="21"/>
          <w:szCs w:val="21"/>
        </w:rPr>
        <w:t xml:space="preserve">Código Procesal General </w:t>
      </w:r>
      <w:r w:rsidRPr="00E10347">
        <w:rPr>
          <w:rFonts w:ascii="Palatino Linotype" w:eastAsia="Calibri" w:hAnsi="Palatino Linotype" w:cs="Times New Roman"/>
          <w:sz w:val="21"/>
          <w:szCs w:val="21"/>
        </w:rPr>
        <w:t xml:space="preserve">porque cambiaban sus principios o los consagraban  con excepciones para convertir en nugatorios los criterios esbozados, se logró la aprobación como Nuevo </w:t>
      </w:r>
      <w:r w:rsidRPr="00E10347">
        <w:rPr>
          <w:rFonts w:ascii="Palatino Linotype" w:eastAsia="Calibri" w:hAnsi="Palatino Linotype" w:cs="Times New Roman"/>
          <w:b/>
          <w:sz w:val="21"/>
          <w:szCs w:val="21"/>
        </w:rPr>
        <w:t>Código Procesal Civil.</w:t>
      </w:r>
      <w:r w:rsidRPr="00E10347">
        <w:rPr>
          <w:rFonts w:ascii="Palatino Linotype" w:eastAsia="Calibri" w:hAnsi="Palatino Linotype" w:cs="Times New Roman"/>
          <w:sz w:val="21"/>
          <w:szCs w:val="21"/>
        </w:rPr>
        <w:t xml:space="preserve">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sz w:val="21"/>
          <w:szCs w:val="21"/>
        </w:rPr>
        <w:tab/>
      </w:r>
      <w:r w:rsidRPr="00E10347">
        <w:rPr>
          <w:rFonts w:ascii="Palatino Linotype" w:hAnsi="Palatino Linotype" w:cs="Times New Roman"/>
          <w:sz w:val="21"/>
          <w:szCs w:val="21"/>
        </w:rPr>
        <w:t>Para no repetir lo ya analizado a profundidad, remito a mi extenso artículo  "</w:t>
      </w:r>
      <w:r w:rsidRPr="00E10347">
        <w:rPr>
          <w:rFonts w:ascii="Palatino Linotype" w:hAnsi="Palatino Linotype" w:cs="Times New Roman"/>
          <w:b/>
          <w:sz w:val="21"/>
          <w:szCs w:val="21"/>
        </w:rPr>
        <w:t xml:space="preserve">Los pecados del nuevo Código procesal civil: para lo civil  y lo comercial, anti </w:t>
      </w:r>
      <w:r w:rsidRPr="00E10347">
        <w:rPr>
          <w:rFonts w:ascii="Palatino Linotype" w:hAnsi="Palatino Linotype" w:cs="Times New Roman"/>
          <w:b/>
          <w:i/>
          <w:sz w:val="21"/>
          <w:szCs w:val="21"/>
        </w:rPr>
        <w:t>lex generalis</w:t>
      </w:r>
      <w:r w:rsidRPr="00E10347">
        <w:rPr>
          <w:rFonts w:ascii="Palatino Linotype" w:hAnsi="Palatino Linotype" w:cs="Times New Roman"/>
          <w:b/>
          <w:sz w:val="21"/>
          <w:szCs w:val="21"/>
        </w:rPr>
        <w:t xml:space="preserve">  y anti supletorio;  con falta de claridad con el sistema de la oralidad: en principios, audiencias, defensas previas, casación, organización de tribunales.  Necesidad de una reforma, en su </w:t>
      </w:r>
      <w:r w:rsidRPr="00E10347">
        <w:rPr>
          <w:rFonts w:ascii="Palatino Linotype" w:hAnsi="Palatino Linotype" w:cs="Times New Roman"/>
          <w:b/>
          <w:i/>
          <w:sz w:val="21"/>
          <w:szCs w:val="21"/>
        </w:rPr>
        <w:t>vacatio legis</w:t>
      </w:r>
      <w:r w:rsidRPr="00E10347">
        <w:rPr>
          <w:rFonts w:ascii="Palatino Linotype" w:hAnsi="Palatino Linotype" w:cs="Times New Roman"/>
          <w:b/>
          <w:sz w:val="21"/>
          <w:szCs w:val="21"/>
        </w:rPr>
        <w:t>,</w:t>
      </w:r>
      <w:r w:rsidRPr="00E10347">
        <w:rPr>
          <w:rFonts w:ascii="Palatino Linotype" w:hAnsi="Palatino Linotype" w:cs="Times New Roman"/>
          <w:b/>
          <w:i/>
          <w:sz w:val="21"/>
          <w:szCs w:val="21"/>
        </w:rPr>
        <w:t xml:space="preserve"> </w:t>
      </w:r>
      <w:r w:rsidRPr="00E10347">
        <w:rPr>
          <w:rFonts w:ascii="Palatino Linotype" w:hAnsi="Palatino Linotype" w:cs="Times New Roman"/>
          <w:b/>
          <w:sz w:val="21"/>
          <w:szCs w:val="21"/>
        </w:rPr>
        <w:t>por  el derecho procesal científico</w:t>
      </w:r>
      <w:r w:rsidRPr="00E10347">
        <w:rPr>
          <w:rFonts w:ascii="Palatino Linotype" w:hAnsi="Palatino Linotype" w:cs="Times New Roman"/>
          <w:sz w:val="21"/>
          <w:szCs w:val="21"/>
        </w:rPr>
        <w:t xml:space="preserve">", publicado en las Memorias de los Congresos del Instituto costarricense de Derecho </w:t>
      </w:r>
      <w:r w:rsidRPr="00E10347">
        <w:rPr>
          <w:rFonts w:ascii="Palatino Linotype" w:hAnsi="Palatino Linotype" w:cs="Times New Roman"/>
          <w:sz w:val="21"/>
          <w:szCs w:val="21"/>
        </w:rPr>
        <w:lastRenderedPageBreak/>
        <w:t>Procesal científico. Esto es la reiteración de la traición al Modelo del Código Procesal General.</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Es el permanente cambio de los conceptos jurídicos por otros diferentes o inexistentes.  Por renunciar a la conceptualización técnica otros fundamentales.  Pero no se pueden modificar antojadizamente por su raigambre en principios y máximas en latín o del Derecho Romano consagrados en fórmulas expresadas muchos siglos atrás.  Entonces la falta de técnica  (no de tecnicismo) indujo al uso de un lenguaje más coloquial e impropio.  Con él no se dan a comprender por el  Pueblo y mucho menos por el sector de los juristas, dentro de ellos primero por los operadores del  Derecho (jueces, abogados, funcionarios), y menos de procesalista juristas-juristas.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Dentro  de todas las ocurrencias, poco jurídicas y menos científicas del Derecho, no podía ocurrir lo mismo con la Valoración de la Prueba.</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41.5.  </w:t>
      </w:r>
      <w:r w:rsidRPr="00E10347">
        <w:rPr>
          <w:rFonts w:ascii="Palatino Linotype" w:hAnsi="Palatino Linotype" w:cs="Times New Roman"/>
          <w:b/>
          <w:sz w:val="21"/>
          <w:szCs w:val="21"/>
        </w:rPr>
        <w:t>Apreciación de la prueba</w:t>
      </w:r>
      <w:r w:rsidRPr="00E10347">
        <w:rPr>
          <w:rFonts w:ascii="Palatino Linotype" w:hAnsi="Palatino Linotype" w:cs="Times New Roman"/>
          <w:sz w:val="21"/>
          <w:szCs w:val="21"/>
        </w:rPr>
        <w:t>.  Las pruebas se apreciarán en su totalidad, conforme a los criterios de la lógica, experiencia, ciencia y correcto entendimiento humano, salvo texto legal que expresamente disponga una regla de apreciación diversa.</w:t>
      </w:r>
    </w:p>
    <w:p w:rsidR="002014CA" w:rsidRPr="00E10347" w:rsidRDefault="002014CA" w:rsidP="00E10347">
      <w:pPr>
        <w:pStyle w:val="Sinespaciado"/>
        <w:ind w:firstLine="708"/>
        <w:jc w:val="both"/>
        <w:rPr>
          <w:rFonts w:ascii="Palatino Linotype" w:hAnsi="Palatino Linotype" w:cs="Times New Roman"/>
          <w:sz w:val="21"/>
          <w:szCs w:val="21"/>
        </w:rPr>
      </w:pPr>
      <w:r w:rsidRPr="00E10347">
        <w:rPr>
          <w:rFonts w:ascii="Palatino Linotype" w:hAnsi="Palatino Linotype" w:cs="Times New Roman"/>
          <w:sz w:val="21"/>
          <w:szCs w:val="21"/>
        </w:rPr>
        <w:t>La conducta de las partes durante el procedimiento podrá constituir un elemento de convicción ratificante de las partes.</w:t>
      </w:r>
    </w:p>
    <w:p w:rsidR="002014CA" w:rsidRPr="00E10347" w:rsidRDefault="002014CA" w:rsidP="00E10347">
      <w:pPr>
        <w:pStyle w:val="Sinespaciado"/>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En efecto se intitulan la norma como "Apreciación de la Prueba", concepto diferente al de "Valoración de la Prueba".  Apreciar se asemeja más a observar, ver desde fuera, a notar, distinguir, percibir.  Mientras la valoración es tomar las pruebas en sus manos para darles un valor.  Implica más directamente una verificar una estimación,   una valuación o igual a evaluar, evaluar, avaluar, consiste en determinar una tasación darle su medición, estimación, calificación, o su justiprecio.  Podría sostenerse que en el lenguaje común se comprende pero hay grandes diferencias entre una y otra.</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eastAsia="Calibri" w:hAnsi="Palatino Linotype" w:cs="Times New Roman"/>
          <w:sz w:val="21"/>
          <w:szCs w:val="21"/>
        </w:rPr>
        <w:tab/>
        <w:t>Podría sostenerse, en principio que sigue el criterio de la libre valoración o del libre convencimiento judicial con la expresión "</w:t>
      </w:r>
      <w:r w:rsidRPr="00E10347">
        <w:rPr>
          <w:rFonts w:ascii="Palatino Linotype" w:hAnsi="Palatino Linotype" w:cs="Times New Roman"/>
          <w:sz w:val="21"/>
          <w:szCs w:val="21"/>
        </w:rPr>
        <w:t xml:space="preserve">Las pruebas se apreciarán en su totalidad, conforme a los criterios de la lógica, experiencia, ciencia y correcto entendimiento humano" porque no se vincula a un valor preconcebido de las pruebas,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Pero el Código agrega un freno, una limitación.  Siendo la lex </w:t>
      </w:r>
      <w:r w:rsidRPr="00E10347">
        <w:rPr>
          <w:rFonts w:ascii="Palatino Linotype" w:hAnsi="Palatino Linotype" w:cs="Times New Roman"/>
          <w:b/>
          <w:i/>
          <w:sz w:val="21"/>
          <w:szCs w:val="21"/>
        </w:rPr>
        <w:t>generalis</w:t>
      </w:r>
      <w:r w:rsidRPr="00E10347">
        <w:rPr>
          <w:rFonts w:ascii="Palatino Linotype" w:hAnsi="Palatino Linotype" w:cs="Times New Roman"/>
          <w:sz w:val="21"/>
          <w:szCs w:val="21"/>
        </w:rPr>
        <w:t xml:space="preserve"> no debería atreverse a ello porque su misión es iluminar al resto del ordenamiento.  En efecto se agrega "salvo texto legal que expresamente disponga una regla de </w:t>
      </w:r>
      <w:r w:rsidRPr="00E10347">
        <w:rPr>
          <w:rFonts w:ascii="Palatino Linotype" w:hAnsi="Palatino Linotype" w:cs="Times New Roman"/>
          <w:sz w:val="21"/>
          <w:szCs w:val="21"/>
        </w:rPr>
        <w:lastRenderedPageBreak/>
        <w:t>apreciación diversa". Con ello no parece sostener el criterio fundamental.  Porque podría impedir el avance de otras ramas jurídicas recurrentes a la normativa general para obtener criterios generales: porque si tuviera un sistema de valoración arcaico la respuesta del Nuevo Código es "Se aplica el criterio establece en su normativa y no el de la libre valoración de la prueba.</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Al final introduce un concepto ilógico, consecuente con el principio inquisitivo porque castiga con la Valoración de la Prueba. Cabe preguntarse ¿Qué es convicción ratificante? ¿No le valora las pruebas de una de las partes? En efecto, con una posición autoritaria, agregó "La conducta de las partes durante el procedimiento podrá constituir un elemento de convicción ratificante de las partes".  Dice procedimiento y no proceso  (lo que reafirma la falta de cientificidad de la Comisión).  Y aún quedan interrogantes:  ¿Cual es el sentido de una fórmula tan amplia?.  ¿Se castigarán las pruebas de quien fue rebelde, a quien se ha prevenido de la corrección de la demanda o la contestación?  ¿O porque recurrió mucho, contra el criterio del Juez, o porque revocaron sus resoluciones?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Ese concepto absurdo además de ser inaplicable podría hasta ser inconstitucional, porque se castigaría el derecho de defensa.</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eastAsia="Calibri" w:hAnsi="Palatino Linotype" w:cs="Times New Roman"/>
          <w:sz w:val="21"/>
          <w:szCs w:val="21"/>
        </w:rPr>
        <w:tab/>
      </w:r>
      <w:r w:rsidRPr="00E10347">
        <w:rPr>
          <w:rFonts w:ascii="Palatino Linotype" w:hAnsi="Palatino Linotype" w:cs="Times New Roman"/>
          <w:sz w:val="21"/>
          <w:szCs w:val="21"/>
        </w:rPr>
        <w:t>C)  El frustrado  e  inconcluso, por ambicioso y falto de técnica jurídica, del Proyecto N°  15.887  de Código Procesal Agrario, Agroalimentario y Agroambiental.</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El Proyecto no ha contado con la aprobación de la Asamblea Legislativa.  sus aspiraciones de ser un futuro Código Procesal Agrario, Agroalimentario y Agroambiental</w:t>
      </w:r>
      <w:r w:rsidRPr="00E10347">
        <w:rPr>
          <w:rFonts w:ascii="Palatino Linotype" w:hAnsi="Palatino Linotype" w:cs="Times New Roman"/>
          <w:b/>
          <w:sz w:val="21"/>
          <w:szCs w:val="21"/>
        </w:rPr>
        <w:t xml:space="preserve">  </w:t>
      </w:r>
      <w:r w:rsidRPr="00E10347">
        <w:rPr>
          <w:rFonts w:ascii="Palatino Linotype" w:hAnsi="Palatino Linotype" w:cs="Times New Roman"/>
          <w:sz w:val="21"/>
          <w:szCs w:val="21"/>
        </w:rPr>
        <w:t xml:space="preserve">son altamente pretensiosas porque su misión sería sustituir la vieja Ley de Jurisdicción Agraria N° 6734   del 29 de marzo del 1982.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Por tal debería ser una normativa más sencilla y  profunda pero menos voluminosa y contradictoria con otras disposiciones.  Recurriendo siempre, con la técnica del </w:t>
      </w:r>
      <w:r w:rsidRPr="00E10347">
        <w:rPr>
          <w:rFonts w:ascii="Palatino Linotype" w:hAnsi="Palatino Linotype" w:cs="Times New Roman"/>
          <w:b/>
          <w:sz w:val="21"/>
          <w:szCs w:val="21"/>
        </w:rPr>
        <w:t xml:space="preserve">Código Procesal Contencioso Administrativo </w:t>
      </w:r>
      <w:r w:rsidRPr="00E10347">
        <w:rPr>
          <w:rFonts w:ascii="Palatino Linotype" w:hAnsi="Palatino Linotype" w:cs="Times New Roman"/>
          <w:sz w:val="21"/>
          <w:szCs w:val="21"/>
        </w:rPr>
        <w:t>a recurrir  a las normas generales, sin repetirlas innecesariamente con ligeros cambios pues eso causa muchas, y muy diferentes distorsiones.</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Pese a la tesis personal de apoyar la propuesta del Proyecto de </w:t>
      </w:r>
      <w:r w:rsidRPr="00E10347">
        <w:rPr>
          <w:rFonts w:ascii="Palatino Linotype" w:hAnsi="Palatino Linotype" w:cs="Times New Roman"/>
          <w:b/>
          <w:sz w:val="21"/>
          <w:szCs w:val="21"/>
        </w:rPr>
        <w:t xml:space="preserve">Código General Procesal, </w:t>
      </w:r>
      <w:r w:rsidRPr="00E10347">
        <w:rPr>
          <w:rFonts w:ascii="Palatino Linotype" w:hAnsi="Palatino Linotype" w:cs="Times New Roman"/>
          <w:sz w:val="21"/>
          <w:szCs w:val="21"/>
        </w:rPr>
        <w:t xml:space="preserve"> siempre apoyé las reformas a  como se llamó originalmente </w:t>
      </w:r>
      <w:r w:rsidRPr="00E10347">
        <w:rPr>
          <w:rFonts w:ascii="Palatino Linotype" w:hAnsi="Palatino Linotype" w:cs="Times New Roman"/>
          <w:b/>
          <w:sz w:val="21"/>
          <w:szCs w:val="21"/>
        </w:rPr>
        <w:t>Reforma de Ley Procesal Agraria, Agroalimentaria y Agroambienal</w:t>
      </w:r>
      <w:r w:rsidRPr="00E10347">
        <w:rPr>
          <w:rFonts w:ascii="Palatino Linotype" w:hAnsi="Palatino Linotype" w:cs="Times New Roman"/>
          <w:sz w:val="21"/>
          <w:szCs w:val="21"/>
        </w:rPr>
        <w:t>, y más tarde del Proyecto de Código Procesal Agrario, Agroalimentario y Agroambiental, expresando siempre mis criterios personales de cómo reformar las propuestas para su concordancia, y no contradicción, con la gran reforma procesal.</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ab/>
        <w:t xml:space="preserve">Trataré de resumir al máximo las observaciones para demostrar las grandes dificultades que atraviesa el Proyecto.  Máxime si se organizan eventos y la Comisión Redactora no acoge las propuestas, dejándolo igual. </w:t>
      </w:r>
    </w:p>
    <w:p w:rsidR="002014CA" w:rsidRPr="00E10347" w:rsidRDefault="002014CA" w:rsidP="00E10347">
      <w:pPr>
        <w:jc w:val="both"/>
        <w:rPr>
          <w:rFonts w:ascii="Palatino Linotype" w:hAnsi="Palatino Linotype" w:cs="Times New Roman"/>
          <w:b/>
          <w:sz w:val="21"/>
          <w:szCs w:val="21"/>
        </w:rPr>
      </w:pPr>
      <w:r w:rsidRPr="00E10347">
        <w:rPr>
          <w:rFonts w:ascii="Palatino Linotype" w:hAnsi="Palatino Linotype" w:cs="Times New Roman"/>
          <w:sz w:val="21"/>
          <w:szCs w:val="21"/>
        </w:rPr>
        <w:tab/>
      </w:r>
      <w:r w:rsidRPr="00E10347">
        <w:rPr>
          <w:rFonts w:ascii="Palatino Linotype" w:hAnsi="Palatino Linotype" w:cs="Times New Roman"/>
          <w:b/>
          <w:sz w:val="21"/>
          <w:szCs w:val="21"/>
        </w:rPr>
        <w:t>a)  Las primeras observaciones técnicas para el mejoramiento del proyecto</w:t>
      </w:r>
    </w:p>
    <w:p w:rsidR="002014CA" w:rsidRPr="00E10347" w:rsidRDefault="002014CA" w:rsidP="00E10347">
      <w:pPr>
        <w:jc w:val="both"/>
        <w:rPr>
          <w:rFonts w:ascii="Palatino Linotype" w:hAnsi="Palatino Linotype"/>
          <w:sz w:val="21"/>
          <w:szCs w:val="21"/>
        </w:rPr>
      </w:pPr>
      <w:r w:rsidRPr="00E10347">
        <w:rPr>
          <w:rFonts w:ascii="Palatino Linotype" w:hAnsi="Palatino Linotype" w:cs="Times New Roman"/>
          <w:sz w:val="21"/>
          <w:szCs w:val="21"/>
        </w:rPr>
        <w:tab/>
        <w:t xml:space="preserve">Cuando el Proyecto fue conocido se le hicieron una serie de observaciones tendientes a crear otro en sus verdaderas dimensiones, para la oralidad y los tiempos actuales, a manera de sugerencias a la Comisión encargada de llevar adelante el documento, estando </w:t>
      </w:r>
      <w:r w:rsidRPr="00E10347">
        <w:rPr>
          <w:rFonts w:ascii="Palatino Linotype" w:hAnsi="Palatino Linotype"/>
          <w:sz w:val="21"/>
          <w:szCs w:val="21"/>
        </w:rPr>
        <w:t xml:space="preserve"> de acuerdo con la aprobación de un Código Procesal Agrario porque el legislador durante todos estos años no ha atendido la necesidad de una reforma a la Ley de Jurisdicción Agraria, y conviene aprobar un Código para el futuro, contemporáneo,  pues la vieja Ley de Jurisdicción agraria de 1982 nació atrasada y cada vez lo está más.</w:t>
      </w:r>
    </w:p>
    <w:p w:rsidR="00B600D3" w:rsidRDefault="00B600D3" w:rsidP="00E10347">
      <w:pPr>
        <w:jc w:val="both"/>
        <w:rPr>
          <w:rFonts w:ascii="Palatino Linotype" w:hAnsi="Palatino Linotype" w:cs="Times New Roman"/>
          <w:b/>
          <w:sz w:val="21"/>
          <w:szCs w:val="21"/>
        </w:rPr>
      </w:pPr>
    </w:p>
    <w:p w:rsidR="002014CA" w:rsidRPr="00E10347" w:rsidRDefault="002014CA"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El contenido del Código</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En el contenido del Código Agrario sus autoras tomaron la decisión de crear un cuerpo normativo con todas las instituciones necesarias para concebir la oralidad en el agrario, sin poder desvincularse completamente de la Ley de Jurisdicción agraria porque ésta deberá subsistir en forma independiente hasta tanto se terminen todos los procesos iniciados con esta Ley.  Por ello el Proyecto se equivoca al contener todas las normas para uno y para otro sistema.</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Su estudio refleja un cuerpo normativo muy grande, repetitivo de normas ya existente o criterios teóricos fundamentales que debe conocer el Juez , innecesarias de reiterar por tratarse de normas generales aplicables a un sistema oral.  No se comparte este criterio porque al ser totalizante se parece a las normativas medievales.</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El Código debe ubicarse en su justo medio, con las normas especiales propias de la oralidad para lo agrario, sin perder conciencia con los límites de la escritura, pues las normas de ese sistema no cabrían en el nuevo cuerpo procesal.</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Tampoco tiene sentido traerse todos los institutos procesales de otros cuerpos normativos para repetirlos, aunque sea con otro orden, en su texto, o corregir leyes especiales en vez de reformarla en el capítulo respectivo. Porque eso significa concebir un Código en confrontación con las demás ramas jurídicas.  Porque ello traerá graves trastornos para su aprobación.  Respecto del Código Procesal contenciosos administrativo, a todas luces, resulta inconveniente introducir un contencioso administrativo agrario.  </w:t>
      </w:r>
    </w:p>
    <w:p w:rsidR="002014CA" w:rsidRPr="00E10347" w:rsidRDefault="002014CA"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lastRenderedPageBreak/>
        <w:t>El carácter que debería tener el Código</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El Código Procesal Agrario debe ser un conjunto normativo orgánico, cuya completes se obtiene con el recurso a las normas generales, por tal no puede ser un Código universal ni totalizador, porque los grandes códigos son para siempre, no permiten sus posteriores reformas.</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Sería más conveniente una ley pequeña, manejable, comprensible, teniendo presente que los agraristas deberán trabajar con dos normativas procesales al mismo tiempo, y ambos textos deberían tener un contenido similar.</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Se requiere crear un Código armónico, democrático, ordenado, sin contradicción con el resto del sistema judicial.  Debe ser un Código en armonía con la Constitución Política y los demás sistemas procesales existentes. </w:t>
      </w:r>
    </w:p>
    <w:p w:rsidR="00B600D3" w:rsidRDefault="00B600D3" w:rsidP="00E10347">
      <w:pPr>
        <w:jc w:val="both"/>
        <w:rPr>
          <w:rFonts w:ascii="Palatino Linotype" w:hAnsi="Palatino Linotype" w:cs="Times New Roman"/>
          <w:b/>
          <w:sz w:val="21"/>
          <w:szCs w:val="21"/>
        </w:rPr>
      </w:pPr>
    </w:p>
    <w:p w:rsidR="002014CA" w:rsidRPr="00E10347" w:rsidRDefault="002014CA"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La competencia</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El Código debe mejorar la competencia agraria conforme los lineamientos doctrinarios y jurisprudenciales basados en la teoría de la empresa agraria, centrada en la actividad principal de producción de animales y vegetales dentro de un ciclo biológico, comprendiendo también las actividades conexas de transformación, industrialización y comercialización de productos agrícolas.  A la competencia genérica pueden agregarse todas las materias adicionales, o las acciones propias de lo agrario, pero comprendiendo que el agrario ha sido influido por el ambiental y el alimentario, pero no es ni ambiental ni alimentario </w:t>
      </w:r>
      <w:r w:rsidRPr="00E10347">
        <w:rPr>
          <w:rFonts w:ascii="Palatino Linotype" w:hAnsi="Palatino Linotype" w:cs="Times New Roman"/>
          <w:b/>
          <w:i/>
          <w:sz w:val="21"/>
          <w:szCs w:val="21"/>
        </w:rPr>
        <w:t>strictu sensu</w:t>
      </w:r>
      <w:r w:rsidRPr="00E10347">
        <w:rPr>
          <w:rFonts w:ascii="Palatino Linotype" w:hAnsi="Palatino Linotype" w:cs="Times New Roman"/>
          <w:sz w:val="21"/>
          <w:szCs w:val="21"/>
        </w:rPr>
        <w:t>.  Por ello debe preverse en la competencia los fenómenos transversales del ambiente y la alimentación, pero sin entrar en confusiones innecesarias.</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Igualmente si los juicios universales son de conocimiento de la Sala Segunda resulta también inconveniente traer esos asuntos por la vía de la competencia, sin modificar la Ley Orgánica del Poder Judicial, atraerlos hacia la competencia agraria. </w:t>
      </w:r>
    </w:p>
    <w:p w:rsidR="00B600D3" w:rsidRDefault="00B600D3" w:rsidP="00E10347">
      <w:pPr>
        <w:jc w:val="both"/>
        <w:rPr>
          <w:rFonts w:ascii="Palatino Linotype" w:hAnsi="Palatino Linotype" w:cs="Times New Roman"/>
          <w:b/>
          <w:sz w:val="21"/>
          <w:szCs w:val="21"/>
        </w:rPr>
      </w:pPr>
    </w:p>
    <w:p w:rsidR="002014CA" w:rsidRPr="00E10347" w:rsidRDefault="002014CA"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 xml:space="preserve">Principios procesales </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Deben quedar claros los principios procesales del Código, oralidad, inmediatez, concentración, identidad física del juzgador, imparcialidad de los jueces,  y los anti principios como el inquisitivo, la escritura y la mediación.  Es indispensable introducir la fórmula, propia de la hermenéutica contemporánea, según la cual en ausencia de norma agraria el Juez debe recurrir a los principios del derecho agrario.</w:t>
      </w:r>
    </w:p>
    <w:p w:rsidR="00B600D3" w:rsidRDefault="00B600D3" w:rsidP="00E10347">
      <w:pPr>
        <w:jc w:val="both"/>
        <w:rPr>
          <w:rFonts w:ascii="Palatino Linotype" w:hAnsi="Palatino Linotype" w:cs="Times New Roman"/>
          <w:b/>
          <w:sz w:val="21"/>
          <w:szCs w:val="21"/>
        </w:rPr>
      </w:pP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b/>
          <w:sz w:val="21"/>
          <w:szCs w:val="21"/>
        </w:rPr>
        <w:lastRenderedPageBreak/>
        <w:t>Debido proceso</w:t>
      </w:r>
      <w:r w:rsidRPr="00E10347">
        <w:rPr>
          <w:rFonts w:ascii="Palatino Linotype" w:hAnsi="Palatino Linotype" w:cs="Times New Roman"/>
          <w:sz w:val="21"/>
          <w:szCs w:val="21"/>
        </w:rPr>
        <w:t xml:space="preserve">  </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La actividad procesal debe desarrollarse en armonía con el principio del debido proceso, permitiendo a las partes el contradictorio, el derecho a la defensa, el derecho a probar todo lo alegado en la pretensión (no en los hechos), para concebir un sistema procesal democrático.</w:t>
      </w:r>
    </w:p>
    <w:p w:rsidR="00B600D3" w:rsidRDefault="00B600D3" w:rsidP="00E10347">
      <w:pPr>
        <w:jc w:val="both"/>
        <w:rPr>
          <w:rFonts w:ascii="Palatino Linotype" w:hAnsi="Palatino Linotype" w:cs="Times New Roman"/>
          <w:b/>
          <w:sz w:val="21"/>
          <w:szCs w:val="21"/>
        </w:rPr>
      </w:pPr>
    </w:p>
    <w:p w:rsidR="002014CA" w:rsidRPr="00E10347" w:rsidRDefault="002014CA"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Oralidad</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Como la oralidad es un proceso por audiencias, cuyo objetivo consiste en superar un sistema basado en actos procesales precluidos y concatenados propios de la escritura, deben concebirse todas las actividades que se pueden realizar en las audiencias.  Separadamente debe regularse la audiencia preliminar y la audiencia complementaria, incluyendo las actividades que se van a realizar en ellas para los procesos ordinarios.  En la Audiencia preliminar se sanea el proceso por el Juez Tramitador, delimitando la pretensión, se resuelven las defensas previas, se excluyen los hechos no controvertidos, se admite la prueba sin ninguna limitación para un adecuado contradictorio, y se remite para el señalamiento de fecha para la Audiencia Complementaria.  Es en esta donde se cumple con el contradictorio en la recepción de la prueba admitida, se oyen los alegatos finales de los abogados de las partes y se procede al dictado de la sentencia siguiendo el Sistema de libre valoración o de libre convicción judicial</w:t>
      </w:r>
    </w:p>
    <w:p w:rsidR="00B600D3" w:rsidRDefault="00B600D3" w:rsidP="00E10347">
      <w:pPr>
        <w:jc w:val="both"/>
        <w:rPr>
          <w:rFonts w:ascii="Palatino Linotype" w:hAnsi="Palatino Linotype" w:cs="Times New Roman"/>
          <w:b/>
          <w:sz w:val="21"/>
          <w:szCs w:val="21"/>
        </w:rPr>
      </w:pPr>
    </w:p>
    <w:p w:rsidR="002014CA" w:rsidRPr="00E10347" w:rsidRDefault="002014CA"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 xml:space="preserve">En la oralidad también hay aspectos escritos </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Los actos procesales deben centrarse en la oralidad, solo serán escritos la demanda y la contestación, donde deberán presentarse todas las pruebas, y presentarse todos los documentos, y escrita debe ser toda sentencia sin perjuicio de que pueda dictarse oralmente y luego se notifique la sentencia documento. </w:t>
      </w:r>
    </w:p>
    <w:p w:rsidR="00B600D3" w:rsidRDefault="00B600D3" w:rsidP="00E10347">
      <w:pPr>
        <w:jc w:val="both"/>
        <w:rPr>
          <w:rFonts w:ascii="Palatino Linotype" w:hAnsi="Palatino Linotype" w:cs="Times New Roman"/>
          <w:b/>
          <w:sz w:val="21"/>
          <w:szCs w:val="21"/>
        </w:rPr>
      </w:pPr>
    </w:p>
    <w:p w:rsidR="002014CA" w:rsidRPr="00E10347" w:rsidRDefault="002014CA"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Sentencia escrita u oral</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Respecto del artículo 112 debería discutirse si la sentencia será escrita u oral como en el contencioso.</w:t>
      </w:r>
    </w:p>
    <w:p w:rsidR="00B600D3" w:rsidRDefault="00B600D3" w:rsidP="00E10347">
      <w:pPr>
        <w:jc w:val="both"/>
        <w:rPr>
          <w:rFonts w:ascii="Palatino Linotype" w:hAnsi="Palatino Linotype" w:cs="Times New Roman"/>
          <w:b/>
          <w:sz w:val="21"/>
          <w:szCs w:val="21"/>
        </w:rPr>
      </w:pPr>
    </w:p>
    <w:p w:rsidR="00B600D3" w:rsidRDefault="00B600D3" w:rsidP="00E10347">
      <w:pPr>
        <w:jc w:val="both"/>
        <w:rPr>
          <w:rFonts w:ascii="Palatino Linotype" w:hAnsi="Palatino Linotype" w:cs="Times New Roman"/>
          <w:b/>
          <w:sz w:val="21"/>
          <w:szCs w:val="21"/>
        </w:rPr>
      </w:pPr>
    </w:p>
    <w:p w:rsidR="002014CA" w:rsidRPr="00E10347" w:rsidRDefault="002014CA"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 xml:space="preserve">Recursos en la oralidad </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El título de la actividad procesal impugnaticia puede mejorarse para que sea solo para la oralidad, revocatoria en las audiencias,  apelación y casación para los </w:t>
      </w:r>
      <w:r w:rsidRPr="00E10347">
        <w:rPr>
          <w:rFonts w:ascii="Palatino Linotype" w:hAnsi="Palatino Linotype" w:cs="Times New Roman"/>
          <w:sz w:val="21"/>
          <w:szCs w:val="21"/>
        </w:rPr>
        <w:lastRenderedPageBreak/>
        <w:t>no ordinarios y los ordinarios en su orden, mejorándose lo pautado en el Procesal contencioso.  Para  la casación por razones de forma  lo procedente es anular la sentencia, reenviar el juicio para que otro Tribunal haga nuevamente la audiencia complementaria y no infrinja los reproches planteados.</w:t>
      </w:r>
    </w:p>
    <w:p w:rsidR="00B600D3" w:rsidRDefault="00B600D3" w:rsidP="00E10347">
      <w:pPr>
        <w:jc w:val="both"/>
        <w:rPr>
          <w:rFonts w:ascii="Palatino Linotype" w:hAnsi="Palatino Linotype" w:cs="Times New Roman"/>
          <w:b/>
          <w:sz w:val="21"/>
          <w:szCs w:val="21"/>
        </w:rPr>
      </w:pP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b/>
          <w:sz w:val="21"/>
          <w:szCs w:val="21"/>
        </w:rPr>
        <w:t>Conciliación</w:t>
      </w:r>
      <w:r w:rsidRPr="00E10347">
        <w:rPr>
          <w:rFonts w:ascii="Palatino Linotype" w:hAnsi="Palatino Linotype" w:cs="Times New Roman"/>
          <w:sz w:val="21"/>
          <w:szCs w:val="21"/>
        </w:rPr>
        <w:tab/>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La conciliación puede ser intentada solo por jueces conciliadores. Cuando ella sea extrajudicial el Tribunal la homologará con efectos de cosa juzgada.</w:t>
      </w:r>
    </w:p>
    <w:p w:rsidR="00B600D3" w:rsidRDefault="00B600D3" w:rsidP="00E10347">
      <w:pPr>
        <w:jc w:val="both"/>
        <w:rPr>
          <w:rFonts w:ascii="Palatino Linotype" w:hAnsi="Palatino Linotype" w:cs="Times New Roman"/>
          <w:b/>
          <w:sz w:val="21"/>
          <w:szCs w:val="21"/>
        </w:rPr>
      </w:pPr>
    </w:p>
    <w:p w:rsidR="002014CA" w:rsidRPr="00E10347" w:rsidRDefault="002014CA"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Poderes del Juez son incompatibles con el P. Inquisitivo</w:t>
      </w:r>
      <w:r w:rsidRPr="00E10347">
        <w:rPr>
          <w:rFonts w:ascii="Palatino Linotype" w:hAnsi="Palatino Linotype" w:cs="Times New Roman"/>
          <w:b/>
          <w:sz w:val="21"/>
          <w:szCs w:val="21"/>
        </w:rPr>
        <w:tab/>
      </w:r>
    </w:p>
    <w:p w:rsidR="002014CA" w:rsidRPr="00E10347" w:rsidRDefault="002014CA" w:rsidP="00E10347">
      <w:pPr>
        <w:ind w:firstLine="708"/>
        <w:jc w:val="both"/>
        <w:rPr>
          <w:rFonts w:ascii="Palatino Linotype" w:hAnsi="Palatino Linotype" w:cs="Times New Roman"/>
          <w:sz w:val="21"/>
          <w:szCs w:val="21"/>
        </w:rPr>
      </w:pPr>
      <w:r w:rsidRPr="00E10347">
        <w:rPr>
          <w:rFonts w:ascii="Palatino Linotype" w:hAnsi="Palatino Linotype" w:cs="Times New Roman"/>
          <w:sz w:val="21"/>
          <w:szCs w:val="21"/>
        </w:rPr>
        <w:t>La inclinación de los amplios poderes  de los jueces es incompatible con el principio inquisitivo, esto no es propio de un sistema en armonía con la Constitución, porque “la búsqueda de la verdad real” (que solo Dios conoce) es propia de los sistemas antidemocráticos, porque en el juicio se discuten dos versiones, cada una tiene su propia verdad, y el Juez declara la que se ajusta más al Derecho.</w:t>
      </w:r>
    </w:p>
    <w:p w:rsidR="00B600D3" w:rsidRDefault="00B600D3" w:rsidP="00E10347">
      <w:pPr>
        <w:jc w:val="both"/>
        <w:rPr>
          <w:rFonts w:ascii="Palatino Linotype" w:hAnsi="Palatino Linotype" w:cs="Times New Roman"/>
          <w:b/>
          <w:sz w:val="21"/>
          <w:szCs w:val="21"/>
        </w:rPr>
      </w:pPr>
    </w:p>
    <w:p w:rsidR="002014CA" w:rsidRPr="00E10347" w:rsidRDefault="002014CA"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Identidad  física del juzgador</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En ningún caso puede romperse con el principio de la identidad física del juzgador, ni se pueden suspender las audiencias salvo causa muy grave. Las medidas cautelares solicitadas, o la solicitud de modificarlas, y todo tipo de gestión previa debe resolverse por medio de audiencias.</w:t>
      </w:r>
    </w:p>
    <w:p w:rsidR="00B600D3" w:rsidRDefault="00B600D3" w:rsidP="00E10347">
      <w:pPr>
        <w:jc w:val="both"/>
        <w:rPr>
          <w:rFonts w:ascii="Palatino Linotype" w:hAnsi="Palatino Linotype" w:cs="Times New Roman"/>
          <w:b/>
          <w:sz w:val="21"/>
          <w:szCs w:val="21"/>
        </w:rPr>
      </w:pPr>
    </w:p>
    <w:p w:rsidR="002014CA" w:rsidRPr="00E10347" w:rsidRDefault="002014CA"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Itinerancia</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La itinerancia (artículo 74) debe ser excepción y no regla. La itinerancia como principio puede ser muy criticable por costoso e innecesario porque para los jueces, las partes, los testigos, y sobre todo para la grabación de las audiencias, debería limitarse el reconocimiento judicial cuando lo discutido lo requiere, y realizar el juicio en el despacho</w:t>
      </w:r>
    </w:p>
    <w:p w:rsidR="00B600D3" w:rsidRDefault="00B600D3" w:rsidP="00E10347">
      <w:pPr>
        <w:jc w:val="both"/>
        <w:rPr>
          <w:rFonts w:ascii="Palatino Linotype" w:hAnsi="Palatino Linotype" w:cs="Times New Roman"/>
          <w:b/>
          <w:sz w:val="21"/>
          <w:szCs w:val="21"/>
        </w:rPr>
      </w:pPr>
    </w:p>
    <w:p w:rsidR="002014CA" w:rsidRPr="00E10347" w:rsidRDefault="002014CA"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Defensa de las partes</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En la representación y defensa de las partes debe regir el principio de defensa técnica bajo la dirección de dos abogados, eliminando todo tipo de gestiones o demandas presentadas en estrados, y excepcionalmente la defensa pública agraria debe ser para los no habientes previa demostración de su situación socioeconómica.</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ab/>
        <w:t xml:space="preserve">La defensa letrada debe recaer siempre a cargo de abogados, y la excepción de la defensa pública agraria.  </w:t>
      </w:r>
    </w:p>
    <w:p w:rsidR="00B600D3" w:rsidRDefault="00B600D3" w:rsidP="00E10347">
      <w:pPr>
        <w:jc w:val="both"/>
        <w:rPr>
          <w:rFonts w:ascii="Palatino Linotype" w:hAnsi="Palatino Linotype" w:cs="Times New Roman"/>
          <w:b/>
          <w:sz w:val="21"/>
          <w:szCs w:val="21"/>
        </w:rPr>
      </w:pPr>
    </w:p>
    <w:p w:rsidR="002014CA" w:rsidRPr="00E10347" w:rsidRDefault="002014CA"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Obligaciones de las partes dentro del proceso</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Conviene profundizar en los derechos y deberes de los sujetos procesales, tanto de las partes como de los jueces, con hincapié en la imparcialidad del Juez, quien deberá resolver los casos conforme a las pretensiones y las pruebas del debate y no conforme a criterios propios de una inconveniente jurisprudencia propia con la cual los jueces infringen la imparcialidad.</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Un deber fundamental a desarrollar debería ser el del respeto al sistema de administración de justicia y a la parte contraria, para la probidad y transparencia en el proceso, el cual se manifiesta no solo en el adecuado comportamiento con los jueces y la contraparte, sino también con el de dejar copia de todas los documentos, pruebas y escritos presentados.</w:t>
      </w:r>
    </w:p>
    <w:p w:rsidR="00B600D3" w:rsidRDefault="00B600D3" w:rsidP="00E10347">
      <w:pPr>
        <w:jc w:val="both"/>
        <w:rPr>
          <w:rFonts w:ascii="Palatino Linotype" w:hAnsi="Palatino Linotype" w:cs="Times New Roman"/>
          <w:sz w:val="21"/>
          <w:szCs w:val="21"/>
        </w:rPr>
      </w:pPr>
    </w:p>
    <w:p w:rsidR="002014CA" w:rsidRPr="00E10347" w:rsidRDefault="002014CA" w:rsidP="00E10347">
      <w:pPr>
        <w:jc w:val="both"/>
        <w:rPr>
          <w:rFonts w:ascii="Palatino Linotype" w:hAnsi="Palatino Linotype" w:cs="Times New Roman"/>
          <w:b/>
          <w:sz w:val="21"/>
          <w:szCs w:val="21"/>
        </w:rPr>
      </w:pPr>
      <w:r w:rsidRPr="00E10347">
        <w:rPr>
          <w:rFonts w:ascii="Palatino Linotype" w:hAnsi="Palatino Linotype" w:cs="Times New Roman"/>
          <w:sz w:val="21"/>
          <w:szCs w:val="21"/>
        </w:rPr>
        <w:t xml:space="preserve">El </w:t>
      </w:r>
      <w:r w:rsidRPr="00E10347">
        <w:rPr>
          <w:rFonts w:ascii="Palatino Linotype" w:hAnsi="Palatino Linotype" w:cs="Times New Roman"/>
          <w:b/>
          <w:sz w:val="21"/>
          <w:szCs w:val="21"/>
        </w:rPr>
        <w:t xml:space="preserve">proceso y los procesos </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Conviene modificar el sistema creado para dejar solo, como fue la inspiración original, el proceso ordinario, los procesos provenientes de otros Códigos u otras leyes especiales, y los nuevos procesos, todos tramitados en audiencias orales.</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Los procesos ab</w:t>
      </w:r>
      <w:r w:rsidRPr="00E10347">
        <w:rPr>
          <w:rFonts w:ascii="Palatino Linotype" w:hAnsi="Palatino Linotype" w:cs="Times New Roman"/>
          <w:b/>
          <w:sz w:val="21"/>
          <w:szCs w:val="21"/>
        </w:rPr>
        <w:t>reviad</w:t>
      </w:r>
      <w:r w:rsidRPr="00E10347">
        <w:rPr>
          <w:rFonts w:ascii="Palatino Linotype" w:hAnsi="Palatino Linotype" w:cs="Times New Roman"/>
          <w:sz w:val="21"/>
          <w:szCs w:val="21"/>
        </w:rPr>
        <w:t>os deben eliminarse, porque todos se tramitarán como ordinarios. Los no contenciosos tienen plena cabida en el Código.</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Las sucesiones agrarias y los concursales incluidos los de soluciones anticipadas es mejor dejarlos en la sede civil.</w:t>
      </w:r>
    </w:p>
    <w:p w:rsidR="00B600D3" w:rsidRDefault="00B600D3" w:rsidP="00E10347">
      <w:pPr>
        <w:jc w:val="both"/>
        <w:rPr>
          <w:rFonts w:ascii="Palatino Linotype" w:hAnsi="Palatino Linotype" w:cs="Times New Roman"/>
          <w:b/>
          <w:sz w:val="21"/>
          <w:szCs w:val="21"/>
        </w:rPr>
      </w:pPr>
    </w:p>
    <w:p w:rsidR="002014CA" w:rsidRPr="00E10347" w:rsidRDefault="002014CA"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 xml:space="preserve">En cuanto a la política de creación de órganos judiciales para la oralidad </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Parece correcto seguir el modelo del Procesal contencioso administrativo para el  Tribunal Procesal Agrario, conformado por un conjunto de jueces que sean a su vez tramitadores, jueces de juicio, ejecutores e incluso hasta conciliadores, ocupando diferentes posiciones en diferentes momentos.</w:t>
      </w:r>
    </w:p>
    <w:p w:rsidR="00B600D3" w:rsidRDefault="00B600D3" w:rsidP="00E10347">
      <w:pPr>
        <w:jc w:val="both"/>
        <w:rPr>
          <w:rFonts w:ascii="Palatino Linotype" w:hAnsi="Palatino Linotype" w:cs="Times New Roman"/>
          <w:b/>
          <w:sz w:val="21"/>
          <w:szCs w:val="21"/>
        </w:rPr>
      </w:pPr>
    </w:p>
    <w:p w:rsidR="00B600D3" w:rsidRDefault="00B600D3" w:rsidP="00E10347">
      <w:pPr>
        <w:jc w:val="both"/>
        <w:rPr>
          <w:rFonts w:ascii="Palatino Linotype" w:hAnsi="Palatino Linotype" w:cs="Times New Roman"/>
          <w:b/>
          <w:sz w:val="21"/>
          <w:szCs w:val="21"/>
        </w:rPr>
      </w:pPr>
    </w:p>
    <w:p w:rsidR="002014CA" w:rsidRPr="00E10347" w:rsidRDefault="002014CA"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Organización de tribunales</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El  actual Tribunal Agrario podría conocer de los recursos de casación en los no ordinarios tramitados con oralidad, sin poder repetir juicios ni recibir pruebas </w:t>
      </w:r>
      <w:r w:rsidRPr="00E10347">
        <w:rPr>
          <w:rFonts w:ascii="Palatino Linotype" w:hAnsi="Palatino Linotype" w:cs="Times New Roman"/>
          <w:sz w:val="21"/>
          <w:szCs w:val="21"/>
        </w:rPr>
        <w:lastRenderedPageBreak/>
        <w:t>para mejor proveer.  La casación en la Sala Primera debe mantenerse para los ordinarios orales.</w:t>
      </w:r>
    </w:p>
    <w:p w:rsidR="00B600D3" w:rsidRDefault="00B600D3" w:rsidP="00E10347">
      <w:pPr>
        <w:jc w:val="both"/>
        <w:rPr>
          <w:rFonts w:ascii="Palatino Linotype" w:hAnsi="Palatino Linotype" w:cs="Times New Roman"/>
          <w:b/>
          <w:sz w:val="21"/>
          <w:szCs w:val="21"/>
        </w:rPr>
      </w:pPr>
    </w:p>
    <w:p w:rsidR="002014CA" w:rsidRPr="00E10347" w:rsidRDefault="002014CA"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Indexación</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Siendo un instituto consagrado en la normativa procesal  contencioso administrativa, y bastante difundida de la jurisprudencia y la </w:t>
      </w:r>
      <w:r w:rsidRPr="00E10347">
        <w:rPr>
          <w:rFonts w:ascii="Palatino Linotype" w:hAnsi="Palatino Linotype" w:cs="Times New Roman"/>
          <w:b/>
          <w:i/>
          <w:sz w:val="21"/>
          <w:szCs w:val="21"/>
        </w:rPr>
        <w:t xml:space="preserve">mentis iuris </w:t>
      </w:r>
      <w:r w:rsidRPr="00E10347">
        <w:rPr>
          <w:rFonts w:ascii="Palatino Linotype" w:hAnsi="Palatino Linotype" w:cs="Times New Roman"/>
          <w:sz w:val="21"/>
          <w:szCs w:val="21"/>
        </w:rPr>
        <w:t>costarricense para las obligaciones de valor es necesario incorporar la figura de la indexación.</w:t>
      </w:r>
    </w:p>
    <w:p w:rsidR="00B600D3" w:rsidRDefault="00B600D3" w:rsidP="00E10347">
      <w:pPr>
        <w:jc w:val="both"/>
        <w:rPr>
          <w:rFonts w:ascii="Palatino Linotype" w:hAnsi="Palatino Linotype" w:cs="Times New Roman"/>
          <w:b/>
          <w:sz w:val="21"/>
          <w:szCs w:val="21"/>
        </w:rPr>
      </w:pPr>
    </w:p>
    <w:p w:rsidR="002014CA" w:rsidRPr="00E10347" w:rsidRDefault="002014CA"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B)  Temas que deben excluirse del Anteproyecto</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Conviene evitar cualquier confrontación del Código con los principios de la Constitución Política.  Por el contrario deben fortalecerse los ya definidos como es el caso del debido proceso.  La inclinación de los amplios poderes  de los jueces es incompatible con el principio inquisitivo, esto no es propio de un sistema en armonía con la Constitución, porque “la búsqueda de la verdad real” (que solo Dios conoce) es propia de los sistemas antidemocráticos, porque en el juicio se discuten dos versiones, cada una tiene su propia verdad, y el Juez declara la que se ajusta más al Derecho.  La actividad procesal debe desarrollarse en armonía con el principio del debido proceso, permitiendo a las partes el contradictorio, el derecho a la defensa, el derecho a probar todo lo alegado en la pretensión (no en los hechos), para concebir un sistema procesal democrático.</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Es innecesario concebir un Código en confrontación con las demás ramas jurídicas.  Porque ello traerá graves trastornos para su aprobación.  Recientemente se aprobó el Código Procesal contenciosos administrativo, entonces resulta inconveniente introducir un contencioso administrativo agrario.  Igualmente si los juicios universales son de conocimiento de la Sala Segunda resulta también inconveniente traer esos asuntos por la vía de la competencia, sin modificar la Ley Orgánica del Poder Judicial, atraerlos hacia la competencia agraria. </w:t>
      </w:r>
    </w:p>
    <w:p w:rsidR="00A5760D" w:rsidRDefault="00A5760D" w:rsidP="00E10347">
      <w:pPr>
        <w:jc w:val="both"/>
        <w:rPr>
          <w:rFonts w:ascii="Palatino Linotype" w:hAnsi="Palatino Linotype" w:cs="Times New Roman"/>
          <w:b/>
          <w:sz w:val="21"/>
          <w:szCs w:val="21"/>
        </w:rPr>
      </w:pPr>
    </w:p>
    <w:p w:rsidR="002014CA" w:rsidRPr="00E10347" w:rsidRDefault="002014CA"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Derogatoria</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En la derogatoria de la Ley de Jurisdicción Agraria debe quedar clara su vigencia, a través de jueces, el tribunal agrario y la casación, mientras los juicios iniciados con esa normativa no se terminen.  En las disposiciones transitorias podría pensarse en someter al nuevo Código algunos procesos, y particularmente en los ordinarios prever la posibilidad de adecuar los procedimientos si aún no se ha </w:t>
      </w:r>
      <w:r w:rsidRPr="00E10347">
        <w:rPr>
          <w:rFonts w:ascii="Palatino Linotype" w:hAnsi="Palatino Linotype" w:cs="Times New Roman"/>
          <w:sz w:val="21"/>
          <w:szCs w:val="21"/>
        </w:rPr>
        <w:lastRenderedPageBreak/>
        <w:t>llegado a la etapa de pruebas, o si llegada a ella las partes se deciden por el nuevo Código y se sometan a las audiencias preliminar  y complementaria.</w:t>
      </w:r>
    </w:p>
    <w:p w:rsidR="00A5760D" w:rsidRDefault="00A5760D" w:rsidP="00E10347">
      <w:pPr>
        <w:jc w:val="both"/>
        <w:rPr>
          <w:rFonts w:ascii="Palatino Linotype" w:hAnsi="Palatino Linotype"/>
          <w:b/>
          <w:sz w:val="21"/>
          <w:szCs w:val="21"/>
        </w:rPr>
      </w:pPr>
    </w:p>
    <w:p w:rsidR="002014CA" w:rsidRPr="00E10347" w:rsidRDefault="002014CA" w:rsidP="00E10347">
      <w:pPr>
        <w:jc w:val="both"/>
        <w:rPr>
          <w:rFonts w:ascii="Palatino Linotype" w:hAnsi="Palatino Linotype"/>
          <w:b/>
          <w:sz w:val="21"/>
          <w:szCs w:val="21"/>
        </w:rPr>
      </w:pPr>
      <w:r w:rsidRPr="00E10347">
        <w:rPr>
          <w:rFonts w:ascii="Palatino Linotype" w:hAnsi="Palatino Linotype"/>
          <w:b/>
          <w:sz w:val="21"/>
          <w:szCs w:val="21"/>
        </w:rPr>
        <w:t>La subsistencia del Derecho derogado</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Como ha ocurrido con la reciente entrada en vigencia del Código Procesal Contencioso Administrativo, es importante tener claro que en materia procesal subsistirá la Ley de Jurisdicción Agraria  mientas no se terminen todos los juicios iniciados durante el tiempo de su vigencia, y el Código Procesal Agrario regirá solo para los juicios nuevos. </w:t>
      </w:r>
      <w:r w:rsidRPr="00E10347">
        <w:rPr>
          <w:rFonts w:ascii="Palatino Linotype" w:hAnsi="Palatino Linotype" w:cs="Times New Roman"/>
          <w:sz w:val="21"/>
          <w:szCs w:val="21"/>
        </w:rPr>
        <w:tab/>
        <w:t xml:space="preserve">En consecuencia, deben coincidir en el mismo tiempo los juicios y los jueces de la Ley de Jurisdicción Agraria  con los juicios y los jueces del nuevo Código Procesal Agrario.  Esta técnica procesal es más eficiente.  Porque fue diferente lo ocurrido con el Código Procesal Civil que modificó todo el proceso para los juicios viejos y nuevos.  </w:t>
      </w:r>
      <w:r w:rsidRPr="00E10347">
        <w:rPr>
          <w:rFonts w:ascii="Palatino Linotype" w:hAnsi="Palatino Linotype" w:cs="Times New Roman"/>
          <w:sz w:val="21"/>
          <w:szCs w:val="21"/>
        </w:rPr>
        <w:tab/>
        <w:t>La explicación es porque se va a pasar de un proceso escrito con características de verbalidad, a otro de oralidad.  Y el Código Procesal Agrario no puede modificar procesalmente los juicios iniciados antes de su vigencia.</w:t>
      </w:r>
    </w:p>
    <w:p w:rsidR="00A5760D" w:rsidRDefault="00A5760D" w:rsidP="00E10347">
      <w:pPr>
        <w:pStyle w:val="Sinespaciado"/>
        <w:jc w:val="both"/>
        <w:rPr>
          <w:rFonts w:ascii="Palatino Linotype" w:hAnsi="Palatino Linotype" w:cs="Times New Roman"/>
          <w:sz w:val="21"/>
          <w:szCs w:val="21"/>
        </w:rPr>
      </w:pPr>
    </w:p>
    <w:p w:rsidR="002014CA" w:rsidRPr="00E10347" w:rsidRDefault="002014CA" w:rsidP="00E10347">
      <w:pPr>
        <w:pStyle w:val="Sinespaciado"/>
        <w:jc w:val="both"/>
        <w:rPr>
          <w:rFonts w:ascii="Palatino Linotype" w:hAnsi="Palatino Linotype" w:cs="Times New Roman"/>
          <w:b/>
          <w:sz w:val="21"/>
          <w:szCs w:val="21"/>
        </w:rPr>
      </w:pPr>
      <w:r w:rsidRPr="00E10347">
        <w:rPr>
          <w:rFonts w:ascii="Palatino Linotype" w:hAnsi="Palatino Linotype" w:cs="Times New Roman"/>
          <w:sz w:val="21"/>
          <w:szCs w:val="21"/>
        </w:rPr>
        <w:t xml:space="preserve">C)  </w:t>
      </w:r>
      <w:r w:rsidRPr="00E10347">
        <w:rPr>
          <w:rFonts w:ascii="Palatino Linotype" w:hAnsi="Palatino Linotype" w:cs="Times New Roman"/>
          <w:b/>
          <w:sz w:val="21"/>
          <w:szCs w:val="21"/>
        </w:rPr>
        <w:t>El mantenimiento de los errores y la crisis del Proyecto</w:t>
      </w:r>
    </w:p>
    <w:p w:rsidR="002014CA" w:rsidRPr="00E10347" w:rsidRDefault="002014CA" w:rsidP="00E10347">
      <w:pPr>
        <w:ind w:firstLine="708"/>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El Proyecto se ha convertido en documento provisional gigante con errores conceptuales, institucionales y de estructura  por el afán de tener todas las instituciones procesales en un cuerpo normativo autónomo.  Como si la técnica legislativa no aconsejara la producción de normas sencillas, comprensibles,  recurriendo a otros cuerpos normativos las demás instituciones que son propias de todos los procesos sin necesidad de vaciar todo un ordenamiento jurídico en un proyecto, donde se llega hasta el extremo de señalar cuáles son las fuentes normativas mientras se encuentra en el Código Civil.</w:t>
      </w:r>
    </w:p>
    <w:p w:rsidR="002014CA" w:rsidRPr="00E10347" w:rsidRDefault="002014CA" w:rsidP="00E10347">
      <w:pPr>
        <w:ind w:firstLine="708"/>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Se parte del “antiformalismo” sin percatarse que proceso es seguridad jurídica para los ciudadanos, y ese principio no existe. El documento crece ayuno de instituciones procesales, por  ese absurdo “</w:t>
      </w:r>
      <w:r w:rsidRPr="00E10347">
        <w:rPr>
          <w:rFonts w:ascii="Palatino Linotype" w:eastAsia="Calibri" w:hAnsi="Palatino Linotype" w:cs="Times New Roman"/>
          <w:b/>
          <w:sz w:val="21"/>
          <w:szCs w:val="21"/>
        </w:rPr>
        <w:t>anti formalismo</w:t>
      </w:r>
      <w:r w:rsidRPr="00E10347">
        <w:rPr>
          <w:rFonts w:ascii="Palatino Linotype" w:eastAsia="Calibri" w:hAnsi="Palatino Linotype" w:cs="Times New Roman"/>
          <w:sz w:val="21"/>
          <w:szCs w:val="21"/>
        </w:rPr>
        <w:t xml:space="preserve">”,  reivindicante de un proceso aparentemente consuetudinario, sin estar fundado en el Derecho y la equidad.  </w:t>
      </w:r>
    </w:p>
    <w:p w:rsidR="002014CA" w:rsidRPr="00E10347" w:rsidRDefault="002014CA" w:rsidP="00E10347">
      <w:pPr>
        <w:ind w:firstLine="708"/>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 xml:space="preserve">En concreto todos los borradores son </w:t>
      </w:r>
      <w:r w:rsidRPr="00E10347">
        <w:rPr>
          <w:rFonts w:ascii="Palatino Linotype" w:eastAsia="Calibri" w:hAnsi="Palatino Linotype" w:cs="Times New Roman"/>
          <w:b/>
          <w:sz w:val="21"/>
          <w:szCs w:val="21"/>
        </w:rPr>
        <w:t>ocurrentes, distintos, intérpretes de una oralidad multiforme, con procesos e institutos poliédricos, cuya masiva aprobación significaría gran confusión procesal en el país</w:t>
      </w:r>
      <w:r w:rsidRPr="00E10347">
        <w:rPr>
          <w:rFonts w:ascii="Palatino Linotype" w:eastAsia="Calibri" w:hAnsi="Palatino Linotype" w:cs="Times New Roman"/>
          <w:sz w:val="21"/>
          <w:szCs w:val="21"/>
        </w:rPr>
        <w:t>.</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r>
      <w:r w:rsidRPr="00E10347">
        <w:rPr>
          <w:rFonts w:ascii="Palatino Linotype" w:eastAsia="Calibri" w:hAnsi="Palatino Linotype" w:cs="Times New Roman"/>
          <w:b/>
          <w:sz w:val="21"/>
          <w:szCs w:val="21"/>
        </w:rPr>
        <w:t xml:space="preserve">Las comisiones del “Código”  equivocan su rumbo, en tanto buscan </w:t>
      </w:r>
      <w:r w:rsidRPr="00E10347">
        <w:rPr>
          <w:rFonts w:ascii="Palatino Linotype" w:eastAsia="Calibri" w:hAnsi="Palatino Linotype" w:cs="Times New Roman"/>
          <w:b/>
          <w:sz w:val="21"/>
          <w:szCs w:val="21"/>
        </w:rPr>
        <w:lastRenderedPageBreak/>
        <w:t>enfrentamiento con otras ramas del Derecho</w:t>
      </w:r>
      <w:r w:rsidRPr="00E10347">
        <w:rPr>
          <w:rFonts w:ascii="Palatino Linotype" w:eastAsia="Calibri" w:hAnsi="Palatino Linotype" w:cs="Times New Roman"/>
          <w:sz w:val="21"/>
          <w:szCs w:val="21"/>
        </w:rPr>
        <w:t xml:space="preserve">, porque pretenden apropiarse de competencias ajenas, sin visión de conjunto.  ¿Porqué lo agroalimenticio y los agroforestal si esas "equivocadas"  divisiones jurídicas en el ámbito del Derecho sustantivo no tienen ni han tenido ningún éxito, pues se trata de corrientes acomplejadas del agrario más vinculadas a lo agroalimenticio o agroforestal?  </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r>
      <w:r w:rsidRPr="00E10347">
        <w:rPr>
          <w:rFonts w:ascii="Palatino Linotype" w:eastAsia="Calibri" w:hAnsi="Palatino Linotype" w:cs="Times New Roman"/>
          <w:b/>
          <w:sz w:val="21"/>
          <w:szCs w:val="21"/>
        </w:rPr>
        <w:t>Conciben diferentes formas de organización de tribunales.</w:t>
      </w:r>
      <w:r w:rsidRPr="00E10347">
        <w:rPr>
          <w:rFonts w:ascii="Palatino Linotype" w:eastAsia="Calibri" w:hAnsi="Palatino Linotype" w:cs="Times New Roman"/>
          <w:sz w:val="21"/>
          <w:szCs w:val="21"/>
        </w:rPr>
        <w:t xml:space="preserve">  Los jueces señalan las limitaciones de las Salas para la oralidad procesal porque encarceladas en la escritura no pueden resolver el recurso en la audiencia oral. Lamentablemente en este campo los documentos no tienen claro siquiera cómo funciona la oralidad y cómo se trabaja ella en la estructuración de Tribunales. </w:t>
      </w:r>
    </w:p>
    <w:p w:rsidR="002014CA" w:rsidRPr="00E10347" w:rsidRDefault="002014CA" w:rsidP="00E10347">
      <w:pPr>
        <w:ind w:firstLine="708"/>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 xml:space="preserve">Llámese o no Código, </w:t>
      </w:r>
      <w:r w:rsidRPr="00E10347">
        <w:rPr>
          <w:rFonts w:ascii="Palatino Linotype" w:eastAsia="Calibri" w:hAnsi="Palatino Linotype" w:cs="Times New Roman"/>
          <w:b/>
          <w:sz w:val="21"/>
          <w:szCs w:val="21"/>
        </w:rPr>
        <w:t>deben ser leyes técnicas, sencillas, no “antiformalistas”,</w:t>
      </w:r>
      <w:r w:rsidRPr="00E10347">
        <w:rPr>
          <w:rFonts w:ascii="Palatino Linotype" w:eastAsia="Calibri" w:hAnsi="Palatino Linotype" w:cs="Times New Roman"/>
          <w:sz w:val="21"/>
          <w:szCs w:val="21"/>
        </w:rPr>
        <w:t xml:space="preserve"> con un proceso basado en audiencias, sentencia oral dictada al terminar la audiencia complementaria, cuya impugnación solo puede formularse ante una casación oral.</w:t>
      </w:r>
    </w:p>
    <w:p w:rsidR="002014CA" w:rsidRPr="00E10347" w:rsidRDefault="002014CA" w:rsidP="00E10347">
      <w:pPr>
        <w:ind w:firstLine="708"/>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Pero,  si  insisten en tener su propia normativa, no requieren buscarla en el extranjero.  Hubiera sido más útil, en vez de “inventar” la oralidad para cada caso</w:t>
      </w:r>
      <w:r w:rsidRPr="00E10347">
        <w:rPr>
          <w:rFonts w:ascii="Palatino Linotype" w:eastAsia="Calibri" w:hAnsi="Palatino Linotype" w:cs="Times New Roman"/>
          <w:b/>
          <w:sz w:val="21"/>
          <w:szCs w:val="21"/>
        </w:rPr>
        <w:t>, conocer la experiencia del contencioso administrativo en el mismo Poder Judicial</w:t>
      </w:r>
      <w:r w:rsidRPr="00E10347">
        <w:rPr>
          <w:rFonts w:ascii="Palatino Linotype" w:eastAsia="Calibri" w:hAnsi="Palatino Linotype" w:cs="Times New Roman"/>
          <w:sz w:val="21"/>
          <w:szCs w:val="21"/>
        </w:rPr>
        <w:t>, su breve ley, asistir a audiencias de medidas cautelares, preliminares, complementarias, de casación, conversar con los jueces tramitadores, conciliadores, de juicio, la forma como “crean” en el laboratorio de la práctica un modelo digno de seguir.</w:t>
      </w:r>
    </w:p>
    <w:p w:rsidR="002014CA" w:rsidRPr="00E10347" w:rsidRDefault="002014CA" w:rsidP="00E10347">
      <w:pPr>
        <w:ind w:firstLine="708"/>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 xml:space="preserve">Esto permite formular </w:t>
      </w:r>
      <w:r w:rsidRPr="00E10347">
        <w:rPr>
          <w:rFonts w:ascii="Palatino Linotype" w:eastAsia="Calibri" w:hAnsi="Palatino Linotype" w:cs="Times New Roman"/>
          <w:b/>
          <w:sz w:val="21"/>
          <w:szCs w:val="21"/>
        </w:rPr>
        <w:t>varios corolarios de lo ocurrido en los últimos años</w:t>
      </w:r>
      <w:r w:rsidRPr="00E10347">
        <w:rPr>
          <w:rFonts w:ascii="Palatino Linotype" w:eastAsia="Calibri" w:hAnsi="Palatino Linotype" w:cs="Times New Roman"/>
          <w:sz w:val="21"/>
          <w:szCs w:val="21"/>
        </w:rPr>
        <w:t>.  La falta de liderazgo y responsabilidad de la Corte Plena 1)  respecto de los feudos creados en su propio seno, 2)  para ejecutar la política de oralidad procesal, prometida al país, año a año por el Presidente de la Corte en las inauguraciones del Año Judicial, 3 por abandonar sus tareas en una cuestionable “democratización participativa” trasladando a los jueces la tarea de construir la oralidad, 4)  respecto de las urgencias y necesidades del pueblo por una justicia pronta y cumplida, en estas sedes donde se discuten los problemas de los ciudadanos.</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r>
      <w:r w:rsidRPr="00E10347">
        <w:rPr>
          <w:rFonts w:ascii="Palatino Linotype" w:eastAsia="Calibri" w:hAnsi="Palatino Linotype" w:cs="Times New Roman"/>
          <w:b/>
          <w:sz w:val="21"/>
          <w:szCs w:val="21"/>
        </w:rPr>
        <w:t>Crear comisiones  y comisiones, organizar seminarios a granel, otorgar largos permisos a funcionarios para redactar borradores</w:t>
      </w:r>
      <w:r w:rsidRPr="00E10347">
        <w:rPr>
          <w:rFonts w:ascii="Palatino Linotype" w:eastAsia="Calibri" w:hAnsi="Palatino Linotype" w:cs="Times New Roman"/>
          <w:sz w:val="21"/>
          <w:szCs w:val="21"/>
        </w:rPr>
        <w:t xml:space="preserve"> que requieren luego de más y más tiempo para corregirlos, durante largos años sin prisa ni resultado real, es la constatación de la falta de liderazgo.  </w:t>
      </w:r>
    </w:p>
    <w:p w:rsidR="002014CA" w:rsidRPr="00E10347" w:rsidRDefault="002014CA" w:rsidP="00E10347">
      <w:pPr>
        <w:ind w:firstLine="708"/>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 xml:space="preserve">Esto solo conduce a mantener el </w:t>
      </w:r>
      <w:r w:rsidRPr="00E10347">
        <w:rPr>
          <w:rFonts w:ascii="Palatino Linotype" w:eastAsia="Calibri" w:hAnsi="Palatino Linotype" w:cs="Times New Roman"/>
          <w:b/>
          <w:i/>
          <w:sz w:val="21"/>
          <w:szCs w:val="21"/>
          <w:u w:val="single"/>
        </w:rPr>
        <w:t>status quo</w:t>
      </w:r>
      <w:r w:rsidRPr="00E10347">
        <w:rPr>
          <w:rFonts w:ascii="Palatino Linotype" w:eastAsia="Calibri" w:hAnsi="Palatino Linotype" w:cs="Times New Roman"/>
          <w:b/>
          <w:sz w:val="21"/>
          <w:szCs w:val="21"/>
        </w:rPr>
        <w:t>,  sin crear un sistema para el Siglo XXI,</w:t>
      </w:r>
      <w:r w:rsidRPr="00E10347">
        <w:rPr>
          <w:rFonts w:ascii="Palatino Linotype" w:eastAsia="Calibri" w:hAnsi="Palatino Linotype" w:cs="Times New Roman"/>
          <w:sz w:val="21"/>
          <w:szCs w:val="21"/>
        </w:rPr>
        <w:t xml:space="preserve"> resignando a los usuarios a uno para el XIX, con multiplicidad de </w:t>
      </w:r>
      <w:r w:rsidRPr="00E10347">
        <w:rPr>
          <w:rFonts w:ascii="Palatino Linotype" w:eastAsia="Calibri" w:hAnsi="Palatino Linotype" w:cs="Times New Roman"/>
          <w:sz w:val="21"/>
          <w:szCs w:val="21"/>
        </w:rPr>
        <w:lastRenderedPageBreak/>
        <w:t>procesos diferentes, recursos distintos e incongruentes con el resto, plazos antojadizos en cada caso, con una técnica medieval.</w:t>
      </w:r>
    </w:p>
    <w:p w:rsidR="002014CA" w:rsidRPr="00E10347" w:rsidRDefault="002014CA" w:rsidP="00E10347">
      <w:pPr>
        <w:jc w:val="both"/>
        <w:rPr>
          <w:rFonts w:ascii="Palatino Linotype" w:eastAsia="Calibri" w:hAnsi="Palatino Linotype" w:cs="Times New Roman"/>
          <w:sz w:val="21"/>
          <w:szCs w:val="21"/>
        </w:rPr>
      </w:pPr>
      <w:r w:rsidRPr="00E10347">
        <w:rPr>
          <w:rFonts w:ascii="Palatino Linotype" w:eastAsia="Calibri" w:hAnsi="Palatino Linotype" w:cs="Times New Roman"/>
          <w:sz w:val="21"/>
          <w:szCs w:val="21"/>
        </w:rPr>
        <w:tab/>
        <w:t xml:space="preserve">Pero la </w:t>
      </w:r>
      <w:r w:rsidRPr="00E10347">
        <w:rPr>
          <w:rFonts w:ascii="Palatino Linotype" w:eastAsia="Calibri" w:hAnsi="Palatino Linotype" w:cs="Times New Roman"/>
          <w:b/>
          <w:sz w:val="21"/>
          <w:szCs w:val="21"/>
        </w:rPr>
        <w:t>labor autodestructiva no se queda en la defensa de su propia disciplina, sino también en fomentar obstáculos a los nuevos modelos</w:t>
      </w:r>
      <w:r w:rsidRPr="00E10347">
        <w:rPr>
          <w:rFonts w:ascii="Palatino Linotype" w:eastAsia="Calibri" w:hAnsi="Palatino Linotype" w:cs="Times New Roman"/>
          <w:sz w:val="21"/>
          <w:szCs w:val="21"/>
        </w:rPr>
        <w:t xml:space="preserve">.  </w:t>
      </w:r>
    </w:p>
    <w:p w:rsidR="00A5760D" w:rsidRDefault="00A5760D" w:rsidP="00E10347">
      <w:pPr>
        <w:pStyle w:val="Sinespaciado"/>
        <w:jc w:val="both"/>
        <w:rPr>
          <w:rFonts w:ascii="Palatino Linotype" w:hAnsi="Palatino Linotype" w:cs="Times New Roman"/>
          <w:b/>
          <w:sz w:val="21"/>
          <w:szCs w:val="21"/>
        </w:rPr>
      </w:pPr>
    </w:p>
    <w:p w:rsidR="002014CA" w:rsidRPr="00E10347" w:rsidRDefault="002014CA" w:rsidP="00E10347">
      <w:pPr>
        <w:pStyle w:val="Sinespaciado"/>
        <w:jc w:val="both"/>
        <w:rPr>
          <w:rFonts w:ascii="Palatino Linotype" w:hAnsi="Palatino Linotype" w:cs="Times New Roman"/>
          <w:b/>
          <w:sz w:val="21"/>
          <w:szCs w:val="21"/>
        </w:rPr>
      </w:pPr>
      <w:r w:rsidRPr="00E10347">
        <w:rPr>
          <w:rFonts w:ascii="Palatino Linotype" w:hAnsi="Palatino Linotype" w:cs="Times New Roman"/>
          <w:b/>
          <w:sz w:val="21"/>
          <w:szCs w:val="21"/>
        </w:rPr>
        <w:t xml:space="preserve">C)  El sistema de la libre valoración de la prueba en la Ley de Jurisdicción agraria.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La Ley de jurisdicción agraria concibió una interesantísima norma sobre la valoración de la  prueba.  Cuando esto ocurrió, soy testigo presencial, se tomó de la orientación señalada en el Código de Trabajo. </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b/>
          <w:sz w:val="21"/>
          <w:szCs w:val="21"/>
        </w:rPr>
        <w:t xml:space="preserve">"Artículo 54.  (...)  </w:t>
      </w:r>
      <w:r w:rsidRPr="00E10347">
        <w:rPr>
          <w:rFonts w:ascii="Palatino Linotype" w:hAnsi="Palatino Linotype" w:cs="Times New Roman"/>
          <w:sz w:val="21"/>
          <w:szCs w:val="21"/>
        </w:rPr>
        <w:t xml:space="preserve">Al resolver sobre el fondo del negocio, el Juez apreciará la prueba </w:t>
      </w:r>
      <w:r w:rsidRPr="00E10347">
        <w:rPr>
          <w:rFonts w:ascii="Palatino Linotype" w:hAnsi="Palatino Linotype" w:cs="Times New Roman"/>
          <w:b/>
          <w:sz w:val="21"/>
          <w:szCs w:val="21"/>
          <w:u w:val="single"/>
        </w:rPr>
        <w:t>a conciencia</w:t>
      </w:r>
      <w:r w:rsidRPr="00E10347">
        <w:rPr>
          <w:rFonts w:ascii="Palatino Linotype" w:hAnsi="Palatino Linotype" w:cs="Times New Roman"/>
          <w:sz w:val="21"/>
          <w:szCs w:val="21"/>
        </w:rPr>
        <w:t xml:space="preserve"> y sin sujeción estricta a las normas del derecho común, pero, en todo caso, al analizar el resultado de la prueba recogida en el proceso, deberá expresar los principios de equidad o de derecho en que basa su criterio".</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Desde la entrada en vigencia de la Ley, y más tarde cuando se crearon los Juzgados agrarios y el Tribunal Agrario, en 1988,  se aplicó el Código Procesal Civil, sobre todo en una época cuando hubo un dominio civilista dentro del Tribunal.</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Más tarde, con mi ingreso a la Corte, se le dio una explicación más técnica.  En primer lugar refutando la naturaleza de esa interpretación </w:t>
      </w:r>
      <w:r w:rsidRPr="00E10347">
        <w:rPr>
          <w:rFonts w:ascii="Palatino Linotype" w:hAnsi="Palatino Linotype" w:cs="Times New Roman"/>
          <w:b/>
          <w:sz w:val="21"/>
          <w:szCs w:val="21"/>
        </w:rPr>
        <w:t>a conciencia</w:t>
      </w:r>
      <w:r w:rsidRPr="00E10347">
        <w:rPr>
          <w:rFonts w:ascii="Palatino Linotype" w:hAnsi="Palatino Linotype" w:cs="Times New Roman"/>
          <w:sz w:val="21"/>
          <w:szCs w:val="21"/>
        </w:rPr>
        <w:t xml:space="preserve">.  Porque tal sistema solo es posible en los arbitrajes de conciencia o en los sistemas donde existen jurados conformados por no juristas (especialmente del </w:t>
      </w:r>
      <w:r w:rsidRPr="00E10347">
        <w:rPr>
          <w:rFonts w:ascii="Palatino Linotype" w:hAnsi="Palatino Linotype" w:cs="Times New Roman"/>
          <w:b/>
          <w:i/>
          <w:sz w:val="21"/>
          <w:szCs w:val="21"/>
        </w:rPr>
        <w:t>common law</w:t>
      </w:r>
      <w:r w:rsidRPr="00E10347">
        <w:rPr>
          <w:rFonts w:ascii="Palatino Linotype" w:hAnsi="Palatino Linotype" w:cs="Times New Roman"/>
          <w:sz w:val="21"/>
          <w:szCs w:val="21"/>
        </w:rPr>
        <w:t>).</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En tal sentido la jurisprudencia de la Sala Primera difundió el criterio de que la valoración de la prueba no era a conciencia sino se regía por la libre valoración probatoria a condición de cumplir con los requisitos establecidos en la misma norma:  1)  se pueden valorara sin sujeción estricta a las normas de derecho común  (es decir las procesales con sistemas tarifarios), y 2)  al analizar el resultado de la prueba recogida en el proceso, deberá expresar los principios de equidad o de derecho en que basa su criterio.</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Empero muchas sentencias de instancia e incluso del Tribunal mantuvieron no fueron capaces de construir correctamente la sentencia, y se mantuvieron con el sistema tradicional del proceso civil de elaborar el hecho probado y, sin valoración, solo mencionan aún hoy la prueba y el folio donde se encuentra la prueba citada).</w:t>
      </w:r>
    </w:p>
    <w:p w:rsidR="002014CA" w:rsidRPr="00E10347" w:rsidRDefault="002014CA" w:rsidP="00E10347">
      <w:pPr>
        <w:pStyle w:val="Sinespaciado"/>
        <w:jc w:val="both"/>
        <w:rPr>
          <w:rFonts w:ascii="Palatino Linotype" w:hAnsi="Palatino Linotype" w:cs="Times New Roman"/>
          <w:b/>
          <w:sz w:val="21"/>
          <w:szCs w:val="21"/>
        </w:rPr>
      </w:pPr>
      <w:r w:rsidRPr="00E10347">
        <w:rPr>
          <w:rFonts w:ascii="Palatino Linotype" w:hAnsi="Palatino Linotype" w:cs="Times New Roman"/>
          <w:sz w:val="21"/>
          <w:szCs w:val="21"/>
        </w:rPr>
        <w:t xml:space="preserve">D)  </w:t>
      </w:r>
      <w:r w:rsidRPr="00E10347">
        <w:rPr>
          <w:rFonts w:ascii="Palatino Linotype" w:hAnsi="Palatino Linotype" w:cs="Times New Roman"/>
          <w:b/>
          <w:sz w:val="21"/>
          <w:szCs w:val="21"/>
        </w:rPr>
        <w:t>El sistema de la libre valoración probatoria o el libre convencimiento judicial, mezclándolo con un criterio de la sana crítica restringida.</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En efecto la norma del Nuevo Proyecto en vez de quedarse con la fórmula de la Ley de la Jurisdicción Agraria se apartó de ella y de otro de los Proyectos en </w:t>
      </w:r>
      <w:r w:rsidRPr="00E10347">
        <w:rPr>
          <w:rFonts w:ascii="Palatino Linotype" w:hAnsi="Palatino Linotype" w:cs="Times New Roman"/>
          <w:sz w:val="21"/>
          <w:szCs w:val="21"/>
        </w:rPr>
        <w:lastRenderedPageBreak/>
        <w:t xml:space="preserve">trámite en la misma Asamblea Legislativa, sin percatarse de sus contradicciones internas identificables por cualquier jurista. </w:t>
      </w:r>
    </w:p>
    <w:p w:rsidR="002014CA" w:rsidRPr="00E10347" w:rsidRDefault="002014CA" w:rsidP="00E10347">
      <w:pPr>
        <w:pStyle w:val="Sinespaciado"/>
        <w:ind w:left="1701"/>
        <w:jc w:val="both"/>
        <w:rPr>
          <w:rFonts w:ascii="Palatino Linotype" w:hAnsi="Palatino Linotype" w:cs="Times New Roman"/>
          <w:sz w:val="21"/>
          <w:szCs w:val="21"/>
        </w:rPr>
      </w:pPr>
      <w:r w:rsidRPr="00E10347">
        <w:rPr>
          <w:rFonts w:ascii="Palatino Linotype" w:hAnsi="Palatino Linotype" w:cs="Times New Roman"/>
          <w:b/>
          <w:sz w:val="21"/>
          <w:szCs w:val="21"/>
        </w:rPr>
        <w:t xml:space="preserve">Artículo 132. Apreciación de la prueba. </w:t>
      </w:r>
      <w:r w:rsidRPr="00E10347">
        <w:rPr>
          <w:rFonts w:ascii="Palatino Linotype" w:hAnsi="Palatino Linotype" w:cs="Times New Roman"/>
          <w:sz w:val="21"/>
          <w:szCs w:val="21"/>
        </w:rPr>
        <w:t>Las pruebas se valorarán integral y libremente, conforme a criterios de la lógica, experiencia, psicología y ciencia que informan el correcto entendimiento humano.</w:t>
      </w:r>
    </w:p>
    <w:p w:rsidR="002014CA" w:rsidRPr="00E10347" w:rsidRDefault="002014CA" w:rsidP="00E10347">
      <w:pPr>
        <w:ind w:left="1701"/>
        <w:jc w:val="both"/>
        <w:rPr>
          <w:rFonts w:ascii="Palatino Linotype" w:hAnsi="Palatino Linotype" w:cs="Times New Roman"/>
          <w:sz w:val="21"/>
          <w:szCs w:val="21"/>
        </w:rPr>
      </w:pPr>
      <w:r w:rsidRPr="00E10347">
        <w:rPr>
          <w:rFonts w:ascii="Palatino Linotype" w:hAnsi="Palatino Linotype" w:cs="Times New Roman"/>
          <w:sz w:val="21"/>
          <w:szCs w:val="21"/>
        </w:rPr>
        <w:t>Deberán expresarse los fundamentos fácticos, jurídicos y de equidad de los motivos por los cuales se confirió mayor o menor valor a unas u otras probanzas. No se podrá hacer una referencia general al conjunto probatorio como fundamento de las conclusiones. Deberá siempre hacerse la indicación concreta de los elementos particulares que sirven de apoyo.</w:t>
      </w:r>
    </w:p>
    <w:p w:rsidR="002014CA" w:rsidRPr="00E10347" w:rsidRDefault="002014CA"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Si la Comisión de Redactoras del Proyecto conocían a perfección la ya comentada, y calificada como excelente, disposición de la Ley de Jurisdicción Agraria no se comprende  la decisión de apartarse de ella, cuando en la redacción solo era necesario introducir las conocidas observaciones de la jurisprudencia.  Pero la fórmula escogida, como resultado de otros proyectos, sí parece estar conforme, en línea de principios con la libre valoración de la prueba o del libre convencimiento judicial. </w:t>
      </w:r>
    </w:p>
    <w:p w:rsidR="002014CA" w:rsidRPr="00E10347" w:rsidRDefault="002014CA" w:rsidP="00E10347">
      <w:pPr>
        <w:pStyle w:val="Sinespaciado"/>
        <w:jc w:val="both"/>
        <w:rPr>
          <w:rFonts w:ascii="Palatino Linotype" w:eastAsia="Calibri" w:hAnsi="Palatino Linotype" w:cs="Times New Roman"/>
          <w:sz w:val="21"/>
          <w:szCs w:val="21"/>
        </w:rPr>
      </w:pPr>
      <w:r w:rsidRPr="00E10347">
        <w:rPr>
          <w:rFonts w:ascii="Palatino Linotype" w:hAnsi="Palatino Linotype" w:cs="Times New Roman"/>
          <w:sz w:val="21"/>
          <w:szCs w:val="21"/>
        </w:rPr>
        <w:tab/>
        <w:t xml:space="preserve">Eso sí para ser congruente con lo criticado para el Nuevo Código Procesal Civil aquí se haga una breve referencia porque </w:t>
      </w:r>
      <w:r w:rsidRPr="00E10347">
        <w:rPr>
          <w:rFonts w:ascii="Palatino Linotype" w:eastAsia="Calibri" w:hAnsi="Palatino Linotype" w:cs="Times New Roman"/>
          <w:sz w:val="21"/>
          <w:szCs w:val="21"/>
        </w:rPr>
        <w:t>"Apreciación de la Prueba" constituye un  concepto diferente al de "Valoración de la Prueba".  Porque apreciar se asemeja más a observar, ver desde fuera, a notar, distinguir, percibir.  Mientras la valoración es tomar las pruebas en sus manos para darles un valor.  Implica más directamente una verificar una estimación,   una valuación o igual a evaluar, evaluar, avaluar, consiste en determinar una tasación darle su medición, estimación, calificación, o su justiprecio.</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eastAsia="Calibri" w:hAnsi="Palatino Linotype" w:cs="Times New Roman"/>
          <w:sz w:val="21"/>
          <w:szCs w:val="21"/>
        </w:rPr>
        <w:tab/>
        <w:t>Está muy bien recogido el principio de comentario en la expresión "</w:t>
      </w:r>
      <w:r w:rsidRPr="00E10347">
        <w:rPr>
          <w:rFonts w:ascii="Palatino Linotype" w:hAnsi="Palatino Linotype" w:cs="Times New Roman"/>
          <w:sz w:val="21"/>
          <w:szCs w:val="21"/>
        </w:rPr>
        <w:t xml:space="preserve"> Las pruebas se valorarán integral y libremente, conforme a criterios de la lógica, experiencia, psicología y ciencia que informan el correcto entendimiento humano" porque ese es el sentido de la libre valoración.</w:t>
      </w:r>
    </w:p>
    <w:p w:rsidR="002014CA" w:rsidRPr="00E10347" w:rsidRDefault="002014CA" w:rsidP="00E10347">
      <w:pPr>
        <w:pStyle w:val="Sinespaciado"/>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En la Ley de Jurisdicción agraria también se incorpora el siguiente principio (desde luego sin referir a los fundamentos fácticos porque ellos no son atinentes a la idea de la obligada fundamentación):  "Deberán expresarse los fundamentos fácticos, jurídicos y de equidad de los motivos por los cuales se confirió mayor o </w:t>
      </w:r>
      <w:r w:rsidRPr="00E10347">
        <w:rPr>
          <w:rFonts w:ascii="Palatino Linotype" w:hAnsi="Palatino Linotype" w:cs="Times New Roman"/>
          <w:sz w:val="21"/>
          <w:szCs w:val="21"/>
        </w:rPr>
        <w:lastRenderedPageBreak/>
        <w:t xml:space="preserve">menor valor a unas u otras probanzas".  El concepto, entonces, puede comprenderse mejor a la luz del ya comentado de la Ley aún vigente, con la fórmula más simple de "deberá expresar los principios de equidad o de derecho en que basa su criterio".    </w:t>
      </w:r>
    </w:p>
    <w:p w:rsidR="002014CA" w:rsidRPr="00E10347" w:rsidRDefault="002014CA" w:rsidP="00E10347">
      <w:pPr>
        <w:pStyle w:val="Sinespaciado"/>
        <w:jc w:val="both"/>
        <w:rPr>
          <w:rFonts w:ascii="Palatino Linotype" w:hAnsi="Palatino Linotype" w:cs="Times New Roman"/>
          <w:sz w:val="21"/>
          <w:szCs w:val="21"/>
        </w:rPr>
      </w:pPr>
    </w:p>
    <w:p w:rsidR="002014CA" w:rsidRPr="00E10347" w:rsidRDefault="002014CA" w:rsidP="00E10347">
      <w:pPr>
        <w:pStyle w:val="Sinespaciado"/>
        <w:jc w:val="both"/>
        <w:rPr>
          <w:rFonts w:ascii="Palatino Linotype" w:hAnsi="Palatino Linotype" w:cs="Times New Roman"/>
          <w:sz w:val="21"/>
          <w:szCs w:val="21"/>
        </w:rPr>
        <w:sectPr w:rsidR="002014CA" w:rsidRPr="00E10347" w:rsidSect="00FC1DF6">
          <w:headerReference w:type="even" r:id="rId41"/>
          <w:headerReference w:type="default" r:id="rId42"/>
          <w:type w:val="oddPage"/>
          <w:pgSz w:w="12240" w:h="15840" w:code="1"/>
          <w:pgMar w:top="1667" w:right="851" w:bottom="4253" w:left="3686" w:header="1021" w:footer="3005" w:gutter="0"/>
          <w:cols w:space="708"/>
          <w:titlePg/>
          <w:docGrid w:linePitch="360"/>
        </w:sectPr>
      </w:pPr>
    </w:p>
    <w:p w:rsidR="002014CA" w:rsidRPr="00E10347" w:rsidRDefault="002014CA" w:rsidP="00E10347">
      <w:pPr>
        <w:pStyle w:val="Predeterminado"/>
        <w:spacing w:after="0" w:line="240" w:lineRule="auto"/>
        <w:ind w:firstLine="709"/>
        <w:jc w:val="center"/>
        <w:rPr>
          <w:rFonts w:ascii="Palatino Linotype" w:hAnsi="Palatino Linotype" w:cs="Arial"/>
          <w:color w:val="auto"/>
          <w:sz w:val="21"/>
          <w:szCs w:val="21"/>
        </w:rPr>
      </w:pPr>
      <w:bookmarkStart w:id="59" w:name="_Hlk479196851"/>
      <w:r w:rsidRPr="00E10347">
        <w:rPr>
          <w:rFonts w:ascii="Palatino Linotype" w:hAnsi="Palatino Linotype" w:cs="Arial"/>
          <w:b/>
          <w:color w:val="auto"/>
          <w:sz w:val="21"/>
          <w:szCs w:val="21"/>
        </w:rPr>
        <w:lastRenderedPageBreak/>
        <w:t>LA CARGA DE LA PRUEBA DE LA EXCEPCIÓN DE RIESGOS DE DESARROLLO EN LA RESPONSABILIDAD CIVIL POR PRODUCTOS</w:t>
      </w:r>
    </w:p>
    <w:p w:rsidR="002014CA" w:rsidRPr="00E10347" w:rsidRDefault="002014CA" w:rsidP="00E10347">
      <w:pPr>
        <w:ind w:firstLine="709"/>
        <w:jc w:val="right"/>
        <w:rPr>
          <w:rFonts w:ascii="Palatino Linotype" w:hAnsi="Palatino Linotype"/>
          <w:b/>
          <w:sz w:val="21"/>
          <w:szCs w:val="21"/>
        </w:rPr>
      </w:pPr>
      <w:r w:rsidRPr="00E10347">
        <w:rPr>
          <w:rFonts w:ascii="Palatino Linotype" w:hAnsi="Palatino Linotype"/>
          <w:b/>
          <w:sz w:val="21"/>
          <w:szCs w:val="21"/>
        </w:rPr>
        <w:t xml:space="preserve"> Yuri López Casal</w:t>
      </w:r>
      <w:bookmarkEnd w:id="59"/>
      <w:r w:rsidRPr="00E10347">
        <w:rPr>
          <w:rStyle w:val="Refdenotaalpie"/>
          <w:rFonts w:ascii="Palatino Linotype" w:hAnsi="Palatino Linotype"/>
          <w:b/>
          <w:sz w:val="21"/>
          <w:szCs w:val="21"/>
        </w:rPr>
        <w:footnoteReference w:customMarkFollows="1" w:id="313"/>
        <w:sym w:font="Symbol" w:char="002A"/>
      </w: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b/>
          <w:color w:val="auto"/>
          <w:sz w:val="21"/>
          <w:szCs w:val="21"/>
        </w:rPr>
        <w:t xml:space="preserve">SUMARIO: </w:t>
      </w:r>
      <w:r w:rsidRPr="00E10347">
        <w:rPr>
          <w:rFonts w:ascii="Palatino Linotype" w:hAnsi="Palatino Linotype" w:cs="Arial"/>
          <w:color w:val="auto"/>
          <w:sz w:val="21"/>
          <w:szCs w:val="21"/>
        </w:rPr>
        <w:t xml:space="preserve">Introducción. Capítulo Primero: La responsabilidad civil por productos defectuosos en Alemania. 1. Concepto de responsabilidad civil por productos defectuosos. 2. Tipos de regímenes jurídicos de responsabilidad civil extracontractual por productos defectuosos. 2.1. El régimen general de la responsabilidad civil extracontractual subjetiva contemplado a partir del § 823 párrafo 1° del Código Civil alemán (deliktische Produzentenhaftung). 2.2. La ley alemana sobre responsabilidad civil por productos defectuosos (Gesetz über die Haftung für fehlerhafte Produkte, Produkthaftungsgesetz, ProdHaftG). 3. Características de la responsabilidad civil por productos defectuosos basada en el Código Civil alemán. 3.1. La trilogía de defectos del producto. 3.2. La obligación de observación y vigilancia del producto. 3.3. La carga probatoria en la responsabilidad civil por productos defectuosos en el Código Civil alemán. 3.4. Los sujetos obligados a la reparación del daño según la responsabilidad civil por productos defectuosos basada en el Código Civil alemán. 4. Características de la responsabilidad civil por productos defectuosos basada en la Produkthaftungsgesetz. 4.1. Concepto de producto. 4.2. Concepto de defecto. 4.3. Concepto de fabricante. 4.4. Requisitos constitutivos de la responsabilidad civil prevista en la ProdHaftG. 5. Causas de exoneración de la responsabilidad civil (Haftungsausschlüsse). Capítulo Segundo: La carga de la prueba de la excepción de riesgos de desarrollo. 1. Concepto. 2. Composición de la excepción de riesgos de desarrollo. 2.1. La Ciencia y la Técnica. 2.2. El estado de la Ciencia y la Técnica. 2.3. No reconocibilidad del defecto. 2.4. Introducción del producto defectuoso en el mercado. 3. Los tipos de defectos del producto con respecto a la excepción de riesgos de desarrollo. 4. Los riesgos de desarrollo en el Derecho Privado costarricense. 5. La responsabilidad civil de la Administración Pública por riesgos de desarrollo. 6. Riesgos de desarrollo: ¿un viejo inquilino en una casa equivocada? 7. ¿Debería eliminarse la excepción de riesgos de desarrollo? Conclusiones. Bibliografía. </w:t>
      </w:r>
    </w:p>
    <w:p w:rsidR="00CA49F0" w:rsidRDefault="00CA49F0" w:rsidP="00E10347">
      <w:pPr>
        <w:pStyle w:val="Predeterminado"/>
        <w:spacing w:after="0" w:line="240" w:lineRule="auto"/>
        <w:rPr>
          <w:rFonts w:ascii="Palatino Linotype" w:hAnsi="Palatino Linotype" w:cs="Arial"/>
          <w:b/>
          <w:color w:val="auto"/>
          <w:sz w:val="21"/>
          <w:szCs w:val="21"/>
        </w:rPr>
      </w:pPr>
    </w:p>
    <w:p w:rsidR="00CA49F0" w:rsidRDefault="00CA49F0" w:rsidP="00E10347">
      <w:pPr>
        <w:pStyle w:val="Predeterminado"/>
        <w:spacing w:after="0" w:line="240" w:lineRule="auto"/>
        <w:rPr>
          <w:rFonts w:ascii="Palatino Linotype" w:hAnsi="Palatino Linotype" w:cs="Arial"/>
          <w:b/>
          <w:color w:val="auto"/>
          <w:sz w:val="21"/>
          <w:szCs w:val="21"/>
        </w:rPr>
      </w:pPr>
    </w:p>
    <w:p w:rsidR="002014CA" w:rsidRPr="00E10347" w:rsidRDefault="002014CA" w:rsidP="00E10347">
      <w:pPr>
        <w:pStyle w:val="Predeterminado"/>
        <w:spacing w:after="0" w:line="240" w:lineRule="auto"/>
        <w:rPr>
          <w:rFonts w:ascii="Palatino Linotype" w:hAnsi="Palatino Linotype" w:cs="Arial"/>
          <w:color w:val="auto"/>
          <w:sz w:val="21"/>
          <w:szCs w:val="21"/>
        </w:rPr>
      </w:pPr>
      <w:r w:rsidRPr="00E10347">
        <w:rPr>
          <w:rFonts w:ascii="Palatino Linotype" w:hAnsi="Palatino Linotype" w:cs="Arial"/>
          <w:b/>
          <w:color w:val="auto"/>
          <w:sz w:val="21"/>
          <w:szCs w:val="21"/>
        </w:rPr>
        <w:lastRenderedPageBreak/>
        <w:t>INTRODUCCIÓN</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Con frecuencia los medios de comunicación de masas, nacionales e internacionales, informan sobre anuncios y medidas tomadas por fabricantes de productos, relacionadas con el retiro de ciertos bienes del mercado porque han encontrado defectos o problemas de funcionamiento en ellos. Ello es particularmente frecuente en los casos de fabricantes de vehículos, pero se hace extensivo a muchos otros productos, tales como alimentos o medicamentos.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Ante casos como éstos y si dichos productos han ocasionado daños a los consumidores, los Ordenamientos Jurídicos del mundo reaccionan mediante el diseño de leyes tendentes a definir las circunstancias bajo las cuales, los fabricantes de productos y otros sujetos de Derecho involucrados en la cadena de producción y comercialización de productos, como el cuasifabricante, el importador y el distribuidor, deberán indemnizar los daños y perjuicios causados. Este conjunto de reglas jurídicas conforma lo que, a nivel doctrinario y jurisprudencial, se conoce como responsabilidad civil por productos defectuosos.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El tema que se tratará en este trabajo forma parte de la responsabilidad civil por productos defectuosos, pues constituye uno de los casos en los cuales el fabricante y otros sujetos que intervienen en la cadena de producción y comercialización de productos se pueden exonerar de responsabilidad civil si lograran demostrar, fehacientemente, que el defecto del producto era imposible reconocerlo o detectarlo, en el momento de su introducción en el mercado, pues el estado de conocimientos de la Ciencia y de la Técnica, vigentes para ese específico momento, no permitía descubrirlo o reconocerlo.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En el capítulo primero de esta investigación se desarrollarán los conceptos y requisitos básicos de la responsabilidad civil por productos defectuosos, especialmente en Alemania, pero con algunas referencias adicionales provenientes del Derecho español, en tanto que en el segundo se expondrá, en concreto, todos los aspectos más relevantes de la llamada “excepción de riesgos de desarrollo”, en esos mismos Derechos positivos, así como en el Ordenamiento Jurídico costarricense y en el Derecho de Daños colombiano, incluido el tema de la carga de la prueba, particularmente, lo que atañe a los diversos elementos o componentes que conforman la que, quizás, es la causal de exoneración de responsabilidad civil por productos defectuosos más importante de todas.</w:t>
      </w:r>
    </w:p>
    <w:p w:rsidR="00CA49F0" w:rsidRDefault="00CA49F0" w:rsidP="00E10347">
      <w:pPr>
        <w:pStyle w:val="Predeterminado"/>
        <w:spacing w:after="0" w:line="240" w:lineRule="auto"/>
        <w:jc w:val="both"/>
        <w:rPr>
          <w:rFonts w:ascii="Palatino Linotype" w:hAnsi="Palatino Linotype" w:cs="Arial"/>
          <w:b/>
          <w:color w:val="auto"/>
          <w:sz w:val="21"/>
          <w:szCs w:val="21"/>
        </w:rPr>
      </w:pPr>
    </w:p>
    <w:p w:rsidR="002014CA" w:rsidRPr="00E10347" w:rsidRDefault="002014CA" w:rsidP="00E10347">
      <w:pPr>
        <w:pStyle w:val="Predeterminado"/>
        <w:spacing w:after="0" w:line="240" w:lineRule="auto"/>
        <w:jc w:val="both"/>
        <w:rPr>
          <w:rFonts w:ascii="Palatino Linotype" w:hAnsi="Palatino Linotype" w:cs="Arial"/>
          <w:b/>
          <w:color w:val="auto"/>
          <w:sz w:val="21"/>
          <w:szCs w:val="21"/>
        </w:rPr>
      </w:pPr>
      <w:r w:rsidRPr="00E10347">
        <w:rPr>
          <w:rFonts w:ascii="Palatino Linotype" w:hAnsi="Palatino Linotype" w:cs="Arial"/>
          <w:b/>
          <w:color w:val="auto"/>
          <w:sz w:val="21"/>
          <w:szCs w:val="21"/>
        </w:rPr>
        <w:lastRenderedPageBreak/>
        <w:t>Capítulo Primero: La responsabilidad civil por productos defectuosos en Alemania.</w:t>
      </w: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b/>
          <w:color w:val="auto"/>
          <w:sz w:val="21"/>
          <w:szCs w:val="21"/>
        </w:rPr>
        <w:t>1. Concepto de responsabilidad civil por productos defectuosos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En términos concretos, la responsabilidad civil por productos defectuosos puede definirse como el conjunto de normas jurídicas en virtud de las cuales se le atribuye, principalmente, pero no de manera exclusiva, al fabricante de un producto, el deber de resarcir los daños causados por el producto defectuoso en la salud, en la integridad física o en la propiedad de una cosa distinta del producto que presenta el defecto.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La responsabilidad civil por productos defectuosos (conocida en Alemania como Produkthaftung bzw. Produzentenhaftung) es una especie del género amplio de responsabilidad civil. En términos generales, la responsabilidad civil por productos defectuosos comparte los requisitos básicos sobre los que se erige la responsabilidad civil extracontractual, pero se diferencia de ésta en que la responsabilidad civil por productos defectuosos tiene como fin característico el resarcimiento de las consecuencias dañinas causadas por un producto defectuoso, es decir, un producto que no ofrece la seguridad que legítimamente podría esperarse de él y que tiene algún defecto de construcción, de fabricación o de instrucción. De esta característica se desprenden tres aspectos importantes: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a)</w:t>
      </w:r>
      <w:r w:rsidRPr="00E10347">
        <w:rPr>
          <w:rFonts w:ascii="Palatino Linotype" w:hAnsi="Palatino Linotype" w:cs="Arial"/>
          <w:color w:val="auto"/>
          <w:sz w:val="21"/>
          <w:szCs w:val="21"/>
        </w:rPr>
        <w:t xml:space="preserve"> La responsabilidad civil por productos defectuosos es un régimen jurídico resarcitorio por las consecuencias dañinas que cause el producto defectuoso en </w:t>
      </w:r>
      <w:r w:rsidRPr="00E10347">
        <w:rPr>
          <w:rFonts w:ascii="Palatino Linotype" w:hAnsi="Palatino Linotype" w:cs="Arial"/>
          <w:color w:val="auto"/>
          <w:sz w:val="21"/>
          <w:szCs w:val="21"/>
          <w:u w:val="single"/>
        </w:rPr>
        <w:t>otros bienes jurídicos</w:t>
      </w:r>
      <w:r w:rsidRPr="00E10347">
        <w:rPr>
          <w:rFonts w:ascii="Palatino Linotype" w:hAnsi="Palatino Linotype" w:cs="Arial"/>
          <w:color w:val="auto"/>
          <w:sz w:val="21"/>
          <w:szCs w:val="21"/>
        </w:rPr>
        <w:t xml:space="preserve"> del consumidor damnificado (como, por ejemplo, en la vida, la salud o en otros bienes del sujeto que sufre el daño). Esto es lo que la doctrina alemana llama “Haftung für Folgeschäden”</w:t>
      </w:r>
      <w:r w:rsidRPr="00E10347">
        <w:rPr>
          <w:rStyle w:val="Refdenotaalpie"/>
          <w:rFonts w:ascii="Palatino Linotype" w:hAnsi="Palatino Linotype" w:cs="Arial"/>
          <w:color w:val="auto"/>
          <w:sz w:val="21"/>
          <w:szCs w:val="21"/>
        </w:rPr>
        <w:footnoteReference w:id="314"/>
      </w:r>
      <w:r w:rsidRPr="00E10347">
        <w:rPr>
          <w:rFonts w:ascii="Palatino Linotype" w:hAnsi="Palatino Linotype" w:cs="Arial"/>
          <w:color w:val="auto"/>
          <w:sz w:val="21"/>
          <w:szCs w:val="21"/>
        </w:rPr>
        <w:t>. Con este rasgo lo que se pretende enfatizar es que el consumidor damnificado por el producto defectuoso no puede, con base en la responsabilidad civil por productos defectuosos, pretender, por ejemplo, el resarcimiento del daño que sufra el producto defectuoso en sí mismo considerado</w:t>
      </w:r>
      <w:r w:rsidRPr="00E10347">
        <w:rPr>
          <w:rStyle w:val="Refdenotaalpie"/>
          <w:rFonts w:ascii="Palatino Linotype" w:hAnsi="Palatino Linotype" w:cs="Arial"/>
          <w:color w:val="auto"/>
          <w:sz w:val="21"/>
          <w:szCs w:val="21"/>
        </w:rPr>
        <w:footnoteReference w:id="315"/>
      </w:r>
      <w:r w:rsidRPr="00E10347">
        <w:rPr>
          <w:rFonts w:ascii="Palatino Linotype" w:hAnsi="Palatino Linotype" w:cs="Arial"/>
          <w:color w:val="auto"/>
          <w:sz w:val="21"/>
          <w:szCs w:val="21"/>
        </w:rPr>
        <w:t>. No se tutela entonces el “Äquivalenzinteresse” sino el “Integritätsinteresse”.</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lastRenderedPageBreak/>
        <w:t>b)</w:t>
      </w:r>
      <w:r w:rsidRPr="00E10347">
        <w:rPr>
          <w:rFonts w:ascii="Palatino Linotype" w:hAnsi="Palatino Linotype" w:cs="Arial"/>
          <w:color w:val="auto"/>
          <w:sz w:val="21"/>
          <w:szCs w:val="21"/>
        </w:rPr>
        <w:t xml:space="preserve"> Se trata de un régimen de responsabilidad civil aplicable a las hipótesis de daños causados por un </w:t>
      </w:r>
      <w:r w:rsidRPr="00E10347">
        <w:rPr>
          <w:rFonts w:ascii="Palatino Linotype" w:hAnsi="Palatino Linotype" w:cs="Arial"/>
          <w:color w:val="auto"/>
          <w:sz w:val="21"/>
          <w:szCs w:val="21"/>
          <w:u w:val="single"/>
        </w:rPr>
        <w:t>producto defectuoso</w:t>
      </w:r>
      <w:r w:rsidRPr="00E10347">
        <w:rPr>
          <w:rFonts w:ascii="Palatino Linotype" w:hAnsi="Palatino Linotype" w:cs="Arial"/>
          <w:color w:val="auto"/>
          <w:sz w:val="21"/>
          <w:szCs w:val="21"/>
        </w:rPr>
        <w:t>. Este concepto es, pues, el que marca y especifica la aplicación de la responsabilidad civil por productos defectuosos frente a otros campos del vasto instituto jurídico de la responsabilidad civil. El concepto de producto defectuoso se tratará posteriormente.</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c)</w:t>
      </w:r>
      <w:r w:rsidRPr="00E10347">
        <w:rPr>
          <w:rFonts w:ascii="Palatino Linotype" w:hAnsi="Palatino Linotype" w:cs="Arial"/>
          <w:color w:val="auto"/>
          <w:sz w:val="21"/>
          <w:szCs w:val="21"/>
        </w:rPr>
        <w:t xml:space="preserve"> Se trata de un régimen de responsabilidad civil extracontractual, porque entre el consumidor que adquiere el bien defectuoso y el fabricante del producto, no suele haber ningún tipo de relación contractual sino que, por el contrario, el producto que adquiere el consumidor ha sido objeto de importación, distribución y comercialización, cadena en la cual han intervenido otros sujetos, diferentes del fabricante, de modo que al consumidor le sería sumamente difícil saber dónde se originó el defecto y quién fue, realmente, en la cadena iniciada en la producción y finalizada en la comercialización, el sujeto verdaderamente responsable del defecto en el producto. Por consiguiente, para evitarle al consumidor estos problemas de índole probatorio, los cuales podrían comprometer, seriamente, la reparación integral del daño infligido, es que la jurisprudencia y la doctrina alemanas interpretaron que el consumidor podía exigir responsabilidad civil extracontractual, contra el fabricante del producto, por los daños y perjuicios causados por el producto defectuoso</w:t>
      </w:r>
      <w:r w:rsidRPr="00E10347">
        <w:rPr>
          <w:rStyle w:val="Refdenotaalpie"/>
          <w:rFonts w:ascii="Palatino Linotype" w:hAnsi="Palatino Linotype" w:cs="Arial"/>
          <w:color w:val="auto"/>
          <w:sz w:val="21"/>
          <w:szCs w:val="21"/>
        </w:rPr>
        <w:footnoteReference w:id="316"/>
      </w:r>
      <w:r w:rsidRPr="00E10347">
        <w:rPr>
          <w:rFonts w:ascii="Palatino Linotype" w:hAnsi="Palatino Linotype" w:cs="Arial"/>
          <w:color w:val="auto"/>
          <w:sz w:val="21"/>
          <w:szCs w:val="21"/>
        </w:rPr>
        <w:t>.</w:t>
      </w:r>
    </w:p>
    <w:p w:rsidR="00CA49F0" w:rsidRDefault="00CA49F0" w:rsidP="00E10347">
      <w:pPr>
        <w:pStyle w:val="Predeterminado"/>
        <w:spacing w:after="0" w:line="240" w:lineRule="auto"/>
        <w:jc w:val="both"/>
        <w:rPr>
          <w:rFonts w:ascii="Palatino Linotype" w:hAnsi="Palatino Linotype" w:cs="Arial"/>
          <w:b/>
          <w:color w:val="auto"/>
          <w:sz w:val="21"/>
          <w:szCs w:val="21"/>
        </w:rPr>
      </w:pP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b/>
          <w:color w:val="auto"/>
          <w:sz w:val="21"/>
          <w:szCs w:val="21"/>
        </w:rPr>
        <w:t>2. Tipos de regímenes jurídicos de responsabilidad civil extracontractual por productos defectuosos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En el Derecho Civil alemán existen dos diferentes regímenes jurídicos de responsabilidad civil extracontractual (außervertragliche Haftungsgrundlagen) por productos defectuosos que son:</w:t>
      </w:r>
    </w:p>
    <w:p w:rsidR="00CA49F0" w:rsidRDefault="00CA49F0" w:rsidP="00E10347">
      <w:pPr>
        <w:pStyle w:val="Predeterminado"/>
        <w:spacing w:after="0" w:line="240" w:lineRule="auto"/>
        <w:jc w:val="both"/>
        <w:rPr>
          <w:rFonts w:ascii="Palatino Linotype" w:hAnsi="Palatino Linotype" w:cs="Arial"/>
          <w:b/>
          <w:color w:val="auto"/>
          <w:sz w:val="21"/>
          <w:szCs w:val="21"/>
        </w:rPr>
      </w:pP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b/>
          <w:color w:val="auto"/>
          <w:sz w:val="21"/>
          <w:szCs w:val="21"/>
        </w:rPr>
        <w:t>2.1.</w:t>
      </w:r>
      <w:r w:rsidRPr="00E10347">
        <w:rPr>
          <w:rFonts w:ascii="Palatino Linotype" w:hAnsi="Palatino Linotype" w:cs="Arial"/>
          <w:color w:val="auto"/>
          <w:sz w:val="21"/>
          <w:szCs w:val="21"/>
        </w:rPr>
        <w:t xml:space="preserve"> </w:t>
      </w:r>
      <w:r w:rsidRPr="00E10347">
        <w:rPr>
          <w:rFonts w:ascii="Palatino Linotype" w:hAnsi="Palatino Linotype" w:cs="Arial"/>
          <w:b/>
          <w:color w:val="auto"/>
          <w:sz w:val="21"/>
          <w:szCs w:val="21"/>
        </w:rPr>
        <w:t>El régimen general de la responsabilidad civil extracontractual subjetiva contemplado a partir del § 823 párrafo 1° del Código Civil alemán (deliktische Produzentenhaftung):</w:t>
      </w:r>
      <w:r w:rsidRPr="00E10347">
        <w:rPr>
          <w:rFonts w:ascii="Palatino Linotype" w:hAnsi="Palatino Linotype" w:cs="Arial"/>
          <w:color w:val="auto"/>
          <w:sz w:val="21"/>
          <w:szCs w:val="21"/>
        </w:rPr>
        <w:t xml:space="preserve"> Dicha norma jurídica es bastante similar a la que establece el artículo 1045 del Código Civil costarricense. </w:t>
      </w:r>
      <w:r w:rsidRPr="00E10347">
        <w:rPr>
          <w:rFonts w:ascii="Palatino Linotype" w:hAnsi="Palatino Linotype" w:cs="Arial"/>
          <w:color w:val="auto"/>
          <w:sz w:val="21"/>
          <w:szCs w:val="21"/>
          <w:lang w:val="de-DE"/>
        </w:rPr>
        <w:t xml:space="preserve">La norma alemana dice así: „Wer </w:t>
      </w:r>
      <w:r w:rsidRPr="00E10347">
        <w:rPr>
          <w:rFonts w:ascii="Palatino Linotype" w:hAnsi="Palatino Linotype" w:cs="Arial"/>
          <w:color w:val="auto"/>
          <w:sz w:val="21"/>
          <w:szCs w:val="21"/>
          <w:lang w:val="de-DE"/>
        </w:rPr>
        <w:lastRenderedPageBreak/>
        <w:t xml:space="preserve">vorsätzlich oder fahrlässig das Leben, den Körper, die Gesundheit, die Freiheit, das Eigentum oder ein sonstiges Recht eines anderen widerrechtlich verletzt, ist dem anderen zum Ersatz des daraus entstehenden Schadens verpflichtet“. </w:t>
      </w:r>
      <w:r w:rsidRPr="00E10347">
        <w:rPr>
          <w:rFonts w:ascii="Palatino Linotype" w:hAnsi="Palatino Linotype" w:cs="Arial"/>
          <w:color w:val="auto"/>
          <w:sz w:val="21"/>
          <w:szCs w:val="21"/>
        </w:rPr>
        <w:t>La traducción española, realizada por el autor de este ensayo con base en sus conocimientos del idioma alemán, sería la siguiente: “Quien dolosa o culposamente dañe la vida, el cuerpo, la salud, la libertad, la propiedad u otro derecho de otra persona en forma antijurídica, está obligado al resarcimiento del daño causado”.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El núcleo de la “deliktische Produzentenhaftung” es el concepto jurídico de “Verkehrssicherungspflichten”</w:t>
      </w:r>
      <w:r w:rsidRPr="00E10347">
        <w:rPr>
          <w:rStyle w:val="Refdenotaalpie"/>
          <w:rFonts w:ascii="Palatino Linotype" w:hAnsi="Palatino Linotype" w:cs="Arial"/>
          <w:color w:val="auto"/>
          <w:sz w:val="21"/>
          <w:szCs w:val="21"/>
        </w:rPr>
        <w:footnoteReference w:id="317"/>
      </w:r>
      <w:r w:rsidRPr="00E10347">
        <w:rPr>
          <w:rFonts w:ascii="Palatino Linotype" w:hAnsi="Palatino Linotype" w:cs="Arial"/>
          <w:color w:val="auto"/>
          <w:sz w:val="21"/>
          <w:szCs w:val="21"/>
        </w:rPr>
        <w:t xml:space="preserve"> (obligaciones de seguridad del tráfico), según el cual “quien introduzca un bien en el tráfico jurídico, está obligado a adoptar todas las medidas necesarias para que pueda ser utilizado sin peligro o riesgo alguno para el consumidor o usuario”. De esta manera, el criterio de imputación de la responsabilidad civil extracontractual subjetiva, previsto en el § 823 párrafo 1° del Código Civil alemán (BGB= Bürgerliches Gesetzbuch), consiste en la violación o en el incumplimiento, por parte del fabricante, de las obligaciones de seguridad del tráfico en el momento en que el producto es introducido al mercado, o sea, al tráfico jurídico. Este es, pues, el motivo por el cual se le puede atribuir y exigir, principalmente al fabricante del producto defectuoso, responsabilidad civil extracontractual subjetiva.</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Este primer régimen de responsabilidad civil extracontractual para pretender el resarcimiento de los daños causados por un producto defectuoso se caracteriza por ser una responsabilidad subjetiva o por culpa (Verschuldenshaftung), lo cual significa, pues, que el deber de resarcimiento del daño causado obedece al actuar culposo del fabricante del producto defectuoso, el cual, generalmente, consiste en la omisión de las obligaciones de seguridad del tráfico que él debía observar y cumplir. En este contexto, como la “deliktische Produzentenhaftung” presupone el actuar culposo del fabricante</w:t>
      </w:r>
      <w:r w:rsidRPr="00E10347">
        <w:rPr>
          <w:rStyle w:val="Refdenotaalpie"/>
          <w:rFonts w:ascii="Palatino Linotype" w:hAnsi="Palatino Linotype" w:cs="Arial"/>
          <w:color w:val="auto"/>
          <w:sz w:val="21"/>
          <w:szCs w:val="21"/>
        </w:rPr>
        <w:footnoteReference w:id="318"/>
      </w:r>
      <w:r w:rsidRPr="00E10347">
        <w:rPr>
          <w:rFonts w:ascii="Palatino Linotype" w:hAnsi="Palatino Linotype" w:cs="Arial"/>
          <w:color w:val="auto"/>
          <w:sz w:val="21"/>
          <w:szCs w:val="21"/>
        </w:rPr>
        <w:t xml:space="preserve">, el consumidor damnificado por el daño tendría, </w:t>
      </w:r>
      <w:r w:rsidRPr="00E10347">
        <w:rPr>
          <w:rFonts w:ascii="Palatino Linotype" w:hAnsi="Palatino Linotype" w:cs="Arial"/>
          <w:color w:val="auto"/>
          <w:sz w:val="21"/>
          <w:szCs w:val="21"/>
          <w:u w:val="single"/>
        </w:rPr>
        <w:t>en principio</w:t>
      </w:r>
      <w:r w:rsidRPr="00E10347">
        <w:rPr>
          <w:rFonts w:ascii="Palatino Linotype" w:hAnsi="Palatino Linotype" w:cs="Arial"/>
          <w:color w:val="auto"/>
          <w:sz w:val="21"/>
          <w:szCs w:val="21"/>
        </w:rPr>
        <w:t xml:space="preserve">, que probar la culpa o el dolo del fabricante del producto defectuoso como requisito para atribuirle el deber de indemnizar el daño causado por la mercancía defectuosa. Sin embargo, a partir del </w:t>
      </w:r>
      <w:r w:rsidRPr="00E10347">
        <w:rPr>
          <w:rFonts w:ascii="Palatino Linotype" w:hAnsi="Palatino Linotype" w:cs="Arial"/>
          <w:color w:val="auto"/>
          <w:sz w:val="21"/>
          <w:szCs w:val="21"/>
        </w:rPr>
        <w:lastRenderedPageBreak/>
        <w:t>caso llamado “Hühnerpest-Fall” del Bundesgerichtshof alemán (Tribunal Federal de Casación Civil alemán) del 26 de noviembre de 1968</w:t>
      </w:r>
      <w:r w:rsidRPr="00E10347">
        <w:rPr>
          <w:rStyle w:val="Refdenotaalpie"/>
          <w:rFonts w:ascii="Palatino Linotype" w:hAnsi="Palatino Linotype" w:cs="Arial"/>
          <w:color w:val="auto"/>
          <w:sz w:val="21"/>
          <w:szCs w:val="21"/>
        </w:rPr>
        <w:footnoteReference w:id="319"/>
      </w:r>
      <w:r w:rsidRPr="00E10347">
        <w:rPr>
          <w:rFonts w:ascii="Palatino Linotype" w:hAnsi="Palatino Linotype" w:cs="Arial"/>
          <w:color w:val="auto"/>
          <w:sz w:val="21"/>
          <w:szCs w:val="21"/>
        </w:rPr>
        <w:t>, se produjo una modificación sustancial y revolucionaria en cuanto a este onus probandi, a cargo del damnificado, de la culpa del fabricante del producto defectuoso, pues la jurisprudencia alemana, a partir del  “Hühnerpest-Fall”, resolvió que en vista del mayor conocimiento, intervención y dominio que tiene el fabricante del proceso de producción del producto defectuoso y de tener, como consecuencia de ese conocimiento, una mayor disponibilidad de los medios probatorios atinentes a la fabricación del bien, entonces lo justo era producir una inversión de la carga de la prueba (Beweislastumkehr) a favor del consumidor damnificado por el daño, de forma tal que no es a éste a quien le corresponde probar la culpa del fabricante del producto defectuoso, sino que es al fabricante a quien le corresponde demostrar que él no tuvo la culpa de la configuración del producto defectuoso</w:t>
      </w:r>
      <w:r w:rsidRPr="00E10347">
        <w:rPr>
          <w:rStyle w:val="Refdenotaalpie"/>
          <w:rFonts w:ascii="Palatino Linotype" w:hAnsi="Palatino Linotype" w:cs="Arial"/>
          <w:color w:val="auto"/>
          <w:sz w:val="21"/>
          <w:szCs w:val="21"/>
        </w:rPr>
        <w:footnoteReference w:id="320"/>
      </w:r>
      <w:r w:rsidRPr="00E10347">
        <w:rPr>
          <w:rFonts w:ascii="Palatino Linotype" w:hAnsi="Palatino Linotype" w:cs="Arial"/>
          <w:color w:val="auto"/>
          <w:sz w:val="21"/>
          <w:szCs w:val="21"/>
        </w:rPr>
        <w:t xml:space="preserve">. </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De esta inversión de la carga de la prueba a favor del damnificado y en contra del fabricante, también se dedujo otra consecuencia importante: la culpa del fabricante del producto defectuoso se presume, salvo que éste demuestre lo contrario.</w:t>
      </w:r>
    </w:p>
    <w:p w:rsidR="00CA49F0" w:rsidRDefault="00CA49F0" w:rsidP="00E10347">
      <w:pPr>
        <w:pStyle w:val="Predeterminado"/>
        <w:spacing w:after="0" w:line="240" w:lineRule="auto"/>
        <w:jc w:val="both"/>
        <w:rPr>
          <w:rFonts w:ascii="Palatino Linotype" w:hAnsi="Palatino Linotype" w:cs="Arial"/>
          <w:b/>
          <w:color w:val="auto"/>
          <w:sz w:val="21"/>
          <w:szCs w:val="21"/>
        </w:rPr>
      </w:pPr>
    </w:p>
    <w:p w:rsidR="002014CA" w:rsidRPr="00E10347" w:rsidRDefault="002014CA" w:rsidP="00E10347">
      <w:pPr>
        <w:pStyle w:val="Predeterminado"/>
        <w:spacing w:after="0" w:line="240" w:lineRule="auto"/>
        <w:jc w:val="both"/>
        <w:rPr>
          <w:rFonts w:ascii="Palatino Linotype" w:hAnsi="Palatino Linotype" w:cs="Arial"/>
          <w:b/>
          <w:color w:val="auto"/>
          <w:sz w:val="21"/>
          <w:szCs w:val="21"/>
        </w:rPr>
      </w:pPr>
      <w:r w:rsidRPr="00E10347">
        <w:rPr>
          <w:rFonts w:ascii="Palatino Linotype" w:hAnsi="Palatino Linotype" w:cs="Arial"/>
          <w:b/>
          <w:color w:val="auto"/>
          <w:sz w:val="21"/>
          <w:szCs w:val="21"/>
        </w:rPr>
        <w:t xml:space="preserve">2.2. La ley alemana sobre responsabilidad civil por productos defectuosos (Gesetz über die Haftung für fehlerhafte Produkte, Produkthaftungsgesetz, ProdHaftG): </w:t>
      </w: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b/>
          <w:color w:val="auto"/>
          <w:sz w:val="21"/>
          <w:szCs w:val="21"/>
        </w:rPr>
        <w:tab/>
      </w:r>
      <w:r w:rsidRPr="00E10347">
        <w:rPr>
          <w:rFonts w:ascii="Palatino Linotype" w:hAnsi="Palatino Linotype" w:cs="Arial"/>
          <w:color w:val="auto"/>
          <w:sz w:val="21"/>
          <w:szCs w:val="21"/>
        </w:rPr>
        <w:t xml:space="preserve">Se trata de una ley especial que, en Alemania, regula todo lo relativo a los requisitos constitutivos, sujetos obligados al resarcimiento, causales de exoneración de responsabilidad civil, daños resarcibles, culpa concurrente, prescripción, caducidad y aspectos adicionales, con base en los cuales se le puede exigir al fabricante propiamente dicho y a otros sujetos que participan en la cadena de comercialización y  distribución del producto, el deber de responder por los daños y perjuicios causados por el éste. Esta ley especial fue promulgada por el Bundestag (Parlamento alemán) en 15 de noviembre de 1989, publicada el 22 de diciembre de 1989 (BGBl, I S. 2198) y entró en vigencia el 1 de enero de 1990. </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lastRenderedPageBreak/>
        <w:t>El fundamento jurídico sobre el cual el Bundestag promulgó dicha ley especial sobre responsabilidad civil por productos defectuosos es la Directiva comunitaria número 85/374 EWG de la antigua Comunidad Económica Europea (EWG), ahora denominada Unión Europea (Europäische Union, EU) sobre la armonización de las normas jurídicas y disposiciones administrativas de los Estados miembros sobre la responsabilidad por productos defectuosos del 27 de julio de 1985 (EG-Richtlinie des Rates zur Ausgleichung des Rechts― und Verwaltungsvorschriften der Mitgliedsstaaten über die Haftung für fehlerhafte Produkte (85/374 EWG) vom 25.7.1985), la cual entró en vigencia y con carácter vinculante para los Estados miembros de la Unión Europea, a partir del 30 de julio de 1985</w:t>
      </w:r>
      <w:r w:rsidRPr="00E10347">
        <w:rPr>
          <w:rStyle w:val="Refdenotaalpie"/>
          <w:rFonts w:ascii="Palatino Linotype" w:hAnsi="Palatino Linotype" w:cs="Arial"/>
          <w:color w:val="auto"/>
          <w:sz w:val="21"/>
          <w:szCs w:val="21"/>
        </w:rPr>
        <w:footnoteReference w:id="321"/>
      </w:r>
      <w:r w:rsidRPr="00E10347">
        <w:rPr>
          <w:rFonts w:ascii="Palatino Linotype" w:hAnsi="Palatino Linotype" w:cs="Arial"/>
          <w:color w:val="auto"/>
          <w:sz w:val="21"/>
          <w:szCs w:val="21"/>
        </w:rPr>
        <w:t>. Es decir, la ley alemana sobre la responsabilidad civil por productos defectuosos (Produkthaftungsgesetz) representa la transposición de la directiva comunitaria sobre la responsabilidad civil por productos defectuosos (85/374 EWG) en el ordenamiento jurídico interno alemán, al punto de que el texto de ambos tipos de normas jurídicas son casi idénticos.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La finalidad de esta directiva comunitaria (Richtlinie) era, precisamente, unificar y armonizar los diferentes regímenes jurídicos que a esa fecha existían a lo interno de cada uno de los Estados miembros de la Unión Europea sobre la responsabilidad civil por productos defectuosos, así como impedir la adulteración de la competencia y los perjuicios del libre tráfico de mercancías dentro de la Eurozona y unificar la protección de los consumidores en la Unión Europea</w:t>
      </w:r>
      <w:r w:rsidRPr="00E10347">
        <w:rPr>
          <w:rStyle w:val="Refdenotaalpie"/>
          <w:rFonts w:ascii="Palatino Linotype" w:hAnsi="Palatino Linotype" w:cs="Arial"/>
          <w:color w:val="auto"/>
          <w:sz w:val="21"/>
          <w:szCs w:val="21"/>
        </w:rPr>
        <w:footnoteReference w:id="322"/>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Una de las características esenciales de la ley alemana sobre responsabilidad civil por productos defectuosos es que se trata de una responsabilidad objetiva (Gefährdungshaftung)</w:t>
      </w:r>
      <w:r w:rsidRPr="00E10347">
        <w:rPr>
          <w:rStyle w:val="Refdenotaalpie"/>
          <w:rFonts w:ascii="Palatino Linotype" w:hAnsi="Palatino Linotype" w:cs="Arial"/>
          <w:color w:val="auto"/>
          <w:sz w:val="21"/>
          <w:szCs w:val="21"/>
        </w:rPr>
        <w:footnoteReference w:id="323"/>
      </w:r>
      <w:r w:rsidRPr="00E10347">
        <w:rPr>
          <w:rFonts w:ascii="Palatino Linotype" w:hAnsi="Palatino Linotype" w:cs="Arial"/>
          <w:color w:val="auto"/>
          <w:sz w:val="21"/>
          <w:szCs w:val="21"/>
        </w:rPr>
        <w:t xml:space="preserve">, según la cual, la culpa no es requisito constitutivo para el nacimiento del deber de resarcimiento por el daño causado. Así se desprende del § 1 párrafo 1 oración 1 de la Produkthaftungsgesetz, que dice así: „Wird durch den Fehler eines Produkts jemand getötet, sein Körper oder seine Gesundheit verletzt oder eine Sache beschädigt, so ist der Hersteller des Produkts verpflichtet, dem Geschädigten den daraus entstehenden Schaden zu ersetzen“ (Cuando a causa del </w:t>
      </w:r>
      <w:r w:rsidRPr="00E10347">
        <w:rPr>
          <w:rFonts w:ascii="Palatino Linotype" w:hAnsi="Palatino Linotype" w:cs="Arial"/>
          <w:color w:val="auto"/>
          <w:sz w:val="21"/>
          <w:szCs w:val="21"/>
        </w:rPr>
        <w:lastRenderedPageBreak/>
        <w:t>defecto de un producto una persona muere o su cuerpo, su salud o una cosa son dañados, el fabricante del producto está obligado a resarcir al damnificado el daño causado). Con base en lo anterior, es válido afirmar que el criterio de imputación de este tipo de responsabilidad civil objetiva consistiría en la introducción, por parte del fabricante, de un producto defectuoso, en el tráfico jurídico.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Por su parte, el § 2 de la Produkthaftungsgesetz (ProdHaftG) contiene la definición legal (Legaldefinition) de “Producto” para los efectos de dicha ley. Así, „Produkt im Sinne dieses Gesetzes ist jede bewegliche Sache, auch wenn sie einen Teil einer anderen beweglichen Sache oder einer unbeweglichen Sache bildet, sowie Elektrizität“ (Producto, en los términos de esta ley, es toda cosa mueble, aun cuando forme parte de otra cosa mueble o de una inmueble, así como también la electricidad).</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Importante es también mencionar qué se entiende por defecto (Fehler) para los efectos de la ProdHaftG alemana. </w:t>
      </w:r>
      <w:r w:rsidRPr="00E10347">
        <w:rPr>
          <w:rFonts w:ascii="Palatino Linotype" w:hAnsi="Palatino Linotype" w:cs="Arial"/>
          <w:color w:val="auto"/>
          <w:sz w:val="21"/>
          <w:szCs w:val="21"/>
          <w:lang w:val="de-DE"/>
        </w:rPr>
        <w:t xml:space="preserve">En este sentido, el § 3 párrafo 1 de dicha ley establece: “Ein Produkt hat einen Fehler, wenn es nicht die Sicherheit bietet, die unter Berücksichtigung aller Umstände, insbesondere: a) seiner Darbietung; b) des Gebrauchs, mit dem billigerweise gerechnet werden kann, c) des Zeitpunkts, in dem es in den Verkehr gebracht wurde, berechtigterweise erwartet werden kann“. </w:t>
      </w:r>
      <w:r w:rsidRPr="00E10347">
        <w:rPr>
          <w:rFonts w:ascii="Palatino Linotype" w:hAnsi="Palatino Linotype" w:cs="Arial"/>
          <w:color w:val="auto"/>
          <w:sz w:val="21"/>
          <w:szCs w:val="21"/>
        </w:rPr>
        <w:t>(Un producto tiene un defecto cuando no ofrece la seguridad que, bajo consideración de todas las circunstancias, especialmente: a) de su presentación, b) de su uso, con el que como mínimo puede contarse; c) del momento, en el que fue introducido en el tráfico jurídico, puede legítimamente esperarse).</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Pese a que, como ya se indicó, la ProdHaftG establece un régimen de responsabilidad civil objetivo en cabeza del fabricante y de los demás sujetos indicados en el </w:t>
      </w:r>
      <w:r w:rsidRPr="00E10347">
        <w:rPr>
          <w:rFonts w:ascii="Palatino Linotype" w:hAnsi="Palatino Linotype" w:cs="Arial"/>
          <w:color w:val="auto"/>
          <w:sz w:val="21"/>
          <w:szCs w:val="21"/>
          <w:lang w:val="de-DE"/>
        </w:rPr>
        <w:t>§ 4 de dicha ley especial</w:t>
      </w:r>
      <w:r w:rsidRPr="00E10347">
        <w:rPr>
          <w:rFonts w:ascii="Palatino Linotype" w:hAnsi="Palatino Linotype" w:cs="Arial"/>
          <w:color w:val="auto"/>
          <w:sz w:val="21"/>
          <w:szCs w:val="21"/>
        </w:rPr>
        <w:t>, lo cierto del caso es que, en la realidad jurídica alemana, ha tenido poca aplicación práctica</w:t>
      </w:r>
      <w:r w:rsidRPr="00E10347">
        <w:rPr>
          <w:rStyle w:val="Refdenotaalpie"/>
          <w:rFonts w:ascii="Palatino Linotype" w:hAnsi="Palatino Linotype" w:cs="Arial"/>
          <w:color w:val="auto"/>
          <w:sz w:val="21"/>
          <w:szCs w:val="21"/>
        </w:rPr>
        <w:footnoteReference w:id="324"/>
      </w:r>
      <w:r w:rsidRPr="00E10347">
        <w:rPr>
          <w:rFonts w:ascii="Palatino Linotype" w:hAnsi="Palatino Linotype" w:cs="Arial"/>
          <w:color w:val="auto"/>
          <w:sz w:val="21"/>
          <w:szCs w:val="21"/>
        </w:rPr>
        <w:t>, básicamente por las siguientes razones: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a)</w:t>
      </w:r>
      <w:r w:rsidRPr="00E10347">
        <w:rPr>
          <w:rFonts w:ascii="Palatino Linotype" w:hAnsi="Palatino Linotype" w:cs="Arial"/>
          <w:color w:val="auto"/>
          <w:sz w:val="21"/>
          <w:szCs w:val="21"/>
        </w:rPr>
        <w:t xml:space="preserve"> Porque a raíz de la sentencia conocida como “Hühnerpest-Fall” del BGH (Bundesgerichtshof), se produjo, en el régimen jurídico de la responsabilidad civil extracontractual subjetiva contemplada en el § 823 párrafo 1 BGB, la inversión de la carga de la prueba de la culpa sobre la defectuosidad del producto, de forma tal que no es tarea del consumidor damnificado demostrar su existencia, como requisito constitutivo de la responsabilidad civil extracontractual, sino que la culpa se </w:t>
      </w:r>
      <w:r w:rsidRPr="00E10347">
        <w:rPr>
          <w:rFonts w:ascii="Palatino Linotype" w:hAnsi="Palatino Linotype" w:cs="Arial"/>
          <w:color w:val="auto"/>
          <w:sz w:val="21"/>
          <w:szCs w:val="21"/>
        </w:rPr>
        <w:lastRenderedPageBreak/>
        <w:t>presume y es labor del fabricante demostrar que no le asiste culpa en cuanto al producto defectuoso que él fabricó y que introdujo en el mercado o en el tráfico jurídico. Tal inversión de la carga de la prueba tiene el mismo efecto jurídico que la responsabilidad objetiva prevista por el  § 1 párrafo 1 oración 1 ProdHaftG, de modo que no existe, salvo a nivel puramente teórico, diferencia sustancial alguna entre ambos regímenes de responsabilidad civil extracontractual.</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b)</w:t>
      </w:r>
      <w:r w:rsidRPr="00E10347">
        <w:rPr>
          <w:rFonts w:ascii="Palatino Linotype" w:hAnsi="Palatino Linotype" w:cs="Arial"/>
          <w:color w:val="auto"/>
          <w:sz w:val="21"/>
          <w:szCs w:val="21"/>
        </w:rPr>
        <w:t xml:space="preserve"> Porque el resarcimiento de los daños materiales (Sachschäden) en el marco de la responsabilidad civil contemplada por la ProdHaftG solamente comprende los daños que sufran bienes distintos del producto defectuoso, tales que habitualmente sean utilizados, por parte del damnificado, para el uso privado (§ 1 párrafo 1 oración 2 ProdHaftG)</w:t>
      </w:r>
      <w:r w:rsidRPr="00E10347">
        <w:rPr>
          <w:rStyle w:val="Refdenotaalpie"/>
          <w:rFonts w:ascii="Palatino Linotype" w:hAnsi="Palatino Linotype" w:cs="Arial"/>
          <w:color w:val="auto"/>
          <w:sz w:val="21"/>
          <w:szCs w:val="21"/>
        </w:rPr>
        <w:footnoteReference w:id="325"/>
      </w:r>
      <w:r w:rsidRPr="00E10347">
        <w:rPr>
          <w:rFonts w:ascii="Palatino Linotype" w:hAnsi="Palatino Linotype" w:cs="Arial"/>
          <w:color w:val="auto"/>
          <w:sz w:val="21"/>
          <w:szCs w:val="21"/>
        </w:rPr>
        <w:t>. De este modo, quedan excluidos del ámbito indemnizatorio de la ProdHaftG los daños materiales causados por el producto defectuoso en bienes destinados a actividades comerciales, profesionales, negociales, o sea, fines distintos del mero uso o consumo privado del damnificado, siendo que tales daños materiales irrogados en esas otras esferas del damnificado sí son resarcibles a través del régimen de responsabilidad civil extracontractual subjetivo contemplado a partir del § 823 párrafo 1 BGB, razón por la cual, resulta entonces lógico que los damnificados por un producto defectuoso prefieran fundamentar sus demandas resarcitorias en las normas del BGB alemán, que no contemplan restricción o limitación alguna para pretender el resarcimiento de los daños materiales causados por el producto defectuoso, independientemente de que las consecuencias dañinas afecten bienes destinados y usados por el consumidor damnificado para el consumo propiamente privado o personal o comercial, laboral o profesional. En resumen, el régimen de responsabilidad civil extracontractual contemplado a partir del § 823 párrafo 1 BGB es mucho más amplio, protector y favorable para el consumidor damnificado que el que le ofrece la responsabilidad civil contemplada por la ProdHaftG.</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lastRenderedPageBreak/>
        <w:t>c)</w:t>
      </w:r>
      <w:r w:rsidRPr="00E10347">
        <w:rPr>
          <w:rFonts w:ascii="Palatino Linotype" w:hAnsi="Palatino Linotype" w:cs="Arial"/>
          <w:color w:val="auto"/>
          <w:sz w:val="21"/>
          <w:szCs w:val="21"/>
        </w:rPr>
        <w:t xml:space="preserve"> Porque la ProdHaftG contiene, en su § 15 párrafo 2, un claro ejemplo del fenómeno conocido como Anspruchskonkurrenz</w:t>
      </w:r>
      <w:r w:rsidRPr="00E10347">
        <w:rPr>
          <w:rStyle w:val="Refdenotaalpie"/>
          <w:rFonts w:ascii="Palatino Linotype" w:hAnsi="Palatino Linotype" w:cs="Arial"/>
          <w:color w:val="auto"/>
          <w:sz w:val="21"/>
          <w:szCs w:val="21"/>
        </w:rPr>
        <w:footnoteReference w:id="326"/>
      </w:r>
      <w:r w:rsidRPr="00E10347">
        <w:rPr>
          <w:rFonts w:ascii="Palatino Linotype" w:hAnsi="Palatino Linotype" w:cs="Arial"/>
          <w:color w:val="auto"/>
          <w:sz w:val="21"/>
          <w:szCs w:val="21"/>
        </w:rPr>
        <w:t>. En el marco de la responsabilidad civil por productos defectuosos significa que es facultad del damnificado pretender el resarcimiento de los daños mediante el régimen jurídico que le sea más beneficioso, sea el previsto en el § 823 párrafo 1 BGB o bien el contemplado en la ProdHaftG, de forma tal que ambos regímenes de responsabilidad civil por productos defectuosos no se excluyen entre sí, uno no deroga al otro, ni tampoco uno tiene jerarquía normativa superior al otro. Ambos regímenes resarcitorios coexisten</w:t>
      </w:r>
      <w:r w:rsidRPr="00E10347">
        <w:rPr>
          <w:rStyle w:val="Refdenotaalpie"/>
          <w:rFonts w:ascii="Palatino Linotype" w:hAnsi="Palatino Linotype" w:cs="Arial"/>
          <w:color w:val="auto"/>
          <w:sz w:val="21"/>
          <w:szCs w:val="21"/>
        </w:rPr>
        <w:footnoteReference w:id="327"/>
      </w:r>
      <w:r w:rsidRPr="00E10347">
        <w:rPr>
          <w:rFonts w:ascii="Palatino Linotype" w:hAnsi="Palatino Linotype" w:cs="Arial"/>
          <w:b/>
          <w:color w:val="auto"/>
          <w:sz w:val="21"/>
          <w:szCs w:val="21"/>
        </w:rPr>
        <w:t>.</w:t>
      </w:r>
      <w:r w:rsidRPr="00E10347">
        <w:rPr>
          <w:rFonts w:ascii="Palatino Linotype" w:hAnsi="Palatino Linotype" w:cs="Arial"/>
          <w:color w:val="auto"/>
          <w:sz w:val="21"/>
          <w:szCs w:val="21"/>
        </w:rPr>
        <w:t xml:space="preserve"> Al darse esta situación que, inclusive, tiene asidero legal expreso en el § 15 párrafo 2 ProdHaftG, lo que ha sucedido entonces en la práctica es que los consumidores damnificados por los productos defectuosos prefieren, por las razones a) y b) antes mencionadas, utilizar el régimen de responsabilidad civil extracontractual subjetiva contemplado a partir del § 823 párrafo 1 BGB en vez de fundamentar sus pretensiones indemnizatorias en las normas de la ProdHaftG.</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En realidad, Alemania promulgó la ProdHaftG, no porque la necesitara, pues ya antes de su promulgación, la doctrina y la jurisprudencia alemanas habían establecido y desarrollado todo lo relativo a la responsabilidad civil por productos defectuosos con base en el BGB</w:t>
      </w:r>
      <w:r w:rsidRPr="00E10347">
        <w:rPr>
          <w:rStyle w:val="Refdenotaalpie"/>
          <w:rFonts w:ascii="Palatino Linotype" w:hAnsi="Palatino Linotype" w:cs="Arial"/>
          <w:color w:val="auto"/>
          <w:sz w:val="21"/>
          <w:szCs w:val="21"/>
        </w:rPr>
        <w:footnoteReference w:id="328"/>
      </w:r>
      <w:r w:rsidRPr="00E10347">
        <w:rPr>
          <w:rFonts w:ascii="Palatino Linotype" w:hAnsi="Palatino Linotype" w:cs="Arial"/>
          <w:color w:val="auto"/>
          <w:sz w:val="21"/>
          <w:szCs w:val="21"/>
        </w:rPr>
        <w:t>, sino porque se vio obligada a hacerlo, en vista de que el Artículo 19 de la directiva comunitaria sobre responsabilidad civil por productos defectuosos, sea el Richtlinie 85/374 EWG del 27 de julio de 1985, disponía tal obligación para los Estados miembros de la Unión Europea, so pena de verse expuesto a sanciones</w:t>
      </w:r>
      <w:r w:rsidRPr="00E10347">
        <w:rPr>
          <w:rStyle w:val="Refdenotaalpie"/>
          <w:rFonts w:ascii="Palatino Linotype" w:hAnsi="Palatino Linotype" w:cs="Arial"/>
          <w:color w:val="auto"/>
          <w:sz w:val="21"/>
          <w:szCs w:val="21"/>
        </w:rPr>
        <w:footnoteReference w:id="329"/>
      </w:r>
      <w:r w:rsidRPr="00E10347">
        <w:rPr>
          <w:rFonts w:ascii="Palatino Linotype" w:hAnsi="Palatino Linotype" w:cs="Arial"/>
          <w:color w:val="auto"/>
          <w:sz w:val="21"/>
          <w:szCs w:val="21"/>
        </w:rPr>
        <w:t>.</w:t>
      </w:r>
    </w:p>
    <w:p w:rsidR="00CA49F0" w:rsidRDefault="00CA49F0" w:rsidP="00E10347">
      <w:pPr>
        <w:pStyle w:val="Predeterminado"/>
        <w:spacing w:after="0" w:line="240" w:lineRule="auto"/>
        <w:jc w:val="both"/>
        <w:rPr>
          <w:rFonts w:ascii="Palatino Linotype" w:hAnsi="Palatino Linotype" w:cs="Arial"/>
          <w:b/>
          <w:color w:val="auto"/>
          <w:sz w:val="21"/>
          <w:szCs w:val="21"/>
        </w:rPr>
      </w:pPr>
    </w:p>
    <w:p w:rsidR="00CA49F0" w:rsidRDefault="00CA49F0" w:rsidP="00E10347">
      <w:pPr>
        <w:pStyle w:val="Predeterminado"/>
        <w:spacing w:after="0" w:line="240" w:lineRule="auto"/>
        <w:jc w:val="both"/>
        <w:rPr>
          <w:rFonts w:ascii="Palatino Linotype" w:hAnsi="Palatino Linotype" w:cs="Arial"/>
          <w:b/>
          <w:color w:val="auto"/>
          <w:sz w:val="21"/>
          <w:szCs w:val="21"/>
        </w:rPr>
      </w:pP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b/>
          <w:color w:val="auto"/>
          <w:sz w:val="21"/>
          <w:szCs w:val="21"/>
        </w:rPr>
        <w:lastRenderedPageBreak/>
        <w:t>3. Características de la responsabilidad civil por productos defectuosos basada en el Código Civil alemán.</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Tal y como se indicó anteriormente, la responsabilidad civil por productos defectuosos basada en la normativa del Código Civil alemán (deliktische Produzentenhaftung) se caracteriza por ser una responsabilidad civil extracontractual subjetiva o por culpa.</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La doctrina y la jurisprudencia alemanas crearon una serie de conceptos jurídicos que ayudaron a subsumir la responsabilidad civil del fabricante de productos defectuosos en el contexto de la normativa del Código Civil alemán sobre la responsabilidad civil extracontractual subjetiva, cuya norma central, como se mencionó oportunamente, es el § 823 párrafo primero de ese cuerpo legal.</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Dentro de esa base conceptual se encuentra la trilogía fundamental del producto defectuoso, es decir, el defecto de construcción (Konstruktionsfehler), el defecto de fabricación (Fabrikationsfehler) y el defecto de instrucción (Instruktionsfehler) y, aunado a ella, se encuentra la llamada obligación de observación y vigilancia del producto después de que éste fue introducido en el mercado. Esta obligación se llama Produktbeobachtungspflicht.</w:t>
      </w:r>
    </w:p>
    <w:p w:rsidR="00CA49F0" w:rsidRDefault="00CA49F0" w:rsidP="00E10347">
      <w:pPr>
        <w:pStyle w:val="Predeterminado"/>
        <w:spacing w:after="0" w:line="240" w:lineRule="auto"/>
        <w:jc w:val="both"/>
        <w:rPr>
          <w:rFonts w:ascii="Palatino Linotype" w:hAnsi="Palatino Linotype" w:cs="Arial"/>
          <w:b/>
          <w:color w:val="auto"/>
          <w:sz w:val="21"/>
          <w:szCs w:val="21"/>
        </w:rPr>
      </w:pP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b/>
          <w:color w:val="auto"/>
          <w:sz w:val="21"/>
          <w:szCs w:val="21"/>
        </w:rPr>
        <w:t>3.1. La trilogía de defectos del producto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La doctrina y la jurisprudencia alemanas, a lo largo del desarrollo de la responsabilidad civil por productos defectuosos, han utilizado, para efectos de facilitar la labor de distinción y aplicación del régimen jurídico de la responsabilidad civil por productos defectuosos, una nomenclatura tripartita de tipos de defectos del producto, a saber, defecto de construcción (Konstruktionsfehler), defecto de fabricación (Fabrikationsfehler) y defecto de instrucción (Instruktionsfehler). Esta terminología no se encuentra expresamente contemplada en las normas del BGB, ni tampoco en el texto de la ProdHaftG. Son, como se dijo, categorías doctrinarias que delimitan y facilitan la adecuación de los efectos jurídicos resarcitorios a las hipótesis de productos defectuosos.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El </w:t>
      </w:r>
      <w:r w:rsidRPr="00E10347">
        <w:rPr>
          <w:rFonts w:ascii="Palatino Linotype" w:hAnsi="Palatino Linotype" w:cs="Arial"/>
          <w:b/>
          <w:color w:val="auto"/>
          <w:sz w:val="21"/>
          <w:szCs w:val="21"/>
        </w:rPr>
        <w:t xml:space="preserve">defecto de construcción (Konstruktionsfehler) </w:t>
      </w:r>
      <w:r w:rsidRPr="00E10347">
        <w:rPr>
          <w:rFonts w:ascii="Palatino Linotype" w:hAnsi="Palatino Linotype" w:cs="Arial"/>
          <w:color w:val="auto"/>
          <w:sz w:val="21"/>
          <w:szCs w:val="21"/>
        </w:rPr>
        <w:t xml:space="preserve">es aquél que surge como consecuencia de una defectuosa o errónea planeación del producto y afecta a todos los ejemplares construidos. Una adecuada observancia de lo que implica la correcta planeación del producto comprende, entre otras medidas, las siguientes: la concepción fundamental del producto, la revisión de las partes suministradas que se utilizarán para construir el producto, así como sus materias primas, la correcta </w:t>
      </w:r>
      <w:r w:rsidRPr="00E10347">
        <w:rPr>
          <w:rFonts w:ascii="Palatino Linotype" w:hAnsi="Palatino Linotype" w:cs="Arial"/>
          <w:color w:val="auto"/>
          <w:sz w:val="21"/>
          <w:szCs w:val="21"/>
        </w:rPr>
        <w:lastRenderedPageBreak/>
        <w:t>escogencia de los materiales que conforman el producto y las indicaciones necesarias para el correcto ensamblaje de las partes integrantes del producto final</w:t>
      </w:r>
      <w:r w:rsidRPr="00E10347">
        <w:rPr>
          <w:rStyle w:val="Refdenotaalpie"/>
          <w:rFonts w:ascii="Palatino Linotype" w:hAnsi="Palatino Linotype" w:cs="Arial"/>
          <w:color w:val="auto"/>
          <w:sz w:val="21"/>
          <w:szCs w:val="21"/>
        </w:rPr>
        <w:footnoteReference w:id="330"/>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El </w:t>
      </w:r>
      <w:r w:rsidRPr="00E10347">
        <w:rPr>
          <w:rFonts w:ascii="Palatino Linotype" w:hAnsi="Palatino Linotype" w:cs="Arial"/>
          <w:b/>
          <w:color w:val="auto"/>
          <w:sz w:val="21"/>
          <w:szCs w:val="21"/>
        </w:rPr>
        <w:t>defecto de fabricación (Fabrikationsfehler)</w:t>
      </w:r>
      <w:r w:rsidRPr="00E10347">
        <w:rPr>
          <w:rStyle w:val="Refdenotaalpie"/>
          <w:rFonts w:ascii="Palatino Linotype" w:hAnsi="Palatino Linotype" w:cs="Arial"/>
          <w:b/>
          <w:color w:val="auto"/>
          <w:sz w:val="21"/>
          <w:szCs w:val="21"/>
        </w:rPr>
        <w:footnoteReference w:id="331"/>
      </w:r>
      <w:r w:rsidRPr="00E10347">
        <w:rPr>
          <w:rFonts w:ascii="Palatino Linotype" w:hAnsi="Palatino Linotype" w:cs="Arial"/>
          <w:b/>
          <w:color w:val="auto"/>
          <w:sz w:val="21"/>
          <w:szCs w:val="21"/>
        </w:rPr>
        <w:t xml:space="preserve"> </w:t>
      </w:r>
      <w:r w:rsidRPr="00E10347">
        <w:rPr>
          <w:rFonts w:ascii="Palatino Linotype" w:hAnsi="Palatino Linotype" w:cs="Arial"/>
          <w:color w:val="auto"/>
          <w:sz w:val="21"/>
          <w:szCs w:val="21"/>
        </w:rPr>
        <w:t>se configura cuando, durante el proceso de producción de un bien que cumple con una correcta planeación y con las medidas que caracterizan a ésta, ocurre, empero, una inobservancia de medidas de seguridad durante la fabricación propiamente dicha o bien en la fase de control final del producto. El defecto de fabricación generalmente se identifica con facilidad cuando un bien es producido en serie y solamente uno o muy pocos ejemplares de dicha serie presentan, posteriormente, un defecto. Dentro del defecto de fabricación se subsumen, por ejemplo, los llamados “Ausreißer”, que son defectos que se refieren, solamente, a pocos ejemplares del producto o a uno solo de ellos y que, a pesar de todas las precauciones razonables, son, realmente, inevitables</w:t>
      </w:r>
      <w:r w:rsidRPr="00E10347">
        <w:rPr>
          <w:rStyle w:val="Refdenotaalpie"/>
          <w:rFonts w:ascii="Palatino Linotype" w:hAnsi="Palatino Linotype" w:cs="Arial"/>
          <w:color w:val="auto"/>
          <w:sz w:val="21"/>
          <w:szCs w:val="21"/>
        </w:rPr>
        <w:footnoteReference w:id="332"/>
      </w:r>
      <w:r w:rsidRPr="00E10347">
        <w:rPr>
          <w:rFonts w:ascii="Palatino Linotype" w:hAnsi="Palatino Linotype" w:cs="Arial"/>
          <w:color w:val="auto"/>
          <w:sz w:val="21"/>
          <w:szCs w:val="21"/>
        </w:rPr>
        <w:t xml:space="preserve">. </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El </w:t>
      </w:r>
      <w:r w:rsidRPr="00E10347">
        <w:rPr>
          <w:rFonts w:ascii="Palatino Linotype" w:hAnsi="Palatino Linotype" w:cs="Arial"/>
          <w:b/>
          <w:color w:val="auto"/>
          <w:sz w:val="21"/>
          <w:szCs w:val="21"/>
        </w:rPr>
        <w:t>defecto de instrucción (Instruktionsfehler)</w:t>
      </w:r>
      <w:r w:rsidRPr="00E10347">
        <w:rPr>
          <w:rStyle w:val="Refdenotaalpie"/>
          <w:rFonts w:ascii="Palatino Linotype" w:hAnsi="Palatino Linotype" w:cs="Arial"/>
          <w:b/>
          <w:color w:val="auto"/>
          <w:sz w:val="21"/>
          <w:szCs w:val="21"/>
        </w:rPr>
        <w:footnoteReference w:id="333"/>
      </w:r>
      <w:r w:rsidRPr="00E10347">
        <w:rPr>
          <w:rFonts w:ascii="Palatino Linotype" w:hAnsi="Palatino Linotype" w:cs="Arial"/>
          <w:color w:val="auto"/>
          <w:sz w:val="21"/>
          <w:szCs w:val="21"/>
        </w:rPr>
        <w:t xml:space="preserve"> se da cuando el fabricante omite o proporciona incorrectamente al consumidor del producto la información sobre las instrucciones para utilizar correctamente el bien, de acuerdo con el fin específico y natural para el cual fue fabricado, así como sobre las advertencias y riesgos que debe conocer el consumidor para usar con seguridad el producto en cuestión</w:t>
      </w:r>
      <w:r w:rsidRPr="00E10347">
        <w:rPr>
          <w:rStyle w:val="Refdenotaalpie"/>
          <w:rFonts w:ascii="Palatino Linotype" w:hAnsi="Palatino Linotype" w:cs="Arial"/>
          <w:color w:val="auto"/>
          <w:sz w:val="21"/>
          <w:szCs w:val="21"/>
        </w:rPr>
        <w:footnoteReference w:id="334"/>
      </w:r>
      <w:r w:rsidRPr="00E10347">
        <w:rPr>
          <w:rFonts w:ascii="Palatino Linotype" w:hAnsi="Palatino Linotype" w:cs="Arial"/>
          <w:color w:val="auto"/>
          <w:sz w:val="21"/>
          <w:szCs w:val="21"/>
        </w:rPr>
        <w:t>.</w:t>
      </w:r>
    </w:p>
    <w:p w:rsidR="00CA49F0" w:rsidRDefault="00CA49F0" w:rsidP="00E10347">
      <w:pPr>
        <w:pStyle w:val="Predeterminado"/>
        <w:spacing w:after="0" w:line="240" w:lineRule="auto"/>
        <w:jc w:val="both"/>
        <w:rPr>
          <w:rFonts w:ascii="Palatino Linotype" w:hAnsi="Palatino Linotype" w:cs="Arial"/>
          <w:b/>
          <w:color w:val="auto"/>
          <w:sz w:val="21"/>
          <w:szCs w:val="21"/>
        </w:rPr>
      </w:pPr>
    </w:p>
    <w:p w:rsidR="00CA49F0" w:rsidRDefault="00CA49F0" w:rsidP="00E10347">
      <w:pPr>
        <w:pStyle w:val="Predeterminado"/>
        <w:spacing w:after="0" w:line="240" w:lineRule="auto"/>
        <w:jc w:val="both"/>
        <w:rPr>
          <w:rFonts w:ascii="Palatino Linotype" w:hAnsi="Palatino Linotype" w:cs="Arial"/>
          <w:b/>
          <w:color w:val="auto"/>
          <w:sz w:val="21"/>
          <w:szCs w:val="21"/>
        </w:rPr>
      </w:pPr>
    </w:p>
    <w:p w:rsidR="00CA49F0" w:rsidRDefault="00CA49F0" w:rsidP="00E10347">
      <w:pPr>
        <w:pStyle w:val="Predeterminado"/>
        <w:spacing w:after="0" w:line="240" w:lineRule="auto"/>
        <w:jc w:val="both"/>
        <w:rPr>
          <w:rFonts w:ascii="Palatino Linotype" w:hAnsi="Palatino Linotype" w:cs="Arial"/>
          <w:b/>
          <w:color w:val="auto"/>
          <w:sz w:val="21"/>
          <w:szCs w:val="21"/>
        </w:rPr>
      </w:pP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b/>
          <w:color w:val="auto"/>
          <w:sz w:val="21"/>
          <w:szCs w:val="21"/>
        </w:rPr>
        <w:lastRenderedPageBreak/>
        <w:t>3.2. La obligación de observación y vigilancia del producto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La obligación de observación y vigilancia del producto (llamada en el Derecho Civil alemán “Produktbeobachtungspflicht”) consiste en el deber que tiene el fabricante de observar y vigilar el comportamiento del producto con posterioridad al momento en que lo introdujo en el mercado, con el fin de determinar cuáles riesgos desconocidos puede tener el producto y cómo lo utiliza el consumidor</w:t>
      </w:r>
      <w:r w:rsidRPr="00E10347">
        <w:rPr>
          <w:rStyle w:val="Refdenotaalpie"/>
          <w:rFonts w:ascii="Palatino Linotype" w:hAnsi="Palatino Linotype" w:cs="Arial"/>
          <w:color w:val="auto"/>
          <w:sz w:val="21"/>
          <w:szCs w:val="21"/>
        </w:rPr>
        <w:footnoteReference w:id="335"/>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Jurídicamente el fabricante cumple a cabalidad con la obligación de observación y vigilancia del producto después de su introducción en el mercado y, por consiguiente, no respondería de los daños y perjuicios correspondientes si, dependiendo del tipo de producto, efectúa lo que se conoce como el llamado a revisión (Rückruf) o bien si advierte debidamente a los consumidores sobre los posibles peligros descubiertos</w:t>
      </w:r>
      <w:r w:rsidRPr="00E10347">
        <w:rPr>
          <w:rStyle w:val="Refdenotaalpie"/>
          <w:rFonts w:ascii="Palatino Linotype" w:hAnsi="Palatino Linotype" w:cs="Arial"/>
          <w:color w:val="auto"/>
          <w:sz w:val="21"/>
          <w:szCs w:val="21"/>
        </w:rPr>
        <w:footnoteReference w:id="336"/>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De acuerdo con la jurisprudencia alemana, la Produktbeobachtungspflicht también obliga al fabricante a reaccionar ante aquellos peligros que solamente se producen cuando el producto del fabricante se combina con otros productos y entonces la idoneidad del uso del producto considerado como una unidad se ve perjudicada.</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Por otra parte, la obligación de observación y vigilancia del producto también se hace extensiva a la ineficacia del producto después de su introducción en el mercado, o sea, que si el fabricante llega a darse cuenta que su producto se vuelve ineficaz para solucionar aquello para lo cual fue creado, pues entonces debe advertir al consumidor sobre dicha ineficacia sobrevenida del producto (Wirkungslosigkeit des Produkts).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El momento en el cual el fabricante, en cumplimiento de su obligación de observación y vigilancia, debe advertir al consumidor sobre eventuales daños causados por el producto después de su introducción en el mercado, depende de si el producto puede causar daños a la vida o a la integridad física de la persona o si, por el contrario, solamente puede causar daños materiales: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a) Si el producto es susceptible de causar daños a la vida o a la integridad física del consumidor, entonces el fabricante debe advertir a todos los consumidores </w:t>
      </w:r>
      <w:r w:rsidRPr="00E10347">
        <w:rPr>
          <w:rFonts w:ascii="Palatino Linotype" w:hAnsi="Palatino Linotype" w:cs="Arial"/>
          <w:color w:val="auto"/>
          <w:sz w:val="21"/>
          <w:szCs w:val="21"/>
        </w:rPr>
        <w:lastRenderedPageBreak/>
        <w:t>a partir del preciso momento en que tengan sospechas serias de la dañosidad o peligrosidad sobrevenida del producto y;</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b) Si el producto solamente es capaz de producir daños puramente materiales, entonces el fabricante puede, en un primer momento, limitarse a realizar posteriores investigaciones del producto cuando tenga las primeras sospechas de sus peligros. No obstante, cuando esas investigaciones le confirmen al fabricante que sus sospechas sobre la peligrosidad del producto eran fundadas, entonces, a partir de ese momento, surge su obligación de informar a todos los consumidores del producto sobre los peligros que entraña, a posteriori, el consumo o utilización del producto.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Finalmente, es importante destacar que la doctrina y la jurisprudencia  alemanas han sostenido, reiteradamente, que la llamada “Produktbeobachtungspflicht” está contemplada por el régimen jurídico de la deliktische Produzentenhaftung, de modo que el fabricante del producto perfectamente podría ser responsable por los daños y perjuicios causados por el incumplimiento de dicha obligación. Por el contrario, la ProdHaftG no menciona ni contempla, expresamente, la “Produktbeobachtungspflicht”, por lo cual se ha afirmado que el fabricante del producto defectuoso y los otros sujetos responsables, según el § 4 de esa ley especial, no podrían ser responsables por los daños y perjuicios causados por la omisión o incumplimiento de la obligación de observación y vigilancia</w:t>
      </w:r>
      <w:r w:rsidRPr="00E10347">
        <w:rPr>
          <w:rStyle w:val="Refdenotaalpie"/>
          <w:rFonts w:ascii="Palatino Linotype" w:hAnsi="Palatino Linotype" w:cs="Arial"/>
          <w:color w:val="auto"/>
          <w:sz w:val="21"/>
          <w:szCs w:val="21"/>
        </w:rPr>
        <w:footnoteReference w:id="337"/>
      </w:r>
      <w:r w:rsidRPr="00E10347">
        <w:rPr>
          <w:rFonts w:ascii="Palatino Linotype" w:hAnsi="Palatino Linotype" w:cs="Arial"/>
          <w:color w:val="auto"/>
          <w:sz w:val="21"/>
          <w:szCs w:val="21"/>
        </w:rPr>
        <w:t xml:space="preserve">. </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No obstante, de acuerdo con los autores alemanes Pott/Frieling</w:t>
      </w:r>
      <w:r w:rsidRPr="00E10347">
        <w:rPr>
          <w:rStyle w:val="Refdenotaalpie"/>
          <w:rFonts w:ascii="Palatino Linotype" w:hAnsi="Palatino Linotype" w:cs="Arial"/>
          <w:color w:val="auto"/>
          <w:sz w:val="21"/>
          <w:szCs w:val="21"/>
        </w:rPr>
        <w:footnoteReference w:id="338"/>
      </w:r>
      <w:r w:rsidRPr="00E10347">
        <w:rPr>
          <w:rFonts w:ascii="Palatino Linotype" w:hAnsi="Palatino Linotype" w:cs="Arial"/>
          <w:color w:val="auto"/>
          <w:sz w:val="21"/>
          <w:szCs w:val="21"/>
        </w:rPr>
        <w:t>, podría ser relevante, para el fabricante, la prueba de una completa observación del desarrollo del producto introducido en el tráfico jurídico para los efectos de invocar y probar la causal de exoneración conocida como “riesgos de desarrollo”, que prevé § 1 párrafo segundo inciso 5 de la ProdHaftG.</w:t>
      </w:r>
    </w:p>
    <w:p w:rsidR="00CA49F0" w:rsidRDefault="00CA49F0" w:rsidP="00E10347">
      <w:pPr>
        <w:pStyle w:val="Predeterminado"/>
        <w:spacing w:after="0" w:line="240" w:lineRule="auto"/>
        <w:jc w:val="both"/>
        <w:rPr>
          <w:rFonts w:ascii="Palatino Linotype" w:hAnsi="Palatino Linotype" w:cs="Arial"/>
          <w:b/>
          <w:color w:val="auto"/>
          <w:sz w:val="21"/>
          <w:szCs w:val="21"/>
        </w:rPr>
      </w:pPr>
    </w:p>
    <w:p w:rsidR="00CA49F0" w:rsidRDefault="00CA49F0" w:rsidP="00E10347">
      <w:pPr>
        <w:pStyle w:val="Predeterminado"/>
        <w:spacing w:after="0" w:line="240" w:lineRule="auto"/>
        <w:jc w:val="both"/>
        <w:rPr>
          <w:rFonts w:ascii="Palatino Linotype" w:hAnsi="Palatino Linotype" w:cs="Arial"/>
          <w:b/>
          <w:color w:val="auto"/>
          <w:sz w:val="21"/>
          <w:szCs w:val="21"/>
        </w:rPr>
      </w:pPr>
    </w:p>
    <w:p w:rsidR="00CA49F0" w:rsidRDefault="00CA49F0" w:rsidP="00E10347">
      <w:pPr>
        <w:pStyle w:val="Predeterminado"/>
        <w:spacing w:after="0" w:line="240" w:lineRule="auto"/>
        <w:jc w:val="both"/>
        <w:rPr>
          <w:rFonts w:ascii="Palatino Linotype" w:hAnsi="Palatino Linotype" w:cs="Arial"/>
          <w:b/>
          <w:color w:val="auto"/>
          <w:sz w:val="21"/>
          <w:szCs w:val="21"/>
        </w:rPr>
      </w:pP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b/>
          <w:color w:val="auto"/>
          <w:sz w:val="21"/>
          <w:szCs w:val="21"/>
        </w:rPr>
        <w:t>3.3. La carga probatoria en la responsabilidad civil por productos defectuosos basada en el Código Civil alemán</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lastRenderedPageBreak/>
        <w:t>Cuando el damnificado pretende exigir y obtener la reparación de los daños causados por el producto defectuoso con base en las reglas de responsabilidad civil extracontractual subjetiva del Código Civil alemán, la doctrina de ese país ha indicado que el damnificado tiene, en términos generales, la carga de la prueba con respecto a los siguientes aspectos:</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b/>
          <w:sz w:val="21"/>
          <w:szCs w:val="21"/>
        </w:rPr>
        <w:t>3.3.1.</w:t>
      </w:r>
      <w:r w:rsidRPr="00E10347">
        <w:rPr>
          <w:rFonts w:ascii="Palatino Linotype" w:hAnsi="Palatino Linotype" w:cs="Arial"/>
          <w:sz w:val="21"/>
          <w:szCs w:val="21"/>
          <w:lang w:val="es-ES"/>
        </w:rPr>
        <w:t xml:space="preserve"> La existencia de un producto defectuoso, en sus modalidades de defecto de construcción, defecto de instrucción, defecto de fabricación, hecho por el fabricante o bien el incumplimiento de la obligación de observación y vigilancia por parte suya.</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b/>
          <w:sz w:val="21"/>
          <w:szCs w:val="21"/>
          <w:lang w:val="es-ES"/>
        </w:rPr>
        <w:t>3.3.2.</w:t>
      </w:r>
      <w:r w:rsidRPr="00E10347">
        <w:rPr>
          <w:rFonts w:ascii="Palatino Linotype" w:hAnsi="Palatino Linotype" w:cs="Arial"/>
          <w:sz w:val="21"/>
          <w:szCs w:val="21"/>
          <w:lang w:val="es-ES"/>
        </w:rPr>
        <w:t xml:space="preserve"> Lesión de uno de los bienes jurídicos que establece el § 823 párrafo primero del Código Civil alemán.</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b/>
          <w:sz w:val="21"/>
          <w:szCs w:val="21"/>
          <w:lang w:val="es-ES"/>
        </w:rPr>
        <w:t>3.3.3.</w:t>
      </w:r>
      <w:r w:rsidRPr="00E10347">
        <w:rPr>
          <w:rFonts w:ascii="Palatino Linotype" w:hAnsi="Palatino Linotype" w:cs="Arial"/>
          <w:sz w:val="21"/>
          <w:szCs w:val="21"/>
          <w:lang w:val="es-ES"/>
        </w:rPr>
        <w:t xml:space="preserve"> Daño infligido.</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b/>
          <w:sz w:val="21"/>
          <w:szCs w:val="21"/>
          <w:lang w:val="es-ES"/>
        </w:rPr>
        <w:t>3.3.4.</w:t>
      </w:r>
      <w:r w:rsidRPr="00E10347">
        <w:rPr>
          <w:rFonts w:ascii="Palatino Linotype" w:hAnsi="Palatino Linotype" w:cs="Arial"/>
          <w:sz w:val="21"/>
          <w:szCs w:val="21"/>
          <w:lang w:val="es-ES"/>
        </w:rPr>
        <w:t xml:space="preserve"> Nexo de causalidad, cuya debida configuración, según la doctrina alemana, debe observarse en dos niveles concurrentes:</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b/>
          <w:sz w:val="21"/>
          <w:szCs w:val="21"/>
          <w:lang w:val="es-ES"/>
        </w:rPr>
        <w:t>3.3.4.1.</w:t>
      </w:r>
      <w:r w:rsidRPr="00E10347">
        <w:rPr>
          <w:rFonts w:ascii="Palatino Linotype" w:hAnsi="Palatino Linotype" w:cs="Arial"/>
          <w:sz w:val="21"/>
          <w:szCs w:val="21"/>
          <w:lang w:val="es-ES"/>
        </w:rPr>
        <w:t xml:space="preserve"> Relación de causalidad entre el producto defectuoso y el bien jurídico lesionado (haftungsbegründende Kausalität) y;</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b/>
          <w:sz w:val="21"/>
          <w:szCs w:val="21"/>
          <w:lang w:val="es-ES"/>
        </w:rPr>
        <w:t>3.3.4.2.</w:t>
      </w:r>
      <w:r w:rsidRPr="00E10347">
        <w:rPr>
          <w:rFonts w:ascii="Palatino Linotype" w:hAnsi="Palatino Linotype" w:cs="Arial"/>
          <w:sz w:val="21"/>
          <w:szCs w:val="21"/>
          <w:lang w:val="es-ES"/>
        </w:rPr>
        <w:t xml:space="preserve"> Relación de causalidad entre el bien jurídico lesionado y el daño producido (haftungsausfüllende Kausalität).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Como puede observarse, el damnificado no tiene la carga de la prueba con respecto a la culpa del fabricante del producto defectuoso, sino que, por el contrario, le corresponde a éste último probar que él no actuó culposamente, porque observó todos los deberes atinentes al proceso de fabricación del producto.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En el campo de la “deliktische Produzentenhaftung”, la antijuricidad no es requisito constitutivo de ese régimen de responsabilidad civil extracontractual subjetivo. Tampoco puede el fabricante alegar algún tipo de causa de justificación (como forma de exclusión de una antijuricidad que no tiene que probar) tendente a exonerarse del deber de resarcir los daños y perjuicios causados al consumidor con el producto defectuoso.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Los anteriores requisitos generales para que nazca el deber de resarcimiento de los daños y perjuicios, según el régimen jurídico de responsabilidad civil bajo examen, deben ser complementados con ciertos aspectos de carga probatoria que dependen del tipo de defecto del producto que hubiese causado la lesión del bien jurídico y el daño.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Tales aspectos son los siguientes:</w:t>
      </w:r>
    </w:p>
    <w:p w:rsidR="002014CA" w:rsidRPr="00E10347" w:rsidRDefault="002014CA" w:rsidP="00E10347">
      <w:pPr>
        <w:pStyle w:val="Sangradetextonormal"/>
        <w:spacing w:before="0" w:beforeAutospacing="0" w:after="0" w:afterAutospacing="0"/>
        <w:ind w:firstLine="708"/>
        <w:jc w:val="both"/>
        <w:rPr>
          <w:rFonts w:ascii="Palatino Linotype" w:hAnsi="Palatino Linotype" w:cs="Arial"/>
          <w:sz w:val="21"/>
          <w:szCs w:val="21"/>
          <w:lang w:val="es-ES"/>
        </w:rPr>
      </w:pPr>
      <w:r w:rsidRPr="00E10347">
        <w:rPr>
          <w:rFonts w:ascii="Palatino Linotype" w:hAnsi="Palatino Linotype" w:cs="Arial"/>
          <w:sz w:val="21"/>
          <w:szCs w:val="21"/>
          <w:lang w:val="es-ES"/>
        </w:rPr>
        <w:lastRenderedPageBreak/>
        <w:t>a) En los casos de defectos de construcción y defectos de fabricación, el fabricante debe probar que el defecto no surgió como consecuencia del incumplimiento de una obligación de seguridad del tráfico, imputable a él y que no le asiste ninguna culpa.</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b) Cuando el producto presenta un defecto de instrucción, la carga de la prueba opera de la siguiente manera:</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b.1. Cuando el defecto de instrucción surgió a en el momento mismo de la introducción del producto en el mercado, es el fabricante quien debe demostrar que no incumplió ninguna obligación de seguridad del tráfico y que no actuó culposamente.</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De acuerdo con los autores alemanes Pott y Frieling, “el fabricante puede exonerarse de responsabilidad en la medida en que logre probar que no tenía fuentes de reconocimiento del defecto y que no pudo procurárselas, porque la necesidad de instrucción o advertencia no era reconocible para él”</w:t>
      </w:r>
      <w:r w:rsidRPr="00E10347">
        <w:rPr>
          <w:rStyle w:val="Refdenotaalpie"/>
          <w:rFonts w:ascii="Palatino Linotype" w:hAnsi="Palatino Linotype" w:cs="Arial"/>
          <w:sz w:val="21"/>
          <w:szCs w:val="21"/>
          <w:lang w:val="es-ES"/>
        </w:rPr>
        <w:footnoteReference w:id="339"/>
      </w:r>
      <w:r w:rsidRPr="00E10347">
        <w:rPr>
          <w:rFonts w:ascii="Palatino Linotype" w:hAnsi="Palatino Linotype" w:cs="Arial"/>
          <w:sz w:val="21"/>
          <w:szCs w:val="21"/>
          <w:lang w:val="es-ES"/>
        </w:rPr>
        <w:t>.</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b.2. Cuando el defecto de instrucción surge con posterioridad al momento en el cual el producto fue introducido al mercado, le corresponde al damnificado probar el incumplimiento de la obligación de seguridad, por parte del fabricante.</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lang w:val="es-ES"/>
        </w:rPr>
        <w:t>c) En lo que respecta a la obligación de observación y vigilancia, la carga de la prueba tiene el mismo tratamiento que el defecto de instrucción, es decir, le corresponde al fabricante la carga de la prueba de que cumplió su obligación de observación y vigilancia del producto en el momento en el cual éste fue introducido en el mercado; por el contrario, le corresponde al damnificado la carga de la prueba de que, con posterioridad a la introducción del producto en el mercado, el fabricante incumplió su obligación de observar y vigilar el producto.</w:t>
      </w:r>
    </w:p>
    <w:p w:rsidR="00CA49F0" w:rsidRDefault="00CA49F0" w:rsidP="00E10347">
      <w:pPr>
        <w:pStyle w:val="Predeterminado"/>
        <w:spacing w:after="0" w:line="240" w:lineRule="auto"/>
        <w:jc w:val="both"/>
        <w:rPr>
          <w:rFonts w:ascii="Palatino Linotype" w:hAnsi="Palatino Linotype" w:cs="Arial"/>
          <w:b/>
          <w:color w:val="auto"/>
          <w:sz w:val="21"/>
          <w:szCs w:val="21"/>
        </w:rPr>
      </w:pP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b/>
          <w:color w:val="auto"/>
          <w:sz w:val="21"/>
          <w:szCs w:val="21"/>
        </w:rPr>
        <w:t>3.4. Los sujetos obligados a la reparación del daño según</w:t>
      </w:r>
      <w:r w:rsidRPr="00E10347">
        <w:rPr>
          <w:rFonts w:ascii="Palatino Linotype" w:hAnsi="Palatino Linotype" w:cs="Arial"/>
          <w:color w:val="auto"/>
          <w:sz w:val="21"/>
          <w:szCs w:val="21"/>
        </w:rPr>
        <w:t xml:space="preserve"> </w:t>
      </w:r>
      <w:r w:rsidRPr="00E10347">
        <w:rPr>
          <w:rFonts w:ascii="Palatino Linotype" w:hAnsi="Palatino Linotype" w:cs="Arial"/>
          <w:b/>
          <w:color w:val="auto"/>
          <w:sz w:val="21"/>
          <w:szCs w:val="21"/>
        </w:rPr>
        <w:t>la responsabilidad civil por productos defectuosos basada en el Código Civil alemán</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De acuerdo con la doctrina y la jurisprudencia alemanas, tales sujetos son los siguientes: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3.4.1.</w:t>
      </w:r>
      <w:r w:rsidRPr="00E10347">
        <w:rPr>
          <w:rFonts w:ascii="Palatino Linotype" w:hAnsi="Palatino Linotype" w:cs="Arial"/>
          <w:color w:val="auto"/>
          <w:sz w:val="21"/>
          <w:szCs w:val="21"/>
        </w:rPr>
        <w:t xml:space="preserve"> El fabricante del producto final (Endhersteller).</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3.4.2.</w:t>
      </w:r>
      <w:r w:rsidRPr="00E10347">
        <w:rPr>
          <w:rFonts w:ascii="Palatino Linotype" w:hAnsi="Palatino Linotype" w:cs="Arial"/>
          <w:color w:val="auto"/>
          <w:sz w:val="21"/>
          <w:szCs w:val="21"/>
        </w:rPr>
        <w:t xml:space="preserve"> Los trabajadores bajo la subordinación jurídica del fabricante (Mitarbeiter des Endherstellers).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lastRenderedPageBreak/>
        <w:t>3.4.3.</w:t>
      </w:r>
      <w:r w:rsidRPr="00E10347">
        <w:rPr>
          <w:rFonts w:ascii="Palatino Linotype" w:hAnsi="Palatino Linotype" w:cs="Arial"/>
          <w:color w:val="auto"/>
          <w:sz w:val="21"/>
          <w:szCs w:val="21"/>
        </w:rPr>
        <w:t xml:space="preserve"> Los representantes legales de las personas jurídicas fabricantes de productos. (gesetzliche Vertreter juristischer Personen).</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3.4.4.</w:t>
      </w:r>
      <w:r w:rsidRPr="00E10347">
        <w:rPr>
          <w:rFonts w:ascii="Palatino Linotype" w:hAnsi="Palatino Linotype" w:cs="Arial"/>
          <w:color w:val="auto"/>
          <w:sz w:val="21"/>
          <w:szCs w:val="21"/>
        </w:rPr>
        <w:t xml:space="preserve"> El fabricante de una parte que compone el producto final o el proveedor de materias primas. (Zulieferer).</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El Zulieferer es responsable por la adecuada construcción y fabricación de la pieza o parte específica o materias primas suministradas por él, en los mismos términos en que responde el fabricante del producto final.</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Por el contrario, cuando el Zulieferer fabrica la pieza con base en los requerimientos e instrucciones del fabricante del producto final (Auftragsfertigung), no responde por los posibles defectos de construcción.</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Con respecto a sus obligaciones de instrucción, el proveedor (o sea, el Zulieferer) solamente las tiene con respecto al usuario inmediato de la pieza o parte proveída y lo mismo ocurre con respecto a su obligación de observación y vigilancia.</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3.4.5.</w:t>
      </w:r>
      <w:r w:rsidRPr="00E10347">
        <w:rPr>
          <w:rFonts w:ascii="Palatino Linotype" w:hAnsi="Palatino Linotype" w:cs="Arial"/>
          <w:color w:val="auto"/>
          <w:sz w:val="21"/>
          <w:szCs w:val="21"/>
        </w:rPr>
        <w:t xml:space="preserve"> El cuasi-fabricante (Quasi-Hersteller), que es la persona que no fabrica nada, sino que solamente incorpora su nombre, logo o imagen en el producto, no le asiste, en términos generales, ninguna responsabilidad civil por defectos de construcción o de fabricación del producto. Solamente si influye, de alguna manera, en el proceso de construcción o de fabricación del producto, le podría caber responsabilidad civil conjuntamente con el fabricante verdadero. </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Por el contrario, en los casos de defectos de instrucción y de obligación de observación y vigilancia del producto, el cuasi-fabricante sí es responsable de los daños y perjuicios que se llegaran a causar en alguno de esos casos, cuando le es posible reconocer o detectar la situación de peligro.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3.4.6.</w:t>
      </w:r>
      <w:r w:rsidRPr="00E10347">
        <w:rPr>
          <w:rFonts w:ascii="Palatino Linotype" w:hAnsi="Palatino Linotype" w:cs="Arial"/>
          <w:color w:val="auto"/>
          <w:sz w:val="21"/>
          <w:szCs w:val="21"/>
        </w:rPr>
        <w:t xml:space="preserve"> Comerciantes e importadores: Los comerciantes (Händler) e importadores (Importeure), quienes intervienen, generalmente, en el tráfico jurídico, como vendedores y distribuidores de productos, no son responsables por los defectos de construcción o fabricación que tuvieran los productos que ellos venden, importan, distribuyen o comercializan.</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En cuanto a si dichos sujetos tienen alguna obligación de inspección o supervisión (Untersuchungspflicht) de los productos que comercializan, importan, venden o distribuyen, la doctrina alemana indica que tal deber </w:t>
      </w:r>
      <w:r w:rsidR="002A76CC">
        <w:rPr>
          <w:rFonts w:ascii="Palatino Linotype" w:hAnsi="Palatino Linotype" w:cs="Arial"/>
          <w:color w:val="auto"/>
          <w:sz w:val="21"/>
          <w:szCs w:val="21"/>
        </w:rPr>
        <w:t xml:space="preserve">solo </w:t>
      </w:r>
      <w:r w:rsidRPr="00E10347">
        <w:rPr>
          <w:rFonts w:ascii="Palatino Linotype" w:hAnsi="Palatino Linotype" w:cs="Arial"/>
          <w:color w:val="auto"/>
          <w:sz w:val="21"/>
          <w:szCs w:val="21"/>
        </w:rPr>
        <w:t xml:space="preserve">existe si, realmente, existen indicios que hagan pensar que los productos tienen o pueden </w:t>
      </w:r>
      <w:r w:rsidRPr="00E10347">
        <w:rPr>
          <w:rFonts w:ascii="Palatino Linotype" w:hAnsi="Palatino Linotype" w:cs="Arial"/>
          <w:color w:val="auto"/>
          <w:sz w:val="21"/>
          <w:szCs w:val="21"/>
        </w:rPr>
        <w:lastRenderedPageBreak/>
        <w:t>tener algún defecto, lo cual, en general, es muy difícil que suceda, sobre todo si los productos están sellados, envasados, en cajas herméticas o empaques cerrados</w:t>
      </w:r>
      <w:r w:rsidRPr="00E10347">
        <w:rPr>
          <w:rStyle w:val="Refdenotaalpie"/>
          <w:rFonts w:ascii="Palatino Linotype" w:hAnsi="Palatino Linotype" w:cs="Arial"/>
          <w:color w:val="auto"/>
          <w:sz w:val="21"/>
          <w:szCs w:val="21"/>
        </w:rPr>
        <w:footnoteReference w:id="340"/>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De lo que sí deben velar los sujetos antes dichos es que las instrucciones sobre el uso y las advertencias sobre riesgos o peligros estén al alcance del consumidor</w:t>
      </w:r>
      <w:r w:rsidRPr="00E10347">
        <w:rPr>
          <w:rStyle w:val="Refdenotaalpie"/>
          <w:rFonts w:ascii="Palatino Linotype" w:hAnsi="Palatino Linotype" w:cs="Arial"/>
          <w:color w:val="auto"/>
          <w:sz w:val="21"/>
          <w:szCs w:val="21"/>
        </w:rPr>
        <w:footnoteReference w:id="341"/>
      </w:r>
      <w:r w:rsidRPr="00E10347">
        <w:rPr>
          <w:rFonts w:ascii="Palatino Linotype" w:hAnsi="Palatino Linotype" w:cs="Arial"/>
          <w:color w:val="auto"/>
          <w:sz w:val="21"/>
          <w:szCs w:val="21"/>
        </w:rPr>
        <w:t>.</w:t>
      </w:r>
    </w:p>
    <w:p w:rsidR="00CA49F0" w:rsidRDefault="00CA49F0" w:rsidP="00E10347">
      <w:pPr>
        <w:pStyle w:val="Predeterminado"/>
        <w:spacing w:after="0" w:line="240" w:lineRule="auto"/>
        <w:jc w:val="both"/>
        <w:rPr>
          <w:rFonts w:ascii="Palatino Linotype" w:hAnsi="Palatino Linotype" w:cs="Arial"/>
          <w:b/>
          <w:color w:val="auto"/>
          <w:sz w:val="21"/>
          <w:szCs w:val="21"/>
        </w:rPr>
      </w:pP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b/>
          <w:color w:val="auto"/>
          <w:sz w:val="21"/>
          <w:szCs w:val="21"/>
        </w:rPr>
        <w:t>4. Características de la responsabilidad civil por productos defectuosos basada en la Produkthaftungsgesetz.</w:t>
      </w:r>
      <w:r w:rsidRPr="00E10347">
        <w:rPr>
          <w:rFonts w:ascii="Palatino Linotype" w:hAnsi="Palatino Linotype" w:cs="Arial"/>
          <w:b/>
          <w:color w:val="auto"/>
          <w:sz w:val="21"/>
          <w:szCs w:val="21"/>
        </w:rPr>
        <w:tab/>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La ley alemana sobre responsabilidad civil por productos defectuosos contiene un régimen de responsabilidad civil objetivo a cargo del fabricante y de otros sujetos, quienes responden por los daños y perjuicios causados por productos defectuosos a la vida, la salud, el cuerpo y a las cosas que, habitualmente, sean utilizadas, por parte del consumidor damnificado, para el uso privado (§ 1 párrafo 1 oración 2 ProdHaftG).</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Tal y como acertadamente lo expone la autora española Ma. Angeles Parra Lucán, “el criterio de imputación de este régimen de responsabilidad civil objetivo no es la culpa, sino la elaboración o introducción, en un país miembro de la Unión Europea (para el caso de los importadores) de un producto defectuoso, tal y como estos conceptos son definidos en la propia Ley”</w:t>
      </w:r>
      <w:r w:rsidRPr="00E10347">
        <w:rPr>
          <w:rStyle w:val="Refdenotaalpie"/>
          <w:rFonts w:ascii="Palatino Linotype" w:hAnsi="Palatino Linotype" w:cs="Arial"/>
          <w:color w:val="auto"/>
          <w:sz w:val="21"/>
          <w:szCs w:val="21"/>
        </w:rPr>
        <w:footnoteReference w:id="342"/>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Asimismo, dicha ley contiene definiciones de producto, de defecto, de fabricante, las causales de exoneración de responsabilidad civil y otros detalles.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A continuación, se ofrece una concreta reseña de esos aspectos característicos de la responsabilidad civil por productos defectuosos según la Produkthaftungsgesetz.</w:t>
      </w:r>
    </w:p>
    <w:p w:rsidR="00CA49F0" w:rsidRDefault="00CA49F0" w:rsidP="00E10347">
      <w:pPr>
        <w:pStyle w:val="Predeterminado"/>
        <w:spacing w:after="0" w:line="240" w:lineRule="auto"/>
        <w:jc w:val="both"/>
        <w:rPr>
          <w:rFonts w:ascii="Palatino Linotype" w:hAnsi="Palatino Linotype" w:cs="Arial"/>
          <w:b/>
          <w:color w:val="auto"/>
          <w:sz w:val="21"/>
          <w:szCs w:val="21"/>
        </w:rPr>
      </w:pP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b/>
          <w:color w:val="auto"/>
          <w:sz w:val="21"/>
          <w:szCs w:val="21"/>
        </w:rPr>
        <w:lastRenderedPageBreak/>
        <w:t>4.1. Concepto de producto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Para que surja la responsabilidad civil por productos defectuosos, debe haber un producto defectuoso (ein fehlerhaftes Produkt).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La definición de producto se encuentra en el § 2 ProdHaftG. Según esa norma, producto es toda cosa mueble, a pesar de que sea parte de otra cosa mueble o que forme parte de un bien inmueble, así como la electricidad.</w:t>
      </w:r>
    </w:p>
    <w:p w:rsidR="00CA49F0" w:rsidRDefault="00CA49F0" w:rsidP="00E10347">
      <w:pPr>
        <w:pStyle w:val="Predeterminado"/>
        <w:spacing w:after="0" w:line="240" w:lineRule="auto"/>
        <w:jc w:val="both"/>
        <w:rPr>
          <w:rFonts w:ascii="Palatino Linotype" w:hAnsi="Palatino Linotype" w:cs="Arial"/>
          <w:b/>
          <w:color w:val="auto"/>
          <w:sz w:val="21"/>
          <w:szCs w:val="21"/>
        </w:rPr>
      </w:pP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b/>
          <w:color w:val="auto"/>
          <w:sz w:val="21"/>
          <w:szCs w:val="21"/>
        </w:rPr>
        <w:t>4.2. Concepto de defecto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Un producto es defectuoso, según el § 3 ProdHaftG, cuando no ofrece la seguridad que, bajo la consideración de todas las circunstancias adecuadas, puede esperarse.</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Las expectativas de seguridad (Sicherheitserwartungen) están en función de varios factores</w:t>
      </w:r>
      <w:r w:rsidRPr="00E10347">
        <w:rPr>
          <w:rStyle w:val="Refdenotaalpie"/>
          <w:rFonts w:ascii="Palatino Linotype" w:hAnsi="Palatino Linotype" w:cs="Arial"/>
          <w:color w:val="auto"/>
          <w:sz w:val="21"/>
          <w:szCs w:val="21"/>
        </w:rPr>
        <w:footnoteReference w:id="343"/>
      </w:r>
      <w:r w:rsidRPr="00E10347">
        <w:rPr>
          <w:rFonts w:ascii="Palatino Linotype" w:hAnsi="Palatino Linotype" w:cs="Arial"/>
          <w:color w:val="auto"/>
          <w:sz w:val="21"/>
          <w:szCs w:val="21"/>
        </w:rPr>
        <w:t>. Uno de ellos es el del tipo de consumidores al cual está dirigido el producto. Por ejemplo, si el producto está dirigido a consumidores finales o a niños, pueden esperarse expectativas de seguridad más altas en relación con otros productos que, más bien, están dirigidos a un círculo específico de consumidores, que cuenta con una preparación o formación adecuada para el uso de ese producto.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Es necesario partir del principio de que las expectativas de seguridad del producto se incrementan según el tamaño del peligro y el significado de los bienes jurídicos que podrían verse perjudicados con el producto defectuoso.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Los criterios o puntos de partida que deben utilizarse para valorar si un producto es defectuoso, se encuentran en el § 3 ProdHaftG y son, entre otros, los siguientes: la presentación del producto, el uso con el que legítimamente puede contarse y el momento en el cual fue introducido al mercado.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De acuerdo con la doctrina, el precio del producto puede considerarse como otro criterio legítimo para determinar el carácter defectuoso de un producto: de un producto caro puede esperarse una seguridad más alta que un producto barato.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El momento concreto en el cual debe valorarse si un producto es defectuoso, en los términos en que así lo define el § 3 ProdHaftG, es el momento en el cual el producto fue introducido en el tráfico jurídico.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La doctrina considera que en el marco del análisis del § 3 ProdHaftG es válido acudir a la trilogía clásica de los productos defectuosos, o sea, el defecto de construcción, el defecto de fabricación y el defecto de instrucción.</w:t>
      </w: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b/>
          <w:color w:val="auto"/>
          <w:sz w:val="21"/>
          <w:szCs w:val="21"/>
        </w:rPr>
        <w:lastRenderedPageBreak/>
        <w:t xml:space="preserve">4.3. Concepto de fabricante </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En el marco de la ley especial alemana de responsabilidad civil por productos defectuosos, son fabricantes los siguientes sujetos: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4.3.1.</w:t>
      </w:r>
      <w:r w:rsidRPr="00E10347">
        <w:rPr>
          <w:rFonts w:ascii="Palatino Linotype" w:hAnsi="Palatino Linotype" w:cs="Arial"/>
          <w:color w:val="auto"/>
          <w:sz w:val="21"/>
          <w:szCs w:val="21"/>
        </w:rPr>
        <w:t xml:space="preserve"> El fabricante de hecho (der tatsächliche Hersteller) de un producto final, de una parte o pieza del producto final o proveedor de materias primas. (§ 4 Abs. 1 S. 1 ProdHaftG).</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4.3.2.</w:t>
      </w:r>
      <w:r w:rsidRPr="00E10347">
        <w:rPr>
          <w:rFonts w:ascii="Palatino Linotype" w:hAnsi="Palatino Linotype" w:cs="Arial"/>
          <w:color w:val="auto"/>
          <w:sz w:val="21"/>
          <w:szCs w:val="21"/>
        </w:rPr>
        <w:t xml:space="preserve"> El Cuasi-fabricante (Quasi-Hersteller) (§ 4 Abs. 1 S. 2 ProdHaftG). </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4.3.3.</w:t>
      </w:r>
      <w:r w:rsidRPr="00E10347">
        <w:rPr>
          <w:rFonts w:ascii="Palatino Linotype" w:hAnsi="Palatino Linotype" w:cs="Arial"/>
          <w:color w:val="auto"/>
          <w:sz w:val="21"/>
          <w:szCs w:val="21"/>
        </w:rPr>
        <w:t xml:space="preserve"> El importador (Importeur) (§ 4 Abs. 2 ProdHaftG).</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4.3.4.</w:t>
      </w:r>
      <w:r w:rsidRPr="00E10347">
        <w:rPr>
          <w:rFonts w:ascii="Palatino Linotype" w:hAnsi="Palatino Linotype" w:cs="Arial"/>
          <w:color w:val="auto"/>
          <w:sz w:val="21"/>
          <w:szCs w:val="21"/>
        </w:rPr>
        <w:t xml:space="preserve"> El suministrador (Lieferant) (§ 4 Abs.3 ProdHaftG).</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De acuerdo con los autores alemanes Pott y Frieling</w:t>
      </w:r>
      <w:r w:rsidRPr="00E10347">
        <w:rPr>
          <w:rStyle w:val="Refdenotaalpie"/>
          <w:rFonts w:ascii="Palatino Linotype" w:hAnsi="Palatino Linotype" w:cs="Arial"/>
          <w:color w:val="auto"/>
          <w:sz w:val="21"/>
          <w:szCs w:val="21"/>
        </w:rPr>
        <w:footnoteReference w:id="344"/>
      </w:r>
      <w:r w:rsidRPr="00E10347">
        <w:rPr>
          <w:rFonts w:ascii="Palatino Linotype" w:hAnsi="Palatino Linotype" w:cs="Arial"/>
          <w:color w:val="auto"/>
          <w:sz w:val="21"/>
          <w:szCs w:val="21"/>
        </w:rPr>
        <w:t>, éstos son los únicos sujetos que responden por los daños y perjuicios causados por el producto defectuoso en el marco de dicha ley especial. Ergo, no son responsables los trabajadores subordinados del fabricante, ni tampoco los representantes legales de personas jurídicas fabricantes del producto defectuoso.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El Cuasi-fabricante responde de la misma manera que el fabricante de hecho (der tatsächliche Hersteller), es decir, que el fabricante propiamente dicho del producto final.</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De los cuatro sujetos indicados anteriormente, conviene hacer ciertas adiciones con respecto al importador y al suministrador.</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Aunque el importador no fabrica nada, sino que solamente participa en la cadena de comercialización y distribución del producto (Vertriebskette), la ley especial alemana de responsabilidad civil por productos defectuosos lo tiene como fabricante.</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Los requisitos para que el importador responda por los daños y perjuicios causados por el producto defectuoso son los siguientes</w:t>
      </w:r>
      <w:r w:rsidRPr="00E10347">
        <w:rPr>
          <w:rStyle w:val="Refdenotaalpie"/>
          <w:rFonts w:ascii="Palatino Linotype" w:hAnsi="Palatino Linotype" w:cs="Arial"/>
          <w:color w:val="auto"/>
          <w:sz w:val="21"/>
          <w:szCs w:val="21"/>
        </w:rPr>
        <w:footnoteReference w:id="345"/>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a) Debe tratarse de un importador que introduzca, a la Unión Europea, productos que provengan de países ajenos a ella.</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Si se tratara de importadores que introducen productos de países de la Unión Europea hacia otros países de ese mismo bloque, entonces el importador no sería responsable por los daños y perjuicios causados por el producto defectuoso importador en los términos del § 4 Abs. 2 ProdHaftG, sino que, por el contrario, a lo </w:t>
      </w:r>
      <w:r w:rsidRPr="00E10347">
        <w:rPr>
          <w:rFonts w:ascii="Palatino Linotype" w:hAnsi="Palatino Linotype" w:cs="Arial"/>
          <w:color w:val="auto"/>
          <w:sz w:val="21"/>
          <w:szCs w:val="21"/>
        </w:rPr>
        <w:lastRenderedPageBreak/>
        <w:t>sumo, podría llegar a responder como un cuasi-fabricante, en los términos del § 4 Abs. 1 S. 2 ProdHaftG o como un suministrador, según el  § 4 Abs.3 ProdHaftG.</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b) La importación debe perseguir una finalidad económica y;</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c) La importación debe estar dentro del marco de la actividad económica del importador.</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El importador, en los términos del § 4 Abs. 2 ProdHaftG, no se libera de responsabilidad civil por el hecho de indicar quién fue el fabricante del producto final importado. El importador solamente se puede liberar de responsabilidad si demuestra la configuración de los requisitos de alguna de las causales de exoneración de responsabilidad civil contenidas en el § 1 ProdHaftG.</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En lo que respecta al suministrador, la ProdHaftG cierne sobre él una responsabilidad de tipo subsidiario. Esto significa que el suministrador solamente responde en la medida en que no pueda determinarse el fabricante, el suministrador anterior (Vorlieferant) o el importador. A contrario sensu, si el suministrador menciona quién fue el sujeto de quien recibió o adquirió el producto, se libera de responsabilidad.</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Resulta interesante agregar que al Cuasi-fabricante no solamente le asiste responsabilidad de acuerdo con lo dispuesto § 4 Abs. 1 S. 2 ProdHaftG sino que, además, como miembro de la cadena de distribución del producto, perfectamente podría responder como lo hace el suministrador.</w:t>
      </w:r>
    </w:p>
    <w:p w:rsidR="00CA49F0" w:rsidRDefault="00CA49F0" w:rsidP="00E10347">
      <w:pPr>
        <w:pStyle w:val="Predeterminado"/>
        <w:spacing w:after="0" w:line="240" w:lineRule="auto"/>
        <w:jc w:val="both"/>
        <w:rPr>
          <w:rFonts w:ascii="Palatino Linotype" w:hAnsi="Palatino Linotype" w:cs="Arial"/>
          <w:b/>
          <w:color w:val="auto"/>
          <w:sz w:val="21"/>
          <w:szCs w:val="21"/>
        </w:rPr>
      </w:pP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b/>
          <w:color w:val="auto"/>
          <w:sz w:val="21"/>
          <w:szCs w:val="21"/>
        </w:rPr>
        <w:t>4.4. Requisitos constitutivos de la responsabilidad civil prevista en la ProdHaftG.</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El damnificado tiene la carga de la prueba con respecto a lo siguiente:</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b/>
          <w:sz w:val="21"/>
          <w:szCs w:val="21"/>
          <w:lang w:val="es-ES"/>
        </w:rPr>
        <w:t>4.4.1.</w:t>
      </w:r>
      <w:r w:rsidRPr="00E10347">
        <w:rPr>
          <w:rFonts w:ascii="Palatino Linotype" w:hAnsi="Palatino Linotype" w:cs="Arial"/>
          <w:sz w:val="21"/>
          <w:szCs w:val="21"/>
          <w:lang w:val="es-ES"/>
        </w:rPr>
        <w:t xml:space="preserve"> El defecto del producto, en los términos en que así lo define el § 3 de la ProdhaftG</w:t>
      </w:r>
      <w:r w:rsidRPr="00E10347">
        <w:rPr>
          <w:rStyle w:val="Refdenotaalpie"/>
          <w:rFonts w:ascii="Palatino Linotype" w:hAnsi="Palatino Linotype" w:cs="Arial"/>
          <w:sz w:val="21"/>
          <w:szCs w:val="21"/>
          <w:lang w:val="es-ES"/>
        </w:rPr>
        <w:footnoteReference w:id="346"/>
      </w:r>
      <w:r w:rsidRPr="00E10347">
        <w:rPr>
          <w:rFonts w:ascii="Palatino Linotype" w:hAnsi="Palatino Linotype" w:cs="Arial"/>
          <w:sz w:val="21"/>
          <w:szCs w:val="21"/>
          <w:lang w:val="es-ES"/>
        </w:rPr>
        <w:t>.</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b/>
          <w:sz w:val="21"/>
          <w:szCs w:val="21"/>
          <w:lang w:val="es-ES"/>
        </w:rPr>
        <w:t>4.4.2.</w:t>
      </w:r>
      <w:r w:rsidRPr="00E10347">
        <w:rPr>
          <w:rFonts w:ascii="Palatino Linotype" w:hAnsi="Palatino Linotype" w:cs="Arial"/>
          <w:sz w:val="21"/>
          <w:szCs w:val="21"/>
          <w:lang w:val="es-ES"/>
        </w:rPr>
        <w:t xml:space="preserve"> El daño infligido y;</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b/>
          <w:sz w:val="21"/>
          <w:szCs w:val="21"/>
          <w:lang w:val="es-ES"/>
        </w:rPr>
        <w:t>4.4.3.</w:t>
      </w:r>
      <w:r w:rsidRPr="00E10347">
        <w:rPr>
          <w:rFonts w:ascii="Palatino Linotype" w:hAnsi="Palatino Linotype" w:cs="Arial"/>
          <w:sz w:val="21"/>
          <w:szCs w:val="21"/>
          <w:lang w:val="es-ES"/>
        </w:rPr>
        <w:t xml:space="preserve"> El nexo causal entre el defecto del producto y el daño infligido.</w:t>
      </w:r>
    </w:p>
    <w:p w:rsidR="00CA49F0" w:rsidRDefault="00CA49F0" w:rsidP="00E10347">
      <w:pPr>
        <w:pStyle w:val="Predeterminado"/>
        <w:spacing w:after="0" w:line="240" w:lineRule="auto"/>
        <w:jc w:val="both"/>
        <w:rPr>
          <w:rFonts w:ascii="Palatino Linotype" w:hAnsi="Palatino Linotype" w:cs="Arial"/>
          <w:b/>
          <w:color w:val="auto"/>
          <w:sz w:val="21"/>
          <w:szCs w:val="21"/>
        </w:rPr>
      </w:pP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b/>
          <w:color w:val="auto"/>
          <w:sz w:val="21"/>
          <w:szCs w:val="21"/>
        </w:rPr>
        <w:lastRenderedPageBreak/>
        <w:t>5. Causales de exoneración de la responsabilidad (Haftungsausschlüsse)</w:t>
      </w:r>
      <w:r w:rsidRPr="00E10347">
        <w:rPr>
          <w:rStyle w:val="Refdenotaalpie"/>
          <w:rFonts w:ascii="Palatino Linotype" w:hAnsi="Palatino Linotype" w:cs="Arial"/>
          <w:b/>
          <w:color w:val="auto"/>
          <w:sz w:val="21"/>
          <w:szCs w:val="21"/>
        </w:rPr>
        <w:footnoteReference w:id="347"/>
      </w:r>
      <w:r w:rsidRPr="00E10347">
        <w:rPr>
          <w:rFonts w:ascii="Palatino Linotype" w:hAnsi="Palatino Linotype" w:cs="Arial"/>
          <w:b/>
          <w:color w:val="auto"/>
          <w:sz w:val="21"/>
          <w:szCs w:val="21"/>
        </w:rPr>
        <w:t xml:space="preserve"> </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Por su parte, los sujetos responsables por los daños y perjuicios causados por el producto defectuoso, es decir, el fabricante, el cuasi-fabricante, el importador y el suministrador, tienen la carga de la prueba con respecto a las causales de exoneración de responsabilidad civil, previstas, numerus clausus, de la relación que surge de los § 1 párrafo 2 y § 3 de la ProdHaftG. Dichas causales son las siguientes:</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a) Si el fabricante no introdujo el producto en el tráfico jurídico (§ 1 Abs. 2 Nr. 1).</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b) Si cuando el producto fue introducido en el mercado no presentaba ningún defecto. (§ 1 Abs. 2 Nr. 2).</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c) Si la fabricación o comercialización del producto no perseguían fines comerciales o profesionales. (§ 1 Abs. 2 Nr. 3).</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d) Si la fabricación del producto se hizo con base en normas obligatorias. (§ 1 Abs. 2 Nr. 4).</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e) En los casos de los llamados “riesgos de desarrollo” (§ 1 Abs. 2 Nr. 5)</w:t>
      </w:r>
    </w:p>
    <w:p w:rsidR="002014CA" w:rsidRPr="00E10347" w:rsidRDefault="002014CA" w:rsidP="00E10347">
      <w:pPr>
        <w:pStyle w:val="Sangradetextonormal"/>
        <w:spacing w:before="0" w:beforeAutospacing="0" w:after="0" w:afterAutospacing="0"/>
        <w:ind w:firstLine="709"/>
        <w:jc w:val="both"/>
        <w:rPr>
          <w:rFonts w:ascii="Palatino Linotype" w:hAnsi="Palatino Linotype" w:cs="Arial"/>
          <w:sz w:val="21"/>
          <w:szCs w:val="21"/>
          <w:lang w:val="es-ES"/>
        </w:rPr>
      </w:pPr>
      <w:r w:rsidRPr="00E10347">
        <w:rPr>
          <w:rFonts w:ascii="Palatino Linotype" w:hAnsi="Palatino Linotype" w:cs="Arial"/>
          <w:sz w:val="21"/>
          <w:szCs w:val="21"/>
          <w:lang w:val="es-ES"/>
        </w:rPr>
        <w:t>f) El fabricante de una pieza o componente o de materias primas, puede liberarse de responsabilidad, si prueba que cuando el fabricante final la incorporó en tal producto (o sea, el producto final), la pieza o componente o bien la materia prima no tenía defecto alguno o bien que el fabricante final le dio determinadas instrucciones que causaron el defecto de seguridad en la pieza o componente. (§ 1 Abs. 3).</w:t>
      </w:r>
    </w:p>
    <w:p w:rsidR="00CA49F0" w:rsidRDefault="00CA49F0" w:rsidP="00E10347">
      <w:pPr>
        <w:pStyle w:val="Predeterminado"/>
        <w:spacing w:after="0" w:line="240" w:lineRule="auto"/>
        <w:jc w:val="both"/>
        <w:rPr>
          <w:rFonts w:ascii="Palatino Linotype" w:hAnsi="Palatino Linotype" w:cs="Arial"/>
          <w:b/>
          <w:color w:val="auto"/>
          <w:sz w:val="21"/>
          <w:szCs w:val="21"/>
        </w:rPr>
      </w:pPr>
    </w:p>
    <w:p w:rsidR="002014CA" w:rsidRPr="00E10347" w:rsidRDefault="002014CA" w:rsidP="00E10347">
      <w:pPr>
        <w:pStyle w:val="Predeterminado"/>
        <w:spacing w:after="0" w:line="240" w:lineRule="auto"/>
        <w:jc w:val="both"/>
        <w:rPr>
          <w:rFonts w:ascii="Palatino Linotype" w:hAnsi="Palatino Linotype" w:cs="Arial"/>
          <w:b/>
          <w:color w:val="auto"/>
          <w:sz w:val="21"/>
          <w:szCs w:val="21"/>
        </w:rPr>
      </w:pPr>
      <w:r w:rsidRPr="00E10347">
        <w:rPr>
          <w:rFonts w:ascii="Palatino Linotype" w:hAnsi="Palatino Linotype" w:cs="Arial"/>
          <w:b/>
          <w:color w:val="auto"/>
          <w:sz w:val="21"/>
          <w:szCs w:val="21"/>
        </w:rPr>
        <w:t>Capítulo Segundo: La carga de la prueba de la excepción de riesgos de desarrollo.</w:t>
      </w: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b/>
          <w:color w:val="auto"/>
          <w:sz w:val="21"/>
          <w:szCs w:val="21"/>
        </w:rPr>
        <w:t>1. Concepto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Como ya se explicó anteriormente, la llamada “excepción de riesgos de desarrollo” es la causal de exoneración de responsabilidad civil objetiva, prevista expresamente en el § 1 párrafo segundo inciso 5 de la ley alemana de responsabilidad civil por productos defectuosos (Produkthaftungsgesetz, ProdHaftG)</w:t>
      </w:r>
      <w:r w:rsidRPr="00E10347">
        <w:rPr>
          <w:rStyle w:val="Refdenotaalpie"/>
          <w:rFonts w:ascii="Palatino Linotype" w:hAnsi="Palatino Linotype" w:cs="Arial"/>
          <w:color w:val="auto"/>
          <w:sz w:val="21"/>
          <w:szCs w:val="21"/>
        </w:rPr>
        <w:footnoteReference w:id="348"/>
      </w:r>
      <w:r w:rsidRPr="00E10347">
        <w:rPr>
          <w:rFonts w:ascii="Palatino Linotype" w:hAnsi="Palatino Linotype" w:cs="Arial"/>
          <w:color w:val="auto"/>
          <w:sz w:val="21"/>
          <w:szCs w:val="21"/>
        </w:rPr>
        <w:t xml:space="preserve">. </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lastRenderedPageBreak/>
        <w:t>Concretamente, dicha causal lo que establece es que el fabricante no será responsable por los daños y perjuicios causados por el producto si éste, al momento de su introducción en el mercado por parte del fabricante, ya tenía dicho defecto, pero, según el estado de la Ciencia y de la técnica, vigente para ese momento, es decir, cuando fue introducido en el mercado, no podía ser reconocido</w:t>
      </w:r>
      <w:r w:rsidRPr="00E10347">
        <w:rPr>
          <w:rStyle w:val="Refdenotaalpie"/>
          <w:rFonts w:ascii="Palatino Linotype" w:hAnsi="Palatino Linotype" w:cs="Arial"/>
          <w:color w:val="auto"/>
          <w:sz w:val="21"/>
          <w:szCs w:val="21"/>
        </w:rPr>
        <w:footnoteReference w:id="349"/>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Como lo clarifica el jurista español, José Manuel Busto Lago, “se trata de supuestos en los que el producto que se pone en circulación es ya en ese momento defectuoso —no satisface las legítimas expectativas de seguridad—, si bien esta circunstancia no resultaba apreciable en ese momento de acuerdo con los contemporáneos conocimientos científicos y técnicos. A estos efectos, el “estado de la ciencia y de la técnica” se configura como el conjunto de los conocimientos científicos y técnicos disponibles objetivamente en el momento de la puesta en circulación del producto en relación con la valoración de la existencia del defecto de que se trate”</w:t>
      </w:r>
      <w:r w:rsidRPr="00E10347">
        <w:rPr>
          <w:rStyle w:val="Refdenotaalpie"/>
          <w:rFonts w:ascii="Palatino Linotype" w:hAnsi="Palatino Linotype" w:cs="Arial"/>
          <w:color w:val="auto"/>
          <w:sz w:val="21"/>
          <w:szCs w:val="21"/>
        </w:rPr>
        <w:footnoteReference w:id="350"/>
      </w:r>
      <w:r w:rsidRPr="00E10347">
        <w:rPr>
          <w:rFonts w:ascii="Palatino Linotype" w:hAnsi="Palatino Linotype" w:cs="Arial"/>
          <w:color w:val="auto"/>
          <w:sz w:val="21"/>
          <w:szCs w:val="21"/>
        </w:rPr>
        <w:t xml:space="preserve">. </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De acuerdo con el autor alemán Gert Brüggemeier, la excepción de riesgos de desarrollo, como causal de exoneración de responsabilidad civil por productos defectuosos, se encuentra establecida en el artículo 7 inciso e) de la Directiva comunitaria europea del 25.7.1985 y en el Derecho anglosajón se le conoce como “state of the art defense”</w:t>
      </w:r>
      <w:r w:rsidRPr="00E10347">
        <w:rPr>
          <w:rStyle w:val="Refdenotaalpie"/>
          <w:rFonts w:ascii="Palatino Linotype" w:hAnsi="Palatino Linotype" w:cs="Arial"/>
          <w:color w:val="auto"/>
          <w:sz w:val="21"/>
          <w:szCs w:val="21"/>
        </w:rPr>
        <w:footnoteReference w:id="351"/>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La regulación de los riesgos de desarrollo en el Derecho europeo, donde tuvo su origen, se debió al desastre biofarmacéutico causado por el medicamento llamado “talidomida”. Se suponía que la talidomida tenía propiedades tranquilizantes y antiinflamatorias, de modo que su creador, el laboratorio alemán Grünenthal, lo comenzó a comercializar, en 1957, en Alemania y en el resto de países </w:t>
      </w:r>
      <w:r w:rsidRPr="00E10347">
        <w:rPr>
          <w:rFonts w:ascii="Palatino Linotype" w:hAnsi="Palatino Linotype" w:cs="Arial"/>
          <w:color w:val="auto"/>
          <w:sz w:val="21"/>
          <w:szCs w:val="21"/>
        </w:rPr>
        <w:lastRenderedPageBreak/>
        <w:t>europeos, como un medicamento sin receta específicamente indicado para combatir las náuseas durante el embarazo.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No obstante, la talidomida era, en realidad, un teratógeno que causaba embriopatías graves en el feto al inicio de su desarrollo en el vientre de su madre que había consumido el medicamento. Fue así como entre 1956 y 1962 nacieron, en la República Federal de Alemania, en casi todos los países de Europa Occidental y en otros países del mundo, más de diez mil niños con malformaciones graves, incluyendo la focomelia (ausencia de los segmentos medio y extremial de las extremidades).</w:t>
      </w:r>
    </w:p>
    <w:p w:rsidR="00CA49F0" w:rsidRDefault="00CA49F0" w:rsidP="00E10347">
      <w:pPr>
        <w:pStyle w:val="Predeterminado"/>
        <w:spacing w:after="0" w:line="240" w:lineRule="auto"/>
        <w:jc w:val="both"/>
        <w:rPr>
          <w:rFonts w:ascii="Palatino Linotype" w:hAnsi="Palatino Linotype" w:cs="Arial"/>
          <w:b/>
          <w:bCs/>
          <w:color w:val="auto"/>
          <w:sz w:val="21"/>
          <w:szCs w:val="21"/>
        </w:rPr>
      </w:pP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b/>
          <w:bCs/>
          <w:color w:val="auto"/>
          <w:sz w:val="21"/>
          <w:szCs w:val="21"/>
        </w:rPr>
        <w:t>2. Composición de la excepción de riesgos de desarrollo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La excepción de riesgos de desarrollo está compuesta por una serie de conceptos jurídicos que, gracias a la doctrina alemana, han sido descritos y explicados con mayor precisión.</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Tales conceptos son los siguientes: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bCs/>
          <w:color w:val="auto"/>
          <w:sz w:val="21"/>
          <w:szCs w:val="21"/>
        </w:rPr>
        <w:t>2.1. La Ciencia y la Técnica:</w:t>
      </w:r>
      <w:r w:rsidRPr="00E10347">
        <w:rPr>
          <w:rFonts w:ascii="Palatino Linotype" w:hAnsi="Palatino Linotype" w:cs="Arial"/>
          <w:color w:val="auto"/>
          <w:sz w:val="21"/>
          <w:szCs w:val="21"/>
        </w:rPr>
        <w:t xml:space="preserve"> La Ciencia, para los efectos del tema que nos ocupa, hace referencia al trabajo investigativo y al conocimiento teórico existente y disponible en determinado campo del saber humano. Por su parte, la técnica es la aplicación y la utilización de ese conocimiento científico teórico</w:t>
      </w:r>
      <w:r w:rsidRPr="00E10347">
        <w:rPr>
          <w:rStyle w:val="Refdenotaalpie"/>
          <w:rFonts w:ascii="Palatino Linotype" w:hAnsi="Palatino Linotype" w:cs="Arial"/>
          <w:color w:val="auto"/>
          <w:sz w:val="21"/>
          <w:szCs w:val="21"/>
        </w:rPr>
        <w:footnoteReference w:id="352"/>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bCs/>
          <w:color w:val="auto"/>
          <w:sz w:val="21"/>
          <w:szCs w:val="21"/>
        </w:rPr>
        <w:t>2.2. El estado de la Ciencia y la Técnica:</w:t>
      </w:r>
      <w:r w:rsidRPr="00E10347">
        <w:rPr>
          <w:rFonts w:ascii="Palatino Linotype" w:hAnsi="Palatino Linotype" w:cs="Arial"/>
          <w:color w:val="auto"/>
          <w:sz w:val="21"/>
          <w:szCs w:val="21"/>
        </w:rPr>
        <w:t xml:space="preserve"> Se refiere a la suma completa de conocimientos científicos y tecnológicos que están disponibles para valorar, en conjunto, si el producto tenía o no un defecto en el momento en que fue introducido o puesto en circulación en el mercado</w:t>
      </w:r>
      <w:r w:rsidRPr="00E10347">
        <w:rPr>
          <w:rStyle w:val="Refdenotaalpie"/>
          <w:rFonts w:ascii="Palatino Linotype" w:hAnsi="Palatino Linotype" w:cs="Arial"/>
          <w:color w:val="auto"/>
          <w:sz w:val="21"/>
          <w:szCs w:val="21"/>
        </w:rPr>
        <w:footnoteReference w:id="353"/>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Tiene las siguientes características: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2.2.1</w:t>
      </w:r>
      <w:r w:rsidRPr="00E10347">
        <w:rPr>
          <w:rFonts w:ascii="Palatino Linotype" w:hAnsi="Palatino Linotype" w:cs="Arial"/>
          <w:color w:val="auto"/>
          <w:sz w:val="21"/>
          <w:szCs w:val="21"/>
        </w:rPr>
        <w:t xml:space="preserve"> Es una característica objetiva (ein objektives Merkmal), el cual no depende de la específica rama de producción a la que se dedica el fabricante</w:t>
      </w:r>
      <w:r w:rsidRPr="00E10347">
        <w:rPr>
          <w:rStyle w:val="Refdenotaalpie"/>
          <w:rFonts w:ascii="Palatino Linotype" w:hAnsi="Palatino Linotype" w:cs="Arial"/>
          <w:color w:val="auto"/>
          <w:sz w:val="21"/>
          <w:szCs w:val="21"/>
        </w:rPr>
        <w:footnoteReference w:id="354"/>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Ejemplo: El fabricante de un producto químico no solamente debe observar las reglas científicas y técnicas de su específico campo, sino que también debe observar y cumplir todos los demás conocimientos científicos de otros campos conexos, tales como la Física, la Biología o la Medicina.</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lastRenderedPageBreak/>
        <w:t>2.2.2.</w:t>
      </w:r>
      <w:r w:rsidRPr="00E10347">
        <w:rPr>
          <w:rFonts w:ascii="Palatino Linotype" w:hAnsi="Palatino Linotype" w:cs="Arial"/>
          <w:color w:val="auto"/>
          <w:sz w:val="21"/>
          <w:szCs w:val="21"/>
        </w:rPr>
        <w:t xml:space="preserve"> Debe ser el que rige a nivel mundial (Der Maßstab ist weltweit). Esto significa que el fabricante debe considerar los conocimientos nacionales e internacionales sobre la peligrosidad del producto</w:t>
      </w:r>
      <w:r w:rsidRPr="00E10347">
        <w:rPr>
          <w:rStyle w:val="Refdenotaalpie"/>
          <w:rFonts w:ascii="Palatino Linotype" w:hAnsi="Palatino Linotype" w:cs="Arial"/>
          <w:color w:val="auto"/>
          <w:sz w:val="21"/>
          <w:szCs w:val="21"/>
        </w:rPr>
        <w:footnoteReference w:id="355"/>
      </w:r>
      <w:r w:rsidRPr="00E10347">
        <w:rPr>
          <w:rFonts w:ascii="Palatino Linotype" w:hAnsi="Palatino Linotype" w:cs="Arial"/>
          <w:color w:val="auto"/>
          <w:sz w:val="21"/>
          <w:szCs w:val="21"/>
        </w:rPr>
        <w:t xml:space="preserve">. </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 xml:space="preserve">2.2.3. </w:t>
      </w:r>
      <w:r w:rsidRPr="00E10347">
        <w:rPr>
          <w:rFonts w:ascii="Palatino Linotype" w:hAnsi="Palatino Linotype" w:cs="Arial"/>
          <w:color w:val="auto"/>
          <w:sz w:val="21"/>
          <w:szCs w:val="21"/>
        </w:rPr>
        <w:t>Implica o presupone que</w:t>
      </w:r>
      <w:r w:rsidRPr="00E10347">
        <w:rPr>
          <w:rFonts w:ascii="Palatino Linotype" w:hAnsi="Palatino Linotype" w:cs="Arial"/>
          <w:b/>
          <w:color w:val="auto"/>
          <w:sz w:val="21"/>
          <w:szCs w:val="21"/>
        </w:rPr>
        <w:t xml:space="preserve"> </w:t>
      </w:r>
      <w:r w:rsidRPr="00E10347">
        <w:rPr>
          <w:rFonts w:ascii="Palatino Linotype" w:hAnsi="Palatino Linotype" w:cs="Arial"/>
          <w:color w:val="auto"/>
          <w:sz w:val="21"/>
          <w:szCs w:val="21"/>
        </w:rPr>
        <w:t>debía tratarse del más reciente estado de esos conocimientos científicos y tecnológicos (Stand ist “Neuester Stand” der Wissenschaft und Technik)</w:t>
      </w:r>
      <w:r w:rsidRPr="00E10347">
        <w:rPr>
          <w:rStyle w:val="Refdenotaalpie"/>
          <w:rFonts w:ascii="Palatino Linotype" w:hAnsi="Palatino Linotype" w:cs="Arial"/>
          <w:color w:val="auto"/>
          <w:sz w:val="21"/>
          <w:szCs w:val="21"/>
        </w:rPr>
        <w:footnoteReference w:id="356"/>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2.2.4.</w:t>
      </w:r>
      <w:r w:rsidRPr="00E10347">
        <w:rPr>
          <w:rFonts w:ascii="Palatino Linotype" w:hAnsi="Palatino Linotype" w:cs="Arial"/>
          <w:color w:val="auto"/>
          <w:sz w:val="21"/>
          <w:szCs w:val="21"/>
        </w:rPr>
        <w:t xml:space="preserve"> Abarca el conocimiento generalmente reconocido (allgemein anerkanntes Wissen). Este concepto comprende aquellos conocimientos que, de manera unánime o bien, de manera bastante predominante, son considerados como correctos, según la opinión de los científicos y de los técnicos</w:t>
      </w:r>
      <w:r w:rsidRPr="00E10347">
        <w:rPr>
          <w:rStyle w:val="Refdenotaalpie"/>
          <w:rFonts w:ascii="Palatino Linotype" w:hAnsi="Palatino Linotype" w:cs="Arial"/>
          <w:color w:val="auto"/>
          <w:sz w:val="21"/>
          <w:szCs w:val="21"/>
        </w:rPr>
        <w:footnoteReference w:id="357"/>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Empero, en algunos casos muy concretos, es posible que los conocimientos que no son reconocidos de modo general (nicht allgemein anerkannte Erkenntnisse) pudieran tener alguna relevancia para el estado de la Ciencia y de la Técnica. Así sucede, por ejemplo, con las opiniones de minoría o con las opiniones marginales sobre productos especialmente peligrosos, como los medicamentos, con respecto a los cuales esas opiniones deben considerarse</w:t>
      </w:r>
      <w:r w:rsidRPr="00E10347">
        <w:rPr>
          <w:rStyle w:val="Refdenotaalpie"/>
          <w:rFonts w:ascii="Palatino Linotype" w:hAnsi="Palatino Linotype" w:cs="Arial"/>
          <w:color w:val="auto"/>
          <w:sz w:val="21"/>
          <w:szCs w:val="21"/>
        </w:rPr>
        <w:footnoteReference w:id="358"/>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En los casos de nuevos productos, es necesario hacer pruebas sobre su correcto funcionamiento. Si en esos nuevos productos, todavía la comunidad científica no se ha ocupado ampliamente y, por consiguiente, no ha sido construído y bien definido un determinado estado de la Ciencia y de la Técnica, entonces el fabricante no puede exonerarse de responsabilidad mediante la invocación de la excepción de riesgos de desarrollo.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b/>
          <w:color w:val="auto"/>
          <w:sz w:val="21"/>
          <w:szCs w:val="21"/>
        </w:rPr>
        <w:t>2.2.5.</w:t>
      </w:r>
      <w:r w:rsidRPr="00E10347">
        <w:rPr>
          <w:rFonts w:ascii="Palatino Linotype" w:hAnsi="Palatino Linotype" w:cs="Arial"/>
          <w:color w:val="auto"/>
          <w:sz w:val="21"/>
          <w:szCs w:val="21"/>
        </w:rPr>
        <w:t xml:space="preserve"> Debe ser accesible o estar disponible: Al estado de la Ciencia y de la Técnica solamente pertenecen aquellas fuentes de conocimiento que, generalmente, están accesibles a los expertos y no aquéllas que consisten, por ejemplo, en trabajos no divulgados. </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El tema de la accesibilidad de los conocimientos fue abordado por el Tribunal de Justicia de la Unión Europea, en su sentencia de 29 de mayo de 1997, </w:t>
      </w:r>
      <w:r w:rsidRPr="00E10347">
        <w:rPr>
          <w:rFonts w:ascii="Palatino Linotype" w:hAnsi="Palatino Linotype" w:cs="Arial"/>
          <w:color w:val="auto"/>
          <w:sz w:val="21"/>
          <w:szCs w:val="21"/>
        </w:rPr>
        <w:lastRenderedPageBreak/>
        <w:t>cuyo origen fue un conflicto entre la Comisión de las Comunidades Europeas y el Reino Unido sobre la adaptación del artículo 4.1.e) de la Consumer Protection Act 1982 (Ley inglesa de protección del consumidor) al artículo 7.e) de la Directiva europea de responsabilidad civil por productos defectuosos. En dicha sentencia, el Tribunal de Justicia de la Unión Europea consideró que el texto del artículo 7.e) antes mencionado (el cual se refiere, precisamente, a la excepción de riesgos de desarrollo) debía ser interpretado como el estado objetivo de los conocimientos científicos y técnicos más avanzados</w:t>
      </w:r>
      <w:r w:rsidRPr="00E10347">
        <w:rPr>
          <w:rStyle w:val="Refdenotaalpie"/>
          <w:rFonts w:ascii="Palatino Linotype" w:hAnsi="Palatino Linotype" w:cs="Arial"/>
          <w:color w:val="auto"/>
          <w:sz w:val="21"/>
          <w:szCs w:val="21"/>
        </w:rPr>
        <w:footnoteReference w:id="359"/>
      </w:r>
      <w:r w:rsidRPr="00E10347">
        <w:rPr>
          <w:rFonts w:ascii="Palatino Linotype" w:hAnsi="Palatino Linotype" w:cs="Arial"/>
          <w:color w:val="auto"/>
          <w:sz w:val="21"/>
          <w:szCs w:val="21"/>
        </w:rPr>
        <w:t xml:space="preserve"> y, además, para que pudieran oponerse válidamente al productor, es preciso que los conocimientos científicos y técnicos pertinentes estuvieran accesibles en el momento en que el producto de que se trate fue puesto en circulación</w:t>
      </w:r>
      <w:r w:rsidRPr="00E10347">
        <w:rPr>
          <w:rStyle w:val="Refdenotaalpie"/>
          <w:rFonts w:ascii="Palatino Linotype" w:hAnsi="Palatino Linotype" w:cs="Arial"/>
          <w:color w:val="auto"/>
          <w:sz w:val="21"/>
          <w:szCs w:val="21"/>
        </w:rPr>
        <w:footnoteReference w:id="360"/>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De este modo, el conocimiento especializado que está a disposición es aquél que consta en trabajos científicos especializados publicados</w:t>
      </w:r>
      <w:r w:rsidRPr="00E10347">
        <w:rPr>
          <w:rStyle w:val="Refdenotaalpie"/>
          <w:rFonts w:ascii="Palatino Linotype" w:hAnsi="Palatino Linotype" w:cs="Arial"/>
          <w:color w:val="auto"/>
          <w:sz w:val="21"/>
          <w:szCs w:val="21"/>
        </w:rPr>
        <w:footnoteReference w:id="361"/>
      </w:r>
      <w:r w:rsidRPr="00E10347">
        <w:rPr>
          <w:rFonts w:ascii="Palatino Linotype" w:hAnsi="Palatino Linotype" w:cs="Arial"/>
          <w:color w:val="auto"/>
          <w:sz w:val="21"/>
          <w:szCs w:val="21"/>
        </w:rPr>
        <w:t>. No solamente se debe considerar los libros y revistas especializados sino también los resultados publicados provenientes de congresos y conferencias. Finalmente, como el estado de la Ciencia y de la Técnica es un concepto que trasciende las fronteras de un determinado país y, por ende, tiene un matiz mundial, ello implica que se debe tener en consideración la literatura científica extranjera</w:t>
      </w:r>
      <w:r w:rsidRPr="00E10347">
        <w:rPr>
          <w:rStyle w:val="Refdenotaalpie"/>
          <w:rFonts w:ascii="Palatino Linotype" w:hAnsi="Palatino Linotype" w:cs="Arial"/>
          <w:color w:val="auto"/>
          <w:sz w:val="21"/>
          <w:szCs w:val="21"/>
        </w:rPr>
        <w:footnoteReference w:id="362"/>
      </w:r>
      <w:r w:rsidRPr="00E10347">
        <w:rPr>
          <w:rFonts w:ascii="Palatino Linotype" w:hAnsi="Palatino Linotype" w:cs="Arial"/>
          <w:color w:val="auto"/>
          <w:sz w:val="21"/>
          <w:szCs w:val="21"/>
        </w:rPr>
        <w:t>.</w:t>
      </w:r>
    </w:p>
    <w:p w:rsidR="00CA49F0" w:rsidRDefault="00CA49F0" w:rsidP="00E10347">
      <w:pPr>
        <w:pStyle w:val="Predeterminado"/>
        <w:spacing w:after="0" w:line="240" w:lineRule="auto"/>
        <w:jc w:val="both"/>
        <w:rPr>
          <w:rFonts w:ascii="Palatino Linotype" w:hAnsi="Palatino Linotype" w:cs="Arial"/>
          <w:b/>
          <w:bCs/>
          <w:color w:val="auto"/>
          <w:sz w:val="21"/>
          <w:szCs w:val="21"/>
        </w:rPr>
      </w:pP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b/>
          <w:bCs/>
          <w:color w:val="auto"/>
          <w:sz w:val="21"/>
          <w:szCs w:val="21"/>
        </w:rPr>
        <w:t>2. 3. No reconocibilidad del defecto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Un defecto no es reconocible cuando, de acuerdo con el estado de la Ciencia y de la Técnica, no podía, en términos generales, ser descubierto, por el fabricante, ni tampoco por expertos.</w:t>
      </w:r>
    </w:p>
    <w:p w:rsidR="00CA49F0" w:rsidRDefault="00CA49F0" w:rsidP="00E10347">
      <w:pPr>
        <w:pStyle w:val="Predeterminado"/>
        <w:spacing w:after="0" w:line="240" w:lineRule="auto"/>
        <w:jc w:val="both"/>
        <w:rPr>
          <w:rFonts w:ascii="Palatino Linotype" w:hAnsi="Palatino Linotype" w:cs="Arial"/>
          <w:b/>
          <w:bCs/>
          <w:color w:val="auto"/>
          <w:sz w:val="21"/>
          <w:szCs w:val="21"/>
        </w:rPr>
      </w:pP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b/>
          <w:bCs/>
          <w:color w:val="auto"/>
          <w:sz w:val="21"/>
          <w:szCs w:val="21"/>
        </w:rPr>
        <w:t>2. 4. Introducción del producto defectuoso en el mercado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El momento decisivo para juzgar si el defecto del producto podía ser reconocido o no, es el momento en el cual el fabricante lo introdujo en el mercado.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lastRenderedPageBreak/>
        <w:t>De acuerdo con la sentencia del Tribunal de Justicia de la Unión Europea del 9 de febrero de 2006, asunto C-127/04 O´Byrne c/ Sanofi Pasteur MSD Ltd., un producto se pone en circulación cuando sale del proceso de fabricación establecido por el fabricante y entra en el proceso de comercialización, quedando a disposición del público con el fin de ser utilizado o consumido.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Con base en lo anterior, para la invocación de la excepción de riesgos de desarrollo no pueden tomarse en cuenta todos aquellos nuevos conocimientos que se hubieran adquirido sobre la peligrosidad del producto </w:t>
      </w:r>
      <w:r w:rsidRPr="00E10347">
        <w:rPr>
          <w:rFonts w:ascii="Palatino Linotype" w:hAnsi="Palatino Linotype" w:cs="Arial"/>
          <w:color w:val="auto"/>
          <w:sz w:val="21"/>
          <w:szCs w:val="21"/>
          <w:u w:val="single"/>
        </w:rPr>
        <w:t>después</w:t>
      </w:r>
      <w:r w:rsidRPr="00E10347">
        <w:rPr>
          <w:rFonts w:ascii="Palatino Linotype" w:hAnsi="Palatino Linotype" w:cs="Arial"/>
          <w:color w:val="auto"/>
          <w:sz w:val="21"/>
          <w:szCs w:val="21"/>
        </w:rPr>
        <w:t xml:space="preserve"> de que éste fue introducido en el mercado</w:t>
      </w:r>
      <w:r w:rsidRPr="00E10347">
        <w:rPr>
          <w:rStyle w:val="Refdenotaalpie"/>
          <w:rFonts w:ascii="Palatino Linotype" w:hAnsi="Palatino Linotype" w:cs="Arial"/>
          <w:color w:val="auto"/>
          <w:sz w:val="21"/>
          <w:szCs w:val="21"/>
        </w:rPr>
        <w:footnoteReference w:id="363"/>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Tal y como lo han puesto de relieve los juristas españoles Pablo Salvador Coderch y Antoni Rubí Puig, “el momento de la puesta en circulación puede resultar diferente para cada uno de los sujetos responsables (fabricante, cuasifabricante, importador, suministrador): para el fabricante de una pieza integrante del producto, la puesta en circulación se produce cuando pierde el control que ejercía sobre aquélla, después de haberla puesto en poder y disposición del fabricante final o del subsiguiente miembro de la cadena productiva; para el fabricante final, último eslabón de la cadena, la puesta en circulación tiene lugar en el momento en que el producto deja su esfera organizativa y se integra en la del distribuidor; para el importador, la puesta en circulación se produce cuando, introducido el producto en un país miembro de la Unión Europea, pierde el poder de hecho que tenía sobre el producto tras entregarlo al suministrador o a cualquier otro miembro de la cadena de distribución. Si ello es así y dado que el art. 140.1.e) señala que la valoración del estado de los conocimientos científicos y técnicos debe referirse al momento de la puesta en circulación, resulta también defendible que dicha valoración podrá tener lugar en momentos distintos, según cuáles sean la categoría de “productor” a que se refiera y el momento en que cada uno de ellos haya puesto el producto en circulación. La consecuencia inmediata sería la posibilidad de que la responsabilidad de los diversos partícipes en el proceso de comercialización de un mismo producto estuviera sometida a condiciones diversas si, entre la puesta en circulación realizada por el fabricante de una parte integrante del producto y la llevada a cabo por el fabricante final, se produjo un incremento de los conocimientos científicos y técnicos que permitieron al segundo conocer un defecto existente en la parte integrante aunque la existencia del defecto no fuera </w:t>
      </w:r>
      <w:r w:rsidRPr="00E10347">
        <w:rPr>
          <w:rFonts w:ascii="Palatino Linotype" w:hAnsi="Palatino Linotype" w:cs="Arial"/>
          <w:color w:val="auto"/>
          <w:sz w:val="21"/>
          <w:szCs w:val="21"/>
        </w:rPr>
        <w:lastRenderedPageBreak/>
        <w:t>cognoscible en el momento en que el fabricante de aquella parte la entregó al fabricante final: éste último responderá frente al dañado y el fabricante de la parte integrante integrado podrá oponer la excepción de riesgos de desarrollo y evitar así su responsabilidad”</w:t>
      </w:r>
      <w:r w:rsidRPr="00E10347">
        <w:rPr>
          <w:rStyle w:val="Refdenotaalpie"/>
          <w:rFonts w:ascii="Palatino Linotype" w:hAnsi="Palatino Linotype" w:cs="Arial"/>
          <w:color w:val="auto"/>
          <w:sz w:val="21"/>
          <w:szCs w:val="21"/>
        </w:rPr>
        <w:footnoteReference w:id="364"/>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En síntesis, se puede afirmar que el fabricante que ha agotado todas las posibilidades de conocimiento, según el estado de la Ciencia y de la Técnica, puede exonerarse de responsabilidad civil, de conformidad con el § 1 párrafo segundo inciso 5 de la ProdHaftG, si logra demostrar que el defecto del producto, según el estado de conocimientos científicos y técnicos accesibles y más avanzados, vigente al momento en que el producto fue introducido en el mercado, no podía, en general, ser reconocido. Le corresponde la carga de la prueba de todos los aspectos anteriormente indicados.</w:t>
      </w:r>
    </w:p>
    <w:p w:rsidR="00CA49F0" w:rsidRDefault="00CA49F0" w:rsidP="00E10347">
      <w:pPr>
        <w:pStyle w:val="Predeterminado"/>
        <w:spacing w:after="0" w:line="240" w:lineRule="auto"/>
        <w:jc w:val="both"/>
        <w:rPr>
          <w:rFonts w:ascii="Palatino Linotype" w:hAnsi="Palatino Linotype" w:cs="Arial"/>
          <w:b/>
          <w:bCs/>
          <w:color w:val="auto"/>
          <w:sz w:val="21"/>
          <w:szCs w:val="21"/>
        </w:rPr>
      </w:pP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b/>
          <w:bCs/>
          <w:color w:val="auto"/>
          <w:sz w:val="21"/>
          <w:szCs w:val="21"/>
        </w:rPr>
        <w:t>3</w:t>
      </w:r>
      <w:r w:rsidRPr="00E10347">
        <w:rPr>
          <w:rFonts w:ascii="Palatino Linotype" w:hAnsi="Palatino Linotype" w:cs="Arial"/>
          <w:b/>
          <w:color w:val="auto"/>
          <w:sz w:val="21"/>
          <w:szCs w:val="21"/>
        </w:rPr>
        <w:t>. Los tipos de defectos del producto con respecto a la excepción de riesgos de desarrollo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En el capítulo primero de este trabajo se mencionó que la trilogía de defectos del producto, es decir, el defecto de construcción, el defecto de fabricación y el defecto de instrucción, es aplicable, también, a la ley alemana de responsabilidad civil por productos defectuosos (ProdHaftG).</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No obstante, es necesario indicar que, de acuerdo con la jurisprudencia alemana, no en todos los tipos de defectos del producto se puede alegar la excepción de riesgos de desarrollo. Por el contrario, solamente en los casos de defectos de construcción (Konstruktionsfehler) y, recientemente también, en los casos de defecto de instrucción (Instruktionsfehler), es que el fabricante puede alegar esa causal de exoneración de responsabilidad civil objetiva</w:t>
      </w:r>
      <w:r w:rsidRPr="00E10347">
        <w:rPr>
          <w:rStyle w:val="Refdenotaalpie"/>
          <w:rFonts w:ascii="Palatino Linotype" w:hAnsi="Palatino Linotype" w:cs="Arial"/>
          <w:color w:val="auto"/>
          <w:sz w:val="21"/>
          <w:szCs w:val="21"/>
        </w:rPr>
        <w:footnoteReference w:id="365"/>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lastRenderedPageBreak/>
        <w:t>En los casos de defectos de fabricación (Fabrikationsfehler) no es posible, para el fabricante, invocar la excepción de riesgos de desarrollo</w:t>
      </w:r>
      <w:r w:rsidRPr="00E10347">
        <w:rPr>
          <w:rStyle w:val="Refdenotaalpie"/>
          <w:rFonts w:ascii="Palatino Linotype" w:hAnsi="Palatino Linotype" w:cs="Arial"/>
          <w:color w:val="auto"/>
          <w:sz w:val="21"/>
          <w:szCs w:val="21"/>
        </w:rPr>
        <w:footnoteReference w:id="366"/>
      </w:r>
      <w:r w:rsidRPr="00E10347">
        <w:rPr>
          <w:rFonts w:ascii="Palatino Linotype" w:hAnsi="Palatino Linotype" w:cs="Arial"/>
          <w:color w:val="auto"/>
          <w:sz w:val="21"/>
          <w:szCs w:val="21"/>
        </w:rPr>
        <w:t>.</w:t>
      </w:r>
    </w:p>
    <w:p w:rsidR="00CA49F0" w:rsidRDefault="00CA49F0" w:rsidP="00E10347">
      <w:pPr>
        <w:pStyle w:val="Predeterminado"/>
        <w:spacing w:after="0" w:line="240" w:lineRule="auto"/>
        <w:jc w:val="both"/>
        <w:rPr>
          <w:rFonts w:ascii="Palatino Linotype" w:hAnsi="Palatino Linotype" w:cs="Arial"/>
          <w:b/>
          <w:bCs/>
          <w:color w:val="auto"/>
          <w:sz w:val="21"/>
          <w:szCs w:val="21"/>
        </w:rPr>
      </w:pP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b/>
          <w:bCs/>
          <w:color w:val="auto"/>
          <w:sz w:val="21"/>
          <w:szCs w:val="21"/>
        </w:rPr>
        <w:t>4</w:t>
      </w:r>
      <w:r w:rsidRPr="00E10347">
        <w:rPr>
          <w:rFonts w:ascii="Palatino Linotype" w:hAnsi="Palatino Linotype" w:cs="Arial"/>
          <w:b/>
          <w:color w:val="auto"/>
          <w:sz w:val="21"/>
          <w:szCs w:val="21"/>
        </w:rPr>
        <w:t>. Los riesgos de desarrollo en el Derecho Privado costarricense</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Otro aspecto interesante del estudio de la excepción de riesgos de desarrollo consiste en dilucidar si, eventualmente, el fabricante de un producto defectuoso podría invocar ese supuesto de hecho exonerativo de responsabilidad civil en el Derecho Privado Costarricense.</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Para responder esta interrogante debemos dejar claro, primero, cuáles son las causas de exoneración de responsabilidad civil objetiva, ya que, como lo ha indicado la doctrina civil alemana, en la responsabilidad civil subjetiva del fabricante (o sea, en la deliktische Produzentenhaftung, regulada a partir del § 823 párrafo primero y siguientes del Código Civil alemán), éste no responde por los riesgos de desarrollo</w:t>
      </w:r>
      <w:r w:rsidRPr="00E10347">
        <w:rPr>
          <w:rStyle w:val="Refdenotaalpie"/>
          <w:rFonts w:ascii="Palatino Linotype" w:hAnsi="Palatino Linotype" w:cs="Arial"/>
          <w:color w:val="auto"/>
          <w:sz w:val="21"/>
          <w:szCs w:val="21"/>
        </w:rPr>
        <w:footnoteReference w:id="367"/>
      </w:r>
      <w:r w:rsidRPr="00E10347">
        <w:rPr>
          <w:rFonts w:ascii="Palatino Linotype" w:hAnsi="Palatino Linotype" w:cs="Arial"/>
          <w:color w:val="auto"/>
          <w:sz w:val="21"/>
          <w:szCs w:val="21"/>
        </w:rPr>
        <w:t>, es decir, éstos generan la exoneración de responsabilidad civil del fabricante del producto, puesto que la producción del hecho del que deriva el daño era imprevisible</w:t>
      </w:r>
      <w:r w:rsidRPr="00E10347">
        <w:rPr>
          <w:rStyle w:val="Refdenotaalpie"/>
          <w:rFonts w:ascii="Palatino Linotype" w:hAnsi="Palatino Linotype" w:cs="Arial"/>
          <w:color w:val="auto"/>
          <w:sz w:val="21"/>
          <w:szCs w:val="21"/>
        </w:rPr>
        <w:footnoteReference w:id="368"/>
      </w:r>
      <w:r w:rsidRPr="00E10347">
        <w:rPr>
          <w:rFonts w:ascii="Palatino Linotype" w:hAnsi="Palatino Linotype" w:cs="Arial"/>
          <w:color w:val="auto"/>
          <w:sz w:val="21"/>
          <w:szCs w:val="21"/>
        </w:rPr>
        <w:t xml:space="preserve">.  </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En la responsabilidad civil extracontractual objetiva que establece el Código Civil costarricense, las causales de exoneración son: la fuerza mayor y la propia culpa de la víctima (Artículo 1048 párrafo 4 del Código Civil).</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Por su parte, de acuerdo con la jurisprudencia costarricense</w:t>
      </w:r>
      <w:r w:rsidRPr="00E10347">
        <w:rPr>
          <w:rStyle w:val="Refdenotaalpie"/>
          <w:rFonts w:ascii="Palatino Linotype" w:hAnsi="Palatino Linotype" w:cs="Arial"/>
          <w:color w:val="auto"/>
          <w:sz w:val="21"/>
          <w:szCs w:val="21"/>
        </w:rPr>
        <w:footnoteReference w:id="369"/>
      </w:r>
      <w:r w:rsidRPr="00E10347">
        <w:rPr>
          <w:rFonts w:ascii="Palatino Linotype" w:hAnsi="Palatino Linotype" w:cs="Arial"/>
          <w:color w:val="auto"/>
          <w:sz w:val="21"/>
          <w:szCs w:val="21"/>
        </w:rPr>
        <w:t xml:space="preserve">, las eximentes de responsabilidad civil objetiva que establece el numeral 35 de la Ley de Promoción de la Competencia y Defensa Efectiva del Consumidor son las siguientes: a) La culpa de la víctima; b) El hecho de un tercero; c) La fuerza mayor; d) Porque se logra demostrar que no hay una relación de consumo en los términos en que lo presume la ley y; e) Que, en el caso específico de la teoría del riesgo creado (que es uno de los criterios de imputación que establece el supra citado artículo 35 de la Ley de </w:t>
      </w:r>
      <w:r w:rsidRPr="00E10347">
        <w:rPr>
          <w:rFonts w:ascii="Palatino Linotype" w:hAnsi="Palatino Linotype" w:cs="Arial"/>
          <w:color w:val="auto"/>
          <w:sz w:val="21"/>
          <w:szCs w:val="21"/>
        </w:rPr>
        <w:lastRenderedPageBreak/>
        <w:t>Promoción de la Competencia y Defensa Efectiva del Consumidor)</w:t>
      </w:r>
      <w:r w:rsidRPr="00E10347">
        <w:rPr>
          <w:rStyle w:val="Refdenotaalpie"/>
          <w:rFonts w:ascii="Palatino Linotype" w:hAnsi="Palatino Linotype" w:cs="Arial"/>
          <w:color w:val="auto"/>
          <w:sz w:val="21"/>
          <w:szCs w:val="21"/>
        </w:rPr>
        <w:footnoteReference w:id="370"/>
      </w:r>
      <w:r w:rsidRPr="00E10347">
        <w:rPr>
          <w:rFonts w:ascii="Palatino Linotype" w:hAnsi="Palatino Linotype" w:cs="Arial"/>
          <w:color w:val="auto"/>
          <w:sz w:val="21"/>
          <w:szCs w:val="21"/>
        </w:rPr>
        <w:t>, se lograra demostrar que dicho riesgo no se ubique en un grado de anormalidad.</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Se concluye, pues, que en ambos regímenes legales de responsabilidad civil objetiva, la fuerza mayor es una de las causales de exoneración de ese tipo de responsabilidad civil, contrario a lo que sucede con el caso fortuito, el cual no exonera al agente causante del daño, en el marco de ese específico tipo de responsabilidad civil (o sea, responsabilidad civil objetiva), de indemnizar los daños y perjuicios causados al damnificado.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Con base en lo anterior, lo que corresponde analizar ahora es si los riesgos de desarrollo se pueden subsumir o no dentro de alguna de las causas de exoneración de responsabilidad civil objetiva que establece el Código Civil y la Ley de Promoción de la Competencia y Defensa Efectiva del Consumidor. Para contestar esta interrogante, es menester definir primero, de manera clara, los conceptos de “caso fortuito” y “fuerza mayor”, distinción que comenzó, históricamente, en el Derecho Romano, pero que, hasta el siglo XX, realmente nunca fue clara y unívoca, pues hubo una gran cantidad de planteamientos doctrinales que fueron propuestos para deslindar ambos conceptos</w:t>
      </w:r>
      <w:r w:rsidRPr="00E10347">
        <w:rPr>
          <w:rStyle w:val="Refdenotaalpie"/>
          <w:rFonts w:ascii="Palatino Linotype" w:hAnsi="Palatino Linotype" w:cs="Arial"/>
          <w:color w:val="auto"/>
          <w:sz w:val="21"/>
          <w:szCs w:val="21"/>
        </w:rPr>
        <w:footnoteReference w:id="371"/>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Con respecto a cuál es el criterio que se utiliza, actualmente, en el campo de la responsabilidad civil, para diferenciar el caso fortuito y la fuerza mayor, el jurista español, José Manuel Busto Lago, manifiesta lo siguiente:</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 “La doctrina ha discutido desde el Derecho Romano la distinción entre caso fortuito y fuerza mayor. Tradicionalmente la distinción suele formularse al modo del Derecho romano, asumiendo la llamada teoría subjetiva —toma en consideración la imprevisibilidad o la inevitabilidad—, de manera que el caso fortuito es el acontecimiento que no pudo preverse pero, de haberse previsto, se hubiera evitado, mientras que la fuerza mayor es el suceso que, aun cuando se hubiera previsto, habría resultado inevitable. Evidentemente en los sistemas de responsabilidad objetiva el prever la posibilidad de exoneración acreditando un </w:t>
      </w:r>
      <w:r w:rsidRPr="00E10347">
        <w:rPr>
          <w:rFonts w:ascii="Palatino Linotype" w:hAnsi="Palatino Linotype" w:cs="Arial"/>
          <w:color w:val="auto"/>
          <w:sz w:val="21"/>
          <w:szCs w:val="21"/>
        </w:rPr>
        <w:lastRenderedPageBreak/>
        <w:t>determinado nivel de diligencia –el que sea-- introduce un elemento totalmente extraño al sistema. Por ello la tesis subjetiva no resulta de aplicación a la responsabilidad civil objetiva, como tampoco sirve la tesis aportada por GOLDSCHMIDT y formulada, con pequeñas variantes, por sus seguidores, pues radican la diferencia entre el caso fortuito y la fuerza mayor en que mientras el caso fortuito hace referencia a aquel evento que es imprevisible e inevitable utilizando la diligencia del hombre medio, la fuerza mayor se identifica con aquellos acontecimientos imprevisibles e inevitables incluso para un diligentísimo “padre de familia”</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Acaso por los inconvenientes que presentan las tesis enunciadas, en la doctrina moderna se ha impuesto la teoría objetiva que es la que permite explicar la forma más adecuada por qué </w:t>
      </w:r>
      <w:r w:rsidR="002A76CC">
        <w:rPr>
          <w:rFonts w:ascii="Palatino Linotype" w:hAnsi="Palatino Linotype" w:cs="Arial"/>
          <w:color w:val="auto"/>
          <w:sz w:val="21"/>
          <w:szCs w:val="21"/>
        </w:rPr>
        <w:t xml:space="preserve">solo </w:t>
      </w:r>
      <w:r w:rsidRPr="00E10347">
        <w:rPr>
          <w:rFonts w:ascii="Palatino Linotype" w:hAnsi="Palatino Linotype" w:cs="Arial"/>
          <w:color w:val="auto"/>
          <w:sz w:val="21"/>
          <w:szCs w:val="21"/>
        </w:rPr>
        <w:t>la fuerza mayor es causa de exclusión de la responsabilidad objetiva: La fuerza mayor es el suceso que se origina fuera del círculo del responsable —procedencia externa del acontecimiento desencadenante del daño—, mientras que los casos fortuitos, al tener un origen interno, deben preverse en el curso ordinario o normal de la vida. En esta línea, la STS (3a) de 12 julio 1985 (RJ 1985, 4209) declaró que el caso fortuito, a diferencia de la fuerza mayor, se desenvuelve dentro del círculo de actividad de la Administración, de suerte que mientras la fuerza mayor es una causa extraña, siempre exterior por relación al objeto dañoso y a sus riesgos propios, en el caso fortuito existe una interioridad al funcionamiento mismo del servicio”</w:t>
      </w:r>
      <w:r w:rsidRPr="00E10347">
        <w:rPr>
          <w:rStyle w:val="Refdenotaalpie"/>
          <w:rFonts w:ascii="Palatino Linotype" w:hAnsi="Palatino Linotype" w:cs="Arial"/>
          <w:color w:val="auto"/>
          <w:sz w:val="21"/>
          <w:szCs w:val="21"/>
        </w:rPr>
        <w:footnoteReference w:id="372"/>
      </w:r>
      <w:r w:rsidRPr="00E10347">
        <w:rPr>
          <w:rFonts w:ascii="Palatino Linotype" w:hAnsi="Palatino Linotype" w:cs="Arial"/>
          <w:color w:val="auto"/>
          <w:sz w:val="21"/>
          <w:szCs w:val="21"/>
        </w:rPr>
        <w:t xml:space="preserve">. </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En resumen, pues, será caso fortuito todo evento causal que acaezca dentro del ámbito de riesgo de esa actividad, mientras que la fuerza mayor viene definida por el suceso exterior a ella. El evento interno acaece dentro del ámbito de control del sujeto responsable, lo que no sucede con el hecho externo. De esta forma, la fuerza mayor exonera de responsabilidad civil, no así el caso fortuito.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En Costa Rica, jurisprudencialmente</w:t>
      </w:r>
      <w:r w:rsidRPr="00E10347">
        <w:rPr>
          <w:rStyle w:val="Refdenotaalpie"/>
          <w:rFonts w:ascii="Palatino Linotype" w:hAnsi="Palatino Linotype" w:cs="Arial"/>
          <w:color w:val="auto"/>
          <w:sz w:val="21"/>
          <w:szCs w:val="21"/>
        </w:rPr>
        <w:footnoteReference w:id="373"/>
      </w:r>
      <w:r w:rsidRPr="00E10347">
        <w:rPr>
          <w:rFonts w:ascii="Palatino Linotype" w:hAnsi="Palatino Linotype" w:cs="Arial"/>
          <w:color w:val="auto"/>
          <w:sz w:val="21"/>
          <w:szCs w:val="21"/>
        </w:rPr>
        <w:t xml:space="preserve"> se ha dicho que la fuerza mayor, como causal de exoneración de responsabilidad civil extracontractual objetiva, presenta las siguientes características: a) es imprevisible; b) es inevitable; c) de la </w:t>
      </w:r>
      <w:r w:rsidRPr="00E10347">
        <w:rPr>
          <w:rFonts w:ascii="Palatino Linotype" w:hAnsi="Palatino Linotype" w:cs="Arial"/>
          <w:color w:val="auto"/>
          <w:sz w:val="21"/>
          <w:szCs w:val="21"/>
        </w:rPr>
        <w:lastRenderedPageBreak/>
        <w:t xml:space="preserve">Naturaleza; d) extraño y; e) exterior. En contraposición con la fuerza mayor, el caso fortuito no es causal de exoneración de responsabilidad civil extracontractual objetiva y se caracteriza por ser un acontecimiento: a) eventualmente previsible; b) inevitable; c) derivado del accionar humano; d) interior y; e) connatural. </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Con base en el criterio actual que utiliza la doctrina española, en el campo de la responsabilidad civil objetiva, para distinguir entre caso fortuito y fuerza mayor, es menester concluir que, desde un punto de vista puramente dogmático, los riesgos de desarrollo encajarían dentro del concepto de caso fortuito y no de fuerza mayor, porque los riesgos de desarrollo presuponen que el producto, cuando fue introducido al mercado, era defectuoso, por lo cual es lógico deducir que ese defecto acaeció dentro del ámbito interno, dentro de la esfera de influencia del fabricante, durante el proceso de producción que él ha organizado, planificado y supervisado. Así las cosas, aunque en el Derecho Privado costarricense los riesgos de desarrollo no están expresamente contemplados en el Código Civil, ni tampoco en la Ley de Promoción de la Competencia y Defensa Efectiva del Consumidor, lo que sí podría afirmarse es que, desde un punto de vista puramente conceptual, no serían causal de exoneración de responsabilidad civil objetiva, de acuerdo con la normativa vigente que, al respecto, contemplan ese código y la ley especial mencionados.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No obstante lo anterior, como veremos más adelante, el hecho de que los riesgos de desarrollo correspondan, en estricta técnica jurídica, a un evento configurativo de caso fortuito, al fin y al cabo resulta irrelevante, porque, en realidad, los riesgos de desarrollo son, en el fondo, una manera de acreditar la diligencia del fabricante, es decir, de demostrar que no tuvo la culpa con respecto al producto defectuoso que introdujo en el mercado, de modo que, si acredita haber sido diligente en ese sentido, el efecto jurídico será su exoneración de responsabilidad civil.</w:t>
      </w:r>
    </w:p>
    <w:p w:rsidR="00CA49F0" w:rsidRDefault="00CA49F0" w:rsidP="00E10347">
      <w:pPr>
        <w:pStyle w:val="Predeterminado"/>
        <w:spacing w:after="0" w:line="240" w:lineRule="auto"/>
        <w:jc w:val="both"/>
        <w:rPr>
          <w:rFonts w:ascii="Palatino Linotype" w:hAnsi="Palatino Linotype" w:cs="Arial"/>
          <w:b/>
          <w:color w:val="auto"/>
          <w:sz w:val="21"/>
          <w:szCs w:val="21"/>
        </w:rPr>
      </w:pP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b/>
          <w:color w:val="auto"/>
          <w:sz w:val="21"/>
          <w:szCs w:val="21"/>
        </w:rPr>
        <w:t>5</w:t>
      </w:r>
      <w:r w:rsidRPr="00E10347">
        <w:rPr>
          <w:rFonts w:ascii="Palatino Linotype" w:hAnsi="Palatino Linotype" w:cs="Arial"/>
          <w:b/>
          <w:bCs/>
          <w:color w:val="auto"/>
          <w:sz w:val="21"/>
          <w:szCs w:val="21"/>
        </w:rPr>
        <w:t>.</w:t>
      </w:r>
      <w:r w:rsidRPr="00E10347">
        <w:rPr>
          <w:rFonts w:ascii="Palatino Linotype" w:hAnsi="Palatino Linotype" w:cs="Arial"/>
          <w:color w:val="auto"/>
          <w:sz w:val="21"/>
          <w:szCs w:val="21"/>
        </w:rPr>
        <w:t xml:space="preserve"> </w:t>
      </w:r>
      <w:r w:rsidRPr="00E10347">
        <w:rPr>
          <w:rFonts w:ascii="Palatino Linotype" w:hAnsi="Palatino Linotype" w:cs="Arial"/>
          <w:b/>
          <w:bCs/>
          <w:color w:val="auto"/>
          <w:sz w:val="21"/>
          <w:szCs w:val="21"/>
        </w:rPr>
        <w:t>La responsabilidad civil de la Administración Pública por riesgos de desarrollo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Como el lector probablemente habrá captado, la excepción de riesgos de desarrollo suele ser invocada, con frecuencia, en aquellos casos en los cuales los productos introducidos al mercado son, generalmente, alimentos destinados al consumo humano o bien medicamentos.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Al igual que ocurre en otros países, en Costa Rica, El Estado, conjuntamente con clínicas y centros hospitalarios privados, ofrece el servicio de salud a todos sus </w:t>
      </w:r>
      <w:r w:rsidRPr="00E10347">
        <w:rPr>
          <w:rFonts w:ascii="Palatino Linotype" w:hAnsi="Palatino Linotype" w:cs="Arial"/>
          <w:color w:val="auto"/>
          <w:sz w:val="21"/>
          <w:szCs w:val="21"/>
        </w:rPr>
        <w:lastRenderedPageBreak/>
        <w:t>ciudadanos. En consecuencia, es posible que, con ocasión del servicio de salud pública, El Estado y sus instituciones compren, importen, distribuyan, administren y proporcionen cierto tipo de productos, como medicamentos, prótesis, sangre, plasma, órganos, equipo médico hospitalario y otros, que presenten algún tipo de defecto, idóneo para causar daños y perjuicios a los pacientes, a los usuarios del servicio de salud pública y entonces es válido cuestionarse si, eventualmente, la Administración Pública podría exonerarse de responsabilidad civil mediante la invocación y demostración de la llamada “excepción de riesgos de desarrollo”.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Aunado a lo anterior, tampoco hay que perder de vista que, en nuestro país, El Estado y sus instituciones también proporcionan servicios públicos (salud, seguridad, transporte y otros) en los cuales, al igual que en los productos propiamente dichos, podrían emerger hipótesis de “riesgos de desarrollo”. Ejemplo: En el campo del servicio de la salud pública, las transfusiones realizadas con sangre contaminada con vicios no detectables en el momento en que ellas realizaron</w:t>
      </w:r>
      <w:r w:rsidRPr="00E10347">
        <w:rPr>
          <w:rStyle w:val="Refdenotaalpie"/>
          <w:rFonts w:ascii="Palatino Linotype" w:hAnsi="Palatino Linotype" w:cs="Arial"/>
          <w:color w:val="auto"/>
          <w:sz w:val="21"/>
          <w:szCs w:val="21"/>
        </w:rPr>
        <w:footnoteReference w:id="374"/>
      </w:r>
      <w:r w:rsidRPr="00E10347">
        <w:rPr>
          <w:rFonts w:ascii="Palatino Linotype" w:hAnsi="Palatino Linotype" w:cs="Arial"/>
          <w:color w:val="auto"/>
          <w:sz w:val="21"/>
          <w:szCs w:val="21"/>
        </w:rPr>
        <w:t xml:space="preserve">. </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Antes de analizar y emitir criterio sobre este interesante tema en el Derecho Administrativo costarricense, conviene traer a colación el tratamiento que se le ha dado, por ejemplo, en el Derecho español.</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La autora española, Ma. Angeles Parra Lucán introduce esta temática en los siguientes términos: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 “La solución de la ley española (primero la Ley 22/1994, de 6 de julio, de responsabilidad por productos defectuosos y ahora el TRLGDCU), al permitir que los fabricantes de medicamentos de uso humano no puedan exonerarse de responsabilidad aunque en el momento en que comercializaron el producto el estado de la ciencia no permitiera conocer el carácter defectuoso del producto, contrasta con la que en el ámbito de la responsabilidad patrimonial de las Administraciones Públicas ha adoptado el artículo 149.1 de la Ley 30/1992, Régimen Jurídico de las Administraciones Públicas y del Procedimiento Administrativo Común (LRJ-PAC), según redacción de la Ley 4/1999.</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Esta norma excluye la responsabilidad de la Administración no </w:t>
      </w:r>
      <w:r w:rsidR="002A76CC">
        <w:rPr>
          <w:rFonts w:ascii="Palatino Linotype" w:hAnsi="Palatino Linotype" w:cs="Arial"/>
          <w:color w:val="auto"/>
          <w:sz w:val="21"/>
          <w:szCs w:val="21"/>
        </w:rPr>
        <w:t xml:space="preserve">solo </w:t>
      </w:r>
      <w:r w:rsidRPr="00E10347">
        <w:rPr>
          <w:rFonts w:ascii="Palatino Linotype" w:hAnsi="Palatino Linotype" w:cs="Arial"/>
          <w:color w:val="auto"/>
          <w:sz w:val="21"/>
          <w:szCs w:val="21"/>
        </w:rPr>
        <w:t xml:space="preserve">cuando la circunstancia de que derivan los daños no se hayan podido prever (riesgos de desarrollo), también cuando siendo previsible, no se hayan podido evitar (por </w:t>
      </w:r>
      <w:r w:rsidRPr="00E10347">
        <w:rPr>
          <w:rFonts w:ascii="Palatino Linotype" w:hAnsi="Palatino Linotype" w:cs="Arial"/>
          <w:color w:val="auto"/>
          <w:sz w:val="21"/>
          <w:szCs w:val="21"/>
        </w:rPr>
        <w:lastRenderedPageBreak/>
        <w:t>ejemplo, riesgos secundarios asociados a un medicamento o que aparecen estadísticamente en un porcentaje determinado de pacientes....)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Conforme al artículo 149.1 de la LRJ-PAC: “</w:t>
      </w:r>
      <w:r w:rsidR="002A76CC">
        <w:rPr>
          <w:rFonts w:ascii="Palatino Linotype" w:hAnsi="Palatino Linotype" w:cs="Arial"/>
          <w:color w:val="auto"/>
          <w:sz w:val="21"/>
          <w:szCs w:val="21"/>
        </w:rPr>
        <w:t xml:space="preserve">Solo </w:t>
      </w:r>
      <w:r w:rsidRPr="00E10347">
        <w:rPr>
          <w:rFonts w:ascii="Palatino Linotype" w:hAnsi="Palatino Linotype" w:cs="Arial"/>
          <w:color w:val="auto"/>
          <w:sz w:val="21"/>
          <w:szCs w:val="21"/>
        </w:rPr>
        <w:t>serán indemnizables las lesiones producidas al particular provenientes de daños que éste no tenga el deber jurídico de soportar de acuerdo con la Ley. No serán indemnizables los daños que se deriven de hechos o circunstancias que no se hubiesen podido prever o evitar, según el estado de los conocimientos de la ciencia o de la técnica existentes en el momento de producción de aquéllos, todo ello sin perjuicio de las prestaciones asistenciales o económicas que las leyes puedan establecer para estos casos”.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La Sala de lo Contencioso-Administrativo del Tribunal Supremo ha aplicado el artículo 149.1, en su nueva redacción, para absolver a la Administración sanitaria en los casos de contagio del virus VIH o de la hepatitis C en sentencias de 25 de enero 2003 (RJ 941), 2 de abril 2004 (RJ 2446), 15 de abril 2004 (RJ 2630), 11 noviembre 2004 (RJ 7721), 12 enero 2005 (RJ 2005, 621) y 14 febrero 2005 (RJ 2005, 4103).</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Se ha utilizado el mismo criterio para no condenar a la administración sanitaria en otros casos, como por ejemplo por el fallecimiento por contagio de la enfermedad Crenzfeldt-Jalob derivado de un implante de duramadre en 1984, cuando la literatura médica no se hizo eco del riesgo hasta 1987. Así, en la STSJ Murcia 30 enero 2009 (JUR 2009, 19442), en la que se afirma: “nos encontramos ante un riesgo que no se podía evitar, teniendo en cuenta el estado de la ciencia en ese momento”</w:t>
      </w:r>
      <w:r w:rsidRPr="00E10347">
        <w:rPr>
          <w:rStyle w:val="Refdenotaalpie"/>
          <w:rFonts w:ascii="Palatino Linotype" w:hAnsi="Palatino Linotype" w:cs="Arial"/>
          <w:color w:val="auto"/>
          <w:sz w:val="21"/>
          <w:szCs w:val="21"/>
        </w:rPr>
        <w:footnoteReference w:id="375"/>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Es criticable el doble rasero que utiliza el legislador según se trate de asistencia pública o asistencia privada, pues en la práctica ello significa que la víctima de unos daños recibe o no una indemnización en función de la naturaleza del sujeto que le prestó la asistencia. </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También en relación con la interpretación judicial que, en España, se ha realizado en torno al artículo 149.1 de la Ley 30/1992, Régimen Jurídico de las Administraciones Públicas y del Procedimiento Administrativo Común (LRJ-PAC), según redacción de la Ley 4/1999, es menester indicar que los autores Pablo Salvador </w:t>
      </w:r>
      <w:r w:rsidRPr="00E10347">
        <w:rPr>
          <w:rFonts w:ascii="Palatino Linotype" w:hAnsi="Palatino Linotype" w:cs="Arial"/>
          <w:color w:val="auto"/>
          <w:sz w:val="21"/>
          <w:szCs w:val="21"/>
        </w:rPr>
        <w:lastRenderedPageBreak/>
        <w:t>Coderch y Antoni Rubí Puig manifiestan que ese “doble rasero”, al cual hace referencia la autora Parra Lucán, quedó superado con la sentencia del Tribunal de Justicia de la Unión Europea de 10 de mayo de 2001, caso de Henning Veedfald c. Arhus Amstkommune (C-203/99), el cual, según los autores Salvador Coderch y Rubí Puig, puso de manifiesto el absurdo práctico de una regulación de responsabilidad civil del fabricante, como la española, que trataría de modo diferente al fabricante mismo, según su estatuto fuera de derecho privado o de derecho público.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El caso sentenciado por el Tribunal de Justicia de la Unión Europea en su veredicto de 10 de mayo de 2001 dio solución al siguiente caso: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 “El riñón que se iba a transplantar al Sr. Veedfald quedó inservible tras ser tratado con una solución fabricada por la farmacia de un hospital público de Arhus (Dinamarca). El Sr. Veedfald reclamó contra la Amstkommune (Administración Provincial de Arhus), propietaria y gestora del hospital, de titularidad y financiación públicas y alegó las disposiciones de la Ley n. 371 om produktansvar de 7 de junio de 1989, que había transpuesto la Directiva 85/374 al derecho danés. La reclamación fue desestimada por considerarse que el producto no había sido puesto en circulación y porque no había sido fabricado con finalidades económicas. El actor recurrió, primero, ante el Vestre Landsret y, en apelación, ante el Hojesteret, que planteó cinco cuestiones prejudiciales: dos relativas a la puesta en circulación del producto y las causas de exoneración previstas en el art. 7 Directiva 85/374, letras a y c, y tres relacionadas con el concepto de daño previsto en el art. 9 Directiva 85/374. Respecto de la excepción de no puesta en circulación del producto (art. 7.a), el tribunal interpretó que un producto se encuentra en circulación cuando es utilizado en el marco de la prestación médica concreta; respecto de la excepción de falta de actividad con fines económicos o de actividad profesional (art. 7.c), consideró que no cubre a las prestaciones médicas financiadas con fondos públicos y por las que el paciente no debe pagar contraprestación alguna. En relación con las cuestiones relativas al concepto y alcance del daño, el tribunal estableció que los Estados miembros no pueden limitar los tipos de daños a indemnizar previstos en el art. 9 Directiva 85/374 y que corresponde al Juez nacional decidir en qué categoría —daño corporal o daño material— se encuentra la destrucción de un órgano que se va a transplantar. Desde Veedfald, queda meridianamente claro que el estatuto o régimen jurídico del fabricante no puede decidir la aplicación de un régimen distinto al previsto por la Directiva 85/374 y más perjudicial para el consumidor, en </w:t>
      </w:r>
      <w:r w:rsidRPr="00E10347">
        <w:rPr>
          <w:rFonts w:ascii="Palatino Linotype" w:hAnsi="Palatino Linotype" w:cs="Arial"/>
          <w:color w:val="auto"/>
          <w:sz w:val="21"/>
          <w:szCs w:val="21"/>
        </w:rPr>
        <w:lastRenderedPageBreak/>
        <w:t>este caso, el paciente: las víctimas podrán reclamar contra la Administración Pública si ésta o uno de sus dependientes actúa como fabricante de un medicamento defectuoso destinado al consumo humano”</w:t>
      </w:r>
      <w:r w:rsidRPr="00E10347">
        <w:rPr>
          <w:rStyle w:val="Refdenotaalpie"/>
          <w:rFonts w:ascii="Palatino Linotype" w:hAnsi="Palatino Linotype" w:cs="Arial"/>
          <w:color w:val="auto"/>
          <w:sz w:val="21"/>
          <w:szCs w:val="21"/>
        </w:rPr>
        <w:footnoteReference w:id="376"/>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Hasta donde humildemente conocemos, el tema de los riesgos de desarrollo no ha sido tratado ni analizado en el ámbito de la responsabilidad civil del Estado en Costa Rica. No obstante, es posible emitir un respetuoso criterio al respecto, para lo cual debe partirse de lo dispuesto en el artículo 190 de la Ley General de la Administración Pública, específicamente las causales de exoneración de responsabilidad civil que establece esa norma.</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De acuerdo con esa disposición jurídica, las causales de exoneración de responsabilidad civil del Estado y sus instituciones son: la fuerza mayor, la culpa de la víctima y el hecho de un tercero.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Por las mismas razones que se expusieron en el acápite número cuatro de este capítulo, habría que decir que, en Costa Rica, los riesgos de desarrollo tampoco están expresamente regulados como causal de exoneración de responsabilidad civil del Estado y habría que concluir, además, que, aunque fuesen invocados, El Estado y sus instituciones no podrían exonerarse de responsabilidad civil por los daños causados por productos defectuosos en el ejercicio de sus potestades regladas y discrecionales, pues los riesgos de desarrollo encajan dentro del concepto de caso fortuito y éste no es causal de exoneración de responsabilidad civil, según el esquema de responsabilidad civil objetiva moderada que, en criterio de la jurisprudencia de la Sala Primera de la Corte Suprema de Justicia</w:t>
      </w:r>
      <w:r w:rsidRPr="00E10347">
        <w:rPr>
          <w:rStyle w:val="Refdenotaalpie"/>
          <w:rFonts w:ascii="Palatino Linotype" w:hAnsi="Palatino Linotype" w:cs="Arial"/>
          <w:color w:val="auto"/>
          <w:sz w:val="21"/>
          <w:szCs w:val="21"/>
        </w:rPr>
        <w:footnoteReference w:id="377"/>
      </w:r>
      <w:r w:rsidRPr="00E10347">
        <w:rPr>
          <w:rFonts w:ascii="Palatino Linotype" w:hAnsi="Palatino Linotype" w:cs="Arial"/>
          <w:color w:val="auto"/>
          <w:sz w:val="21"/>
          <w:szCs w:val="21"/>
        </w:rPr>
        <w:t xml:space="preserve">, es el que contempla el numeral 190 de la Ley General de la Administración Pública. </w:t>
      </w: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b/>
          <w:color w:val="auto"/>
          <w:sz w:val="21"/>
          <w:szCs w:val="21"/>
        </w:rPr>
        <w:lastRenderedPageBreak/>
        <w:t>6. Riesgos de desarrollo: ¿un viejo inquilino en una casa equivocada?</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Tal y como lo anticipamos en la parte final del acápite número cuatro de este capítulo, el análisis de su historia y requisitos permite plantearse la interrogante sobre si, realmente, los riesgos de desarrollo es una especie de figura novedosa dentro del Derecho de Daños contemporáneo o si, por el contrario, en el fondo se trata, simplemente, de otro concepto más antiguo del Derecho de la responsabilidad civil, al cual se ha echado mano, otra vez, para tratar de solucionar el problema de la defectuosidad de un producto a medida que el conocimiento científico y tecnológico de la Humanidad aumenta y se perfecciona día con día.</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A raíz de la aprobación, en el Derecho de Daños colombiano, del llamado “Estatuto del Consumidor”, según ley número 1480 de 12 de octubre de 2011</w:t>
      </w:r>
      <w:r w:rsidRPr="00E10347">
        <w:rPr>
          <w:rStyle w:val="Refdenotaalpie"/>
          <w:rFonts w:ascii="Palatino Linotype" w:hAnsi="Palatino Linotype" w:cs="Arial"/>
          <w:color w:val="auto"/>
          <w:sz w:val="21"/>
          <w:szCs w:val="21"/>
        </w:rPr>
        <w:footnoteReference w:id="378"/>
      </w:r>
      <w:r w:rsidRPr="00E10347">
        <w:rPr>
          <w:rFonts w:ascii="Palatino Linotype" w:hAnsi="Palatino Linotype" w:cs="Arial"/>
          <w:color w:val="auto"/>
          <w:sz w:val="21"/>
          <w:szCs w:val="21"/>
        </w:rPr>
        <w:t>, algunos tratadistas de ese país</w:t>
      </w:r>
      <w:r w:rsidRPr="00E10347">
        <w:rPr>
          <w:rStyle w:val="Refdenotaalpie"/>
          <w:rFonts w:ascii="Palatino Linotype" w:hAnsi="Palatino Linotype" w:cs="Arial"/>
          <w:color w:val="auto"/>
          <w:sz w:val="21"/>
          <w:szCs w:val="21"/>
        </w:rPr>
        <w:footnoteReference w:id="379"/>
      </w:r>
      <w:r w:rsidRPr="00E10347">
        <w:rPr>
          <w:rFonts w:ascii="Palatino Linotype" w:hAnsi="Palatino Linotype" w:cs="Arial"/>
          <w:color w:val="auto"/>
          <w:sz w:val="21"/>
          <w:szCs w:val="21"/>
        </w:rPr>
        <w:t xml:space="preserve"> han manifestado que, en realidad, los riesgos de desarrollo tal vez sea “</w:t>
      </w:r>
      <w:r w:rsidR="002A76CC">
        <w:rPr>
          <w:rFonts w:ascii="Palatino Linotype" w:hAnsi="Palatino Linotype" w:cs="Arial"/>
          <w:color w:val="auto"/>
          <w:sz w:val="21"/>
          <w:szCs w:val="21"/>
        </w:rPr>
        <w:t xml:space="preserve">solo </w:t>
      </w:r>
      <w:r w:rsidRPr="00E10347">
        <w:rPr>
          <w:rFonts w:ascii="Palatino Linotype" w:hAnsi="Palatino Linotype" w:cs="Arial"/>
          <w:color w:val="auto"/>
          <w:sz w:val="21"/>
          <w:szCs w:val="21"/>
        </w:rPr>
        <w:t>una expresión especial usada para designar una vieja institución a la cual nos encontramos habituados”.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A mayor abundamiento, los juristas colombianos Mantilla Espinosa y Ternera Barrios manifiestan lo siguiente:</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 “De acuerdo con el fallo de 29 de mayo de 1997 del Tribunal de Justicia de la Unión Europea, el productor (fabricante) debe demostrar que, para el momento de la puesta en circulación del producto, el estado de la ciencia y de la tecnología más avanzado y accesible no le permitía descubrir el defecto. En otras palabras, el productor se exonera de responsabilidad si logra demostrar que el productor conocedor de la ciencia y tecnología, sujeto abstracto, hubiera actuado igual que él, en las mismas circunstancias.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Esto es, claramente, un juicio de valor respecto de una conducta concreta, llevado a cabo de acuerdo con unos parámetros sociales específicos: si el productor no se comportó como un profesional avisado y muy bien informado, debe </w:t>
      </w:r>
      <w:r w:rsidRPr="00E10347">
        <w:rPr>
          <w:rFonts w:ascii="Palatino Linotype" w:hAnsi="Palatino Linotype" w:cs="Arial"/>
          <w:color w:val="auto"/>
          <w:sz w:val="21"/>
          <w:szCs w:val="21"/>
        </w:rPr>
        <w:lastRenderedPageBreak/>
        <w:t>indemnizar los daños. Si, por el contrario, fue diligente y prudente en la utilización de la tecnología más avanzada conocida para garantizar la seguridad de sus productos, pero, aún así, no le fue posible evitar el defecto, el sistema le permite exonerarse alegando un riesgo de desarrollo. Así las cosas, no nos resta más que aceptar que estamos ante una exoneración por la prueba de la ausencia de culpa.</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Pero esta conclusión no debe sorprendernos. En efecto, la jurisprudencia actual en los Estados Unidos de Norteamérica parece aceptar, de manera estable, que la responsabilidad por defectos de productos que el estado de la ciencia y la tecnología en el momento de su puesta en el mercado, no permitían al productor descubrirlos está fundamentada en la negligence y </w:t>
      </w:r>
      <w:r w:rsidR="002A76CC">
        <w:rPr>
          <w:rFonts w:ascii="Palatino Linotype" w:hAnsi="Palatino Linotype" w:cs="Arial"/>
          <w:color w:val="auto"/>
          <w:sz w:val="21"/>
          <w:szCs w:val="21"/>
        </w:rPr>
        <w:t xml:space="preserve">solo </w:t>
      </w:r>
      <w:r w:rsidRPr="00E10347">
        <w:rPr>
          <w:rFonts w:ascii="Palatino Linotype" w:hAnsi="Palatino Linotype" w:cs="Arial"/>
          <w:color w:val="auto"/>
          <w:sz w:val="21"/>
          <w:szCs w:val="21"/>
        </w:rPr>
        <w:t>respondería en la hipótesis en que, para el momento, hubiera existido una reasonable alternative design ---RDA---.</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Es más, el famoso fallo alemán de 26 de noviembre de 1968, conocido como Hühnerpest y mencionado varias veces en este ensayo, estableció que el productor que lograba probar que el estado de la ciencia y la tecnología no le permitía descubrir el defecto, demostraba su ausencia de culpa y, por ende, no podía ser condenado con base en el § 823 del BGB.</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Si entendemos que el riesgo de desarrollo no es más que una forma especial de probar en contra de una presunción de culpa que pesa sobre el productor, resultará mucho más coherente la obligación de seguimiento del producto (D. 2001/95/CE, art. 5.1 y L. 1480/2011, art. 19) que permite comprometer la responsabilidad del productor y de los otros miembros de la cadena de distribución, cuando se les puede imputar culpa respecto de las medidas que toman para evitar daños que puedan causarse por eventuales defectos que se manifiesten en los productos puestos en circulación ---obligación de medios---“</w:t>
      </w:r>
      <w:r w:rsidRPr="00E10347">
        <w:rPr>
          <w:rStyle w:val="Refdenotaalpie"/>
          <w:rFonts w:ascii="Palatino Linotype" w:hAnsi="Palatino Linotype" w:cs="Arial"/>
          <w:color w:val="auto"/>
          <w:sz w:val="21"/>
          <w:szCs w:val="21"/>
        </w:rPr>
        <w:footnoteReference w:id="380"/>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En mi criterio personal, llevan razón los autores colombianos antes citados. Los riesgos de desarrollo, que no están contemplados dentro del Derecho Positivo costarricense, pero sí dentro del colombiano, son, en el fondo, una manifestación inequívoca de responsabilidad civil subjetiva, en cabeza del fabricante, pero con inversión de la carga de la prueba, pues es a él y no al consumidor damnificado, quien debe demostrar que no tuvo la culpa de que el producto defectuoso, introducido por él en el mercado, tuviera un defecto no reconocible de acuerdo con el estado de la ciencia y de la técnica vigente en ese momento. </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lastRenderedPageBreak/>
        <w:t>Lo anterior significa, pues, que, hablando en sentido estricto, los riesgos de desarrollo no deberían formar parte de un régimen de responsabilidad civil objetivo, como el que establece, por ejemplo, la ProdHaftG alemana o el Texto Refundido de Ley General para la Defensa de los Consumidores y Usuarios y otras leyes complementarias (TRLGDCU), de España, aprobado por Real Decreto Legislativo 1/2007 de 16 de noviembre, pues en esas leyes foráneas especiales la culpa no es, en modo alguno, criterio de imputación jurídica de regímenes objetivos de responsabilidad civil por productos defectuosos.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El razonable y correcto criterio expuesto por los autores colombianos Mantilla Espinosa y Ternera Barrios encuentra fundamento en las palabras del profesor español, José Manuel Busto Lago, quien, en el momento en que explicó la tesis subjetiva que en algún momento prevaleció para distinguir el caso fortuito y la fuerza mayor, manifestó:</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 “Evidentemente en los sistemas de responsabilidad objetiva el prever la posibilidad de exoneración acreditando un determinado nivel de diligencia —el que sea— introduce un elemento totalmente extraño al sistema”</w:t>
      </w:r>
      <w:r w:rsidRPr="00E10347">
        <w:rPr>
          <w:rStyle w:val="Refdenotaalpie"/>
          <w:rFonts w:ascii="Palatino Linotype" w:hAnsi="Palatino Linotype" w:cs="Arial"/>
          <w:color w:val="auto"/>
          <w:sz w:val="21"/>
          <w:szCs w:val="21"/>
        </w:rPr>
        <w:footnoteReference w:id="381"/>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Como lo advirtió la autora española Ma. Angeles Parra Lucán, “en el ámbito de la responsabilidad por culpa los riesgos de desarrollo dan lugar a la exoneración del fabricante, puesto que la producción del hecho del que deriva el daño era imprevisible. La valoración de la conducta del fabricante debe hacerse necesariamente, para determinar su diligencia, con arreglo al estado de los conocimientos científicos y técnicos del momento en que realizó su conducta: la puesta en circulación del producto. De tal manera que podrá exonerarse de responsabilidad fundada en negligencia si logra acreditar que no hubo ninguna culpa por su parte, simplemente por ignorar lo que nadie en ese momento conocía</w:t>
      </w:r>
      <w:r w:rsidRPr="00E10347">
        <w:rPr>
          <w:rStyle w:val="Refdenotaalpie"/>
          <w:rFonts w:ascii="Palatino Linotype" w:hAnsi="Palatino Linotype" w:cs="Arial"/>
          <w:color w:val="auto"/>
          <w:sz w:val="21"/>
          <w:szCs w:val="21"/>
        </w:rPr>
        <w:footnoteReference w:id="382"/>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Por si no fuera suficiente, es válido afirmar que no hay, en lo absoluto, diferencia alguna entre el funcionamiento de la excepción de riesgos de desarrollo dentro de un régimen de responsabilidad subjetivo (al que, por naturaleza, </w:t>
      </w:r>
      <w:r w:rsidRPr="00E10347">
        <w:rPr>
          <w:rFonts w:ascii="Palatino Linotype" w:hAnsi="Palatino Linotype" w:cs="Arial"/>
          <w:color w:val="auto"/>
          <w:sz w:val="21"/>
          <w:szCs w:val="21"/>
        </w:rPr>
        <w:lastRenderedPageBreak/>
        <w:t>pertenece) y dentro de uno de responsabilidad civil objetivo, como las leyes especiales de responsabilidad civil por productos defectuosos que existen y están vigentes en Alemania, Francia, España, Luxemburgo, Dinamarca y Colombia, entre otros muchos países, sobre todo los europeos.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La gran pregunta que surge en este momento del análisis del interesante tema de los riesgos de desarrollo es, pues, la siguiente: ¿porqué está incluída como una causal de exoneración de responsabilidad civil objetiva si, en el fondo, le exige al fabricante acreditar un elevado nivel de diligencia, es decir, desvirtuar la culpa que, de manera relativa, recae sobre él?</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Según los autores colombianos antes mencionados, “si repasamos la historia de la negociación de la Directiva Europea 374 de 1985 podremos corroborar que su inclusión (la de los riesgos de desarrollo) se hizo bajo presión de la delegación alemana ---país cuya jurisprudencia la había aceptado desde el fallo Hühnerpest---, pero, ante la férrea oposición de otros países, la directiva optó por una solución intermedia, permitiendo a cada estado adoptarla o no, mediante sus leyes introductorias.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A pesar de ello, la inmensa mayoría de los miembros de la Unión terminaron admitiéndola por razones económicas. En efecto, de no hacerlo, las empresas de los países que no aceptan la exoneración estarían en desventaja competitiva, frente a las empresas de los países que la aceptan. Sin embargo, las particularidades de la institución en cada país, obedecen a sus presiones políticas y sociales internas; por ejemplo, Alemania la acepta, con exclusión de los daños causados por medicamentos ---no hay que olvidar que, a finales de la década de 1960, en este país el medicamento Contergan (talidomida) produjo malformaciones en cerca de 2500 recién nacidos; España la incluyó para todos los productos excepto para los medicamentos y los productos alimenticios para el consumo humano ---aparte de los problemas de la talidomida, en este país, a principios de la década de 1980, se presentó una intoxicación de más de 15000 personas por consumo del aceite de colza, también conocido como aceite de canola---; Francia, por su parte, la admitió para todos los productos, salvo los derivados del cuerpo humano ---recordemos que, entre finales de la década de 1980 y la década de 1990, allí se presentaron graves escándalos por contagios con hepatitis B y SIDA, como consecuencia de transfusiones con sangre contaminada”</w:t>
      </w:r>
      <w:r w:rsidRPr="00E10347">
        <w:rPr>
          <w:rStyle w:val="Refdenotaalpie"/>
          <w:rFonts w:ascii="Palatino Linotype" w:hAnsi="Palatino Linotype" w:cs="Arial"/>
          <w:color w:val="auto"/>
          <w:sz w:val="21"/>
          <w:szCs w:val="21"/>
        </w:rPr>
        <w:footnoteReference w:id="383"/>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b/>
          <w:color w:val="auto"/>
          <w:sz w:val="21"/>
          <w:szCs w:val="21"/>
        </w:rPr>
        <w:lastRenderedPageBreak/>
        <w:t>7. ¿Debería eliminarse la excepción de riesgos de desarrollo?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Con el afán de privilegiar la reparación del daño sufrido por el damnificado a causa de un producto defectuoso, cierto sector de la doctrina ha preconizado la idea de eliminar la excepción de riesgos de desarrollo</w:t>
      </w:r>
      <w:r w:rsidRPr="00E10347">
        <w:rPr>
          <w:rStyle w:val="Refdenotaalpie"/>
          <w:rFonts w:ascii="Palatino Linotype" w:hAnsi="Palatino Linotype" w:cs="Arial"/>
          <w:color w:val="auto"/>
          <w:sz w:val="21"/>
          <w:szCs w:val="21"/>
        </w:rPr>
        <w:footnoteReference w:id="384"/>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Con respecto a este tema, consideramos que, de ninguna manera, debe eliminarse la excepción de riesgos de desarrollo porque, como bien lo manifiesta el jurista español, Luis Díez-Picazo, “En rigor, el tema de los denominados “riesgos de desarrollo” no puede resolverse con criterios de técnica jurídica y exige decisiones políticas. Si se otorga prioridad a la reparación de los daños, pueden producirse consecuencias desfavorables y frenar un desarrollo que para la sociedad en general puede resultar conveniente. Por esa razón, la Directiva 374/85 permitió que los países miembros de la Unión adoptaran en este punto decisiones flexibles”</w:t>
      </w:r>
      <w:r w:rsidRPr="00E10347">
        <w:rPr>
          <w:rStyle w:val="Refdenotaalpie"/>
          <w:rFonts w:ascii="Palatino Linotype" w:hAnsi="Palatino Linotype" w:cs="Arial"/>
          <w:color w:val="auto"/>
          <w:sz w:val="21"/>
          <w:szCs w:val="21"/>
        </w:rPr>
        <w:footnoteReference w:id="385"/>
      </w:r>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De una manera todavía más concreta, el autor español Fernando Gómez Pomar</w:t>
      </w:r>
      <w:r w:rsidRPr="00E10347">
        <w:rPr>
          <w:rStyle w:val="Refdenotaalpie"/>
          <w:rFonts w:ascii="Palatino Linotype" w:hAnsi="Palatino Linotype" w:cs="Arial"/>
          <w:color w:val="auto"/>
          <w:sz w:val="21"/>
          <w:szCs w:val="21"/>
        </w:rPr>
        <w:footnoteReference w:id="386"/>
      </w:r>
      <w:r w:rsidRPr="00E10347">
        <w:rPr>
          <w:rFonts w:ascii="Palatino Linotype" w:hAnsi="Palatino Linotype" w:cs="Arial"/>
          <w:color w:val="auto"/>
          <w:sz w:val="21"/>
          <w:szCs w:val="21"/>
        </w:rPr>
        <w:t xml:space="preserve"> trata el tema de la eliminación de los riesgos de desarrollo y manifiesta lo siguiente:</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“Hay dos opciones: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a) Hacer responder a quien comercializa un producto por todos los riesgos que genere, aunque estos riesgos no fueran previsibles (objetiva).</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b) Mantenerse en el nivel de diligencia exigible y no responder si el daño no era previsible utilizando la diligencia de un experto en el sector (por culpa).</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Tiene más sentido hacer responder por culpa porque equilibra el defecto y los incentivos posteriores a la investigación. Pero tiene el inconveniente de dejar a la víctima sin indemnización, teniendo en cuenta que aquí la víctima no es individual sino que, al tratarse de casos de defecto de diseño, el número de víctimas es muy elevado.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lastRenderedPageBreak/>
        <w:t>El artículo 141 Ley 30/92 deja a salvo la existencia de sistemas de ayuda social o de alternativa a las víctimas (Ej. El fondo de compensación en el sector farmacéutico, sufragado por empresas de este sector)”.</w:t>
      </w:r>
    </w:p>
    <w:p w:rsidR="002014CA" w:rsidRPr="00E10347" w:rsidRDefault="002014CA" w:rsidP="00E10347">
      <w:pPr>
        <w:pStyle w:val="Predeterminado"/>
        <w:spacing w:after="0" w:line="240" w:lineRule="auto"/>
        <w:rPr>
          <w:rFonts w:ascii="Palatino Linotype" w:hAnsi="Palatino Linotype" w:cs="Arial"/>
          <w:color w:val="auto"/>
          <w:sz w:val="21"/>
          <w:szCs w:val="21"/>
        </w:rPr>
      </w:pPr>
      <w:r w:rsidRPr="00E10347">
        <w:rPr>
          <w:rFonts w:ascii="Palatino Linotype" w:hAnsi="Palatino Linotype" w:cs="Arial"/>
          <w:b/>
          <w:color w:val="auto"/>
          <w:sz w:val="21"/>
          <w:szCs w:val="21"/>
        </w:rPr>
        <w:t>CONCLUSIONES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El progreso humano no puede detenerse. Los seres humanos están dotados de potencialidades y talentos que, bajo la guía de la inteligencia y la voluntad, los hacen aspirar a crear, investigar e incrementar así el acervo de conocimientos científicos y tecnológicos existentes en el mundo.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Fruto del quehacer humano han sido creados los productos, máquinas y otro tipo de bienes a través de los cuales el ser humano vive cada vez mejor.</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Lógicamente, el afán creativo e investigativo del Hombre entraña riesgos y peligros que, en algunos casos, pueden comprometer, seriamente, los bienes jurídicos más preciados de la persona como son la vida y la salud, entre otros.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La puesta en circulación de productos defectuosos que fueron construidos con base en el estado de la Ciencia y de la Técnica que estaba vigente en el momento en que fueron introducidos en el mercado, pone de relieve la relación de tensión entre dos situaciones álgidas: el derecho del fabricante del producto defectuoso de exonerarse de responsabilidad civil por la imposibilidad de reconocerlo y detectarlo con base en el conocimiento humano vigente, disponible, reconocido y generalizado en el momento de su introducción en el tráfico jurídico y el derecho a la reparación integral del daño de quizás miles de consumidores que se vieron perjudicados por el producto construido en esas condiciones. </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Definitivamente no es un problema de fácil solución. No obstante, la llamada excepción de riesgos de desarrollo debe permanecer vigente dentro del ámbito de la responsabilidad civil extracontractual por productos defectuosos con el fin de incentivar el progreso científico y tecnológico, que, de manera predominante, ha producido más beneficios que perjuicios en la Historia de la Humanidad. </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Quizás lo mejor sería que cada país determinara en cuáles casos sería conveniente excluir la invocación de la excepción de riesgos de desarrollo, con lo cual, dicha causal, verdaderamente, encajaría mejor en un régimen de responsabilidad civil objetivo y de qué manera podrían crearse fondos de solidaridad o de compensación, como sucede con las víctimas de los medicamentos defectuosos, tendentes a indemnizar a los consumidores que se vieron perjudicados por productos cuya defectuosidad no podía, humanamente, ser reconocida o </w:t>
      </w:r>
      <w:r w:rsidRPr="00E10347">
        <w:rPr>
          <w:rFonts w:ascii="Palatino Linotype" w:hAnsi="Palatino Linotype" w:cs="Arial"/>
          <w:color w:val="auto"/>
          <w:sz w:val="21"/>
          <w:szCs w:val="21"/>
        </w:rPr>
        <w:lastRenderedPageBreak/>
        <w:t>detectada de acuerdo con el estado de la Ciencia y de la Técnica vigentes en el momento en que fue introducido en el mercado.</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En Costa Rica no ha sido tratada, por la doctrina, ni por la jurisprudencia y tampoco está expresamente regulada, en el Código Civil, en la Ley General de la Administración Pública y tampoco en la Ley de Promoción de la Competencia y Defensa Efectiva del Consumidor, la excepción de riesgos de desarrollo, como causal de exoneración de responsabilidad civil por parte del fabricante del producto defectuoso y tampoco por parte de otros sujetos que participan en la posterior cadena de distribución, comercialización y venta de los productos.</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r w:rsidRPr="00E10347">
        <w:rPr>
          <w:rFonts w:ascii="Palatino Linotype" w:hAnsi="Palatino Linotype" w:cs="Arial"/>
          <w:color w:val="auto"/>
          <w:sz w:val="21"/>
          <w:szCs w:val="21"/>
        </w:rPr>
        <w:t>El fabricante y los demás sujetos que forman parte de la cadena de comercialización y distribución de los productos son quienes tienen la carga de demostrar la configuración total y contundente de todos y cada uno de los componentes o elementos que conforman la excepción de riesgos de desarrollo, como causal de exoneración de responsabilidad civil objetiva y subjetiva.</w:t>
      </w:r>
    </w:p>
    <w:p w:rsidR="002014CA" w:rsidRPr="00E10347" w:rsidRDefault="002014CA" w:rsidP="00E10347">
      <w:pPr>
        <w:pStyle w:val="Predeterminado"/>
        <w:spacing w:after="0" w:line="240" w:lineRule="auto"/>
        <w:ind w:firstLine="709"/>
        <w:jc w:val="both"/>
        <w:rPr>
          <w:rFonts w:ascii="Palatino Linotype" w:hAnsi="Palatino Linotype" w:cs="Arial"/>
          <w:color w:val="auto"/>
          <w:sz w:val="21"/>
          <w:szCs w:val="21"/>
        </w:rPr>
      </w:pPr>
    </w:p>
    <w:p w:rsidR="00CA49F0" w:rsidRDefault="00CA49F0">
      <w:pPr>
        <w:widowControl/>
        <w:autoSpaceDE/>
        <w:autoSpaceDN/>
        <w:adjustRightInd/>
        <w:rPr>
          <w:rFonts w:ascii="Palatino Linotype" w:eastAsia="SimSun" w:hAnsi="Palatino Linotype"/>
          <w:sz w:val="21"/>
          <w:szCs w:val="21"/>
          <w:lang w:val="es-CR" w:eastAsia="zh-CN" w:bidi="hi-IN"/>
        </w:rPr>
      </w:pPr>
      <w:r>
        <w:rPr>
          <w:rFonts w:ascii="Palatino Linotype" w:hAnsi="Palatino Linotype"/>
          <w:sz w:val="21"/>
          <w:szCs w:val="21"/>
        </w:rPr>
        <w:br w:type="page"/>
      </w:r>
    </w:p>
    <w:p w:rsidR="002014CA" w:rsidRPr="00E10347" w:rsidRDefault="002014CA" w:rsidP="00E10347">
      <w:pPr>
        <w:pStyle w:val="Predeterminado"/>
        <w:spacing w:after="0" w:line="240" w:lineRule="auto"/>
        <w:ind w:firstLine="709"/>
        <w:jc w:val="center"/>
        <w:rPr>
          <w:rFonts w:ascii="Palatino Linotype" w:hAnsi="Palatino Linotype" w:cs="Arial"/>
          <w:color w:val="auto"/>
          <w:sz w:val="21"/>
          <w:szCs w:val="21"/>
          <w:lang w:val="en-US"/>
        </w:rPr>
      </w:pPr>
      <w:r w:rsidRPr="00E10347">
        <w:rPr>
          <w:rFonts w:ascii="Palatino Linotype" w:hAnsi="Palatino Linotype" w:cs="Arial"/>
          <w:b/>
          <w:color w:val="auto"/>
          <w:sz w:val="21"/>
          <w:szCs w:val="21"/>
          <w:lang w:val="en-US"/>
        </w:rPr>
        <w:lastRenderedPageBreak/>
        <w:t>BIBLIOGRAFÍA</w:t>
      </w: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color w:val="auto"/>
          <w:sz w:val="21"/>
          <w:szCs w:val="21"/>
          <w:lang w:val="en-US"/>
        </w:rPr>
        <w:t xml:space="preserve">Brüggemeier, Gert, </w:t>
      </w:r>
      <w:r w:rsidRPr="00E10347">
        <w:rPr>
          <w:rFonts w:ascii="Palatino Linotype" w:hAnsi="Palatino Linotype" w:cs="Arial"/>
          <w:b/>
          <w:bCs/>
          <w:color w:val="auto"/>
          <w:sz w:val="21"/>
          <w:szCs w:val="21"/>
          <w:lang w:val="en-US"/>
        </w:rPr>
        <w:t xml:space="preserve">Haftungsrecht: Struktur, Prinzipien, Schutzbereich. </w:t>
      </w:r>
      <w:r w:rsidRPr="00E10347">
        <w:rPr>
          <w:rFonts w:ascii="Palatino Linotype" w:hAnsi="Palatino Linotype" w:cs="Arial"/>
          <w:b/>
          <w:bCs/>
          <w:color w:val="auto"/>
          <w:sz w:val="21"/>
          <w:szCs w:val="21"/>
        </w:rPr>
        <w:t>Ein Beitrag zur Europäisierung des Privatrechts</w:t>
      </w:r>
      <w:r w:rsidRPr="00E10347">
        <w:rPr>
          <w:rFonts w:ascii="Palatino Linotype" w:hAnsi="Palatino Linotype" w:cs="Arial"/>
          <w:color w:val="auto"/>
          <w:sz w:val="21"/>
          <w:szCs w:val="21"/>
        </w:rPr>
        <w:t>, 2006.</w:t>
      </w: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Busto Lago, José Manuel y Reglero Campos, Luis Fernando. </w:t>
      </w:r>
      <w:r w:rsidRPr="00E10347">
        <w:rPr>
          <w:rFonts w:ascii="Palatino Linotype" w:hAnsi="Palatino Linotype" w:cs="Arial"/>
          <w:b/>
          <w:color w:val="auto"/>
          <w:sz w:val="21"/>
          <w:szCs w:val="21"/>
        </w:rPr>
        <w:t>Tratado de responsabilidad civil. Tomos I y II.</w:t>
      </w:r>
      <w:r w:rsidRPr="00E10347">
        <w:rPr>
          <w:rFonts w:ascii="Palatino Linotype" w:hAnsi="Palatino Linotype" w:cs="Arial"/>
          <w:color w:val="auto"/>
          <w:sz w:val="21"/>
          <w:szCs w:val="21"/>
        </w:rPr>
        <w:t>, 5. ed., 2014.</w:t>
      </w: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color w:val="auto"/>
          <w:sz w:val="21"/>
          <w:szCs w:val="21"/>
          <w:lang w:val="en-US"/>
        </w:rPr>
        <w:t xml:space="preserve">Diederichsen, Uwe, </w:t>
      </w:r>
      <w:r w:rsidRPr="00E10347">
        <w:rPr>
          <w:rFonts w:ascii="Palatino Linotype" w:hAnsi="Palatino Linotype" w:cs="Arial"/>
          <w:b/>
          <w:color w:val="auto"/>
          <w:sz w:val="21"/>
          <w:szCs w:val="21"/>
          <w:lang w:val="en-US"/>
        </w:rPr>
        <w:t>Wohin treibt die Produzentenhaftung?</w:t>
      </w:r>
      <w:r w:rsidRPr="00E10347">
        <w:rPr>
          <w:rFonts w:ascii="Palatino Linotype" w:hAnsi="Palatino Linotype" w:cs="Arial"/>
          <w:color w:val="auto"/>
          <w:sz w:val="21"/>
          <w:szCs w:val="21"/>
          <w:lang w:val="en-US"/>
        </w:rPr>
        <w:t xml:space="preserve"> </w:t>
      </w:r>
      <w:r w:rsidRPr="00E10347">
        <w:rPr>
          <w:rFonts w:ascii="Palatino Linotype" w:hAnsi="Palatino Linotype" w:cs="Arial"/>
          <w:color w:val="auto"/>
          <w:sz w:val="21"/>
          <w:szCs w:val="21"/>
        </w:rPr>
        <w:t>NJW 1978.</w:t>
      </w: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Díez-Picazo, Luis. </w:t>
      </w:r>
      <w:r w:rsidRPr="00E10347">
        <w:rPr>
          <w:rFonts w:ascii="Palatino Linotype" w:hAnsi="Palatino Linotype" w:cs="Arial"/>
          <w:b/>
          <w:color w:val="auto"/>
          <w:sz w:val="21"/>
          <w:szCs w:val="21"/>
        </w:rPr>
        <w:t>Fundamentos del Derecho Civil Patrimonial. Tomo V. La responsabilidad civil</w:t>
      </w:r>
      <w:r w:rsidRPr="00E10347">
        <w:rPr>
          <w:rFonts w:ascii="Palatino Linotype" w:hAnsi="Palatino Linotype" w:cs="Arial"/>
          <w:color w:val="auto"/>
          <w:sz w:val="21"/>
          <w:szCs w:val="21"/>
        </w:rPr>
        <w:t xml:space="preserve">, 2011. </w:t>
      </w:r>
    </w:p>
    <w:p w:rsidR="002014CA" w:rsidRPr="00E10347" w:rsidRDefault="002014CA" w:rsidP="00E10347">
      <w:pPr>
        <w:pStyle w:val="Predeterminado"/>
        <w:spacing w:after="0" w:line="240" w:lineRule="auto"/>
        <w:jc w:val="both"/>
        <w:rPr>
          <w:rFonts w:ascii="Palatino Linotype" w:hAnsi="Palatino Linotype" w:cs="Arial"/>
          <w:color w:val="auto"/>
          <w:sz w:val="21"/>
          <w:szCs w:val="21"/>
          <w:lang w:val="en-US"/>
        </w:rPr>
      </w:pPr>
      <w:r w:rsidRPr="00E10347">
        <w:rPr>
          <w:rFonts w:ascii="Palatino Linotype" w:hAnsi="Palatino Linotype" w:cs="Arial"/>
          <w:color w:val="auto"/>
          <w:sz w:val="21"/>
          <w:szCs w:val="21"/>
          <w:lang w:val="en-US"/>
        </w:rPr>
        <w:t xml:space="preserve">Eisenberg/Gildeggen/Reuter/Willburger, </w:t>
      </w:r>
      <w:r w:rsidRPr="00E10347">
        <w:rPr>
          <w:rFonts w:ascii="Palatino Linotype" w:hAnsi="Palatino Linotype" w:cs="Arial"/>
          <w:b/>
          <w:color w:val="auto"/>
          <w:sz w:val="21"/>
          <w:szCs w:val="21"/>
          <w:lang w:val="en-US"/>
        </w:rPr>
        <w:t>Produkthaftung,</w:t>
      </w:r>
      <w:r w:rsidRPr="00E10347">
        <w:rPr>
          <w:rFonts w:ascii="Palatino Linotype" w:hAnsi="Palatino Linotype" w:cs="Arial"/>
          <w:color w:val="auto"/>
          <w:sz w:val="21"/>
          <w:szCs w:val="21"/>
          <w:lang w:val="en-US"/>
        </w:rPr>
        <w:t xml:space="preserve"> 2. Auflage, 2014.</w:t>
      </w:r>
    </w:p>
    <w:p w:rsidR="002014CA" w:rsidRPr="00E10347" w:rsidRDefault="002014CA" w:rsidP="00E10347">
      <w:pPr>
        <w:pStyle w:val="Predeterminado"/>
        <w:spacing w:after="0" w:line="240" w:lineRule="auto"/>
        <w:jc w:val="both"/>
        <w:rPr>
          <w:rFonts w:ascii="Palatino Linotype" w:hAnsi="Palatino Linotype" w:cs="Arial"/>
          <w:color w:val="auto"/>
          <w:sz w:val="21"/>
          <w:szCs w:val="21"/>
          <w:lang w:val="en-US"/>
        </w:rPr>
      </w:pPr>
      <w:r w:rsidRPr="00E10347">
        <w:rPr>
          <w:rFonts w:ascii="Palatino Linotype" w:hAnsi="Palatino Linotype" w:cs="Arial"/>
          <w:color w:val="auto"/>
          <w:sz w:val="21"/>
          <w:szCs w:val="21"/>
          <w:lang w:val="en-US"/>
        </w:rPr>
        <w:t xml:space="preserve">Fuchs/Pauker, </w:t>
      </w:r>
      <w:r w:rsidRPr="00E10347">
        <w:rPr>
          <w:rFonts w:ascii="Palatino Linotype" w:hAnsi="Palatino Linotype" w:cs="Arial"/>
          <w:b/>
          <w:bCs/>
          <w:color w:val="auto"/>
          <w:sz w:val="21"/>
          <w:szCs w:val="21"/>
          <w:lang w:val="en-US"/>
        </w:rPr>
        <w:t>Delikts- und Schadensersatzrecht</w:t>
      </w:r>
      <w:r w:rsidRPr="00E10347">
        <w:rPr>
          <w:rFonts w:ascii="Palatino Linotype" w:hAnsi="Palatino Linotype" w:cs="Arial"/>
          <w:color w:val="auto"/>
          <w:sz w:val="21"/>
          <w:szCs w:val="21"/>
          <w:lang w:val="en-US"/>
        </w:rPr>
        <w:t xml:space="preserve">, 8. Auflage, 2012. </w:t>
      </w: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color w:val="auto"/>
          <w:sz w:val="21"/>
          <w:szCs w:val="21"/>
          <w:lang w:val="en-US"/>
        </w:rPr>
        <w:t xml:space="preserve">Gildeggen/Lorinser/Willburger u.a., </w:t>
      </w:r>
      <w:r w:rsidRPr="00E10347">
        <w:rPr>
          <w:rFonts w:ascii="Palatino Linotype" w:hAnsi="Palatino Linotype" w:cs="Arial"/>
          <w:b/>
          <w:color w:val="auto"/>
          <w:sz w:val="21"/>
          <w:szCs w:val="21"/>
          <w:lang w:val="en-US"/>
        </w:rPr>
        <w:t>Wirtschaftsprivatrecht</w:t>
      </w:r>
      <w:r w:rsidRPr="00E10347">
        <w:rPr>
          <w:rFonts w:ascii="Palatino Linotype" w:hAnsi="Palatino Linotype" w:cs="Arial"/>
          <w:color w:val="auto"/>
          <w:sz w:val="21"/>
          <w:szCs w:val="21"/>
          <w:lang w:val="en-US"/>
        </w:rPr>
        <w:t xml:space="preserve">, 2. </w:t>
      </w:r>
      <w:r w:rsidRPr="00E10347">
        <w:rPr>
          <w:rFonts w:ascii="Palatino Linotype" w:hAnsi="Palatino Linotype" w:cs="Arial"/>
          <w:color w:val="auto"/>
          <w:sz w:val="21"/>
          <w:szCs w:val="21"/>
        </w:rPr>
        <w:t>Auflage, 2014.</w:t>
      </w: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Gómez Pomar, Fernando, </w:t>
      </w:r>
      <w:r w:rsidRPr="00E10347">
        <w:rPr>
          <w:rFonts w:ascii="Palatino Linotype" w:hAnsi="Palatino Linotype" w:cs="Arial"/>
          <w:b/>
          <w:color w:val="auto"/>
          <w:sz w:val="21"/>
          <w:szCs w:val="21"/>
        </w:rPr>
        <w:t>Responsabilidad civil del fabricante por daños causados por productos defectuosos</w:t>
      </w:r>
      <w:r w:rsidRPr="00E10347">
        <w:rPr>
          <w:rFonts w:ascii="Palatino Linotype" w:hAnsi="Palatino Linotype" w:cs="Arial"/>
          <w:color w:val="auto"/>
          <w:sz w:val="21"/>
          <w:szCs w:val="21"/>
        </w:rPr>
        <w:t xml:space="preserve">, </w:t>
      </w:r>
      <w:r w:rsidRPr="00E10347">
        <w:rPr>
          <w:rFonts w:ascii="Palatino Linotype" w:hAnsi="Palatino Linotype" w:cs="Arial"/>
          <w:color w:val="auto"/>
          <w:sz w:val="21"/>
          <w:szCs w:val="21"/>
          <w:lang w:val="es-ES_tradnl"/>
        </w:rPr>
        <w:t xml:space="preserve">bajo la siguiente dirección en internet: </w:t>
      </w:r>
      <w:hyperlink r:id="rId43" w:history="1">
        <w:r w:rsidRPr="00E10347">
          <w:rPr>
            <w:rStyle w:val="Hipervnculo"/>
            <w:rFonts w:ascii="Palatino Linotype" w:hAnsi="Palatino Linotype" w:cs="Arial"/>
            <w:color w:val="auto"/>
            <w:sz w:val="21"/>
            <w:szCs w:val="21"/>
            <w:lang w:val="es-ES_tradnl"/>
          </w:rPr>
          <w:t>www.upf.edu/dretcivil/_pdf/mat_fernando/T82008.pdf</w:t>
        </w:r>
      </w:hyperlink>
      <w:r w:rsidRPr="00E10347">
        <w:rPr>
          <w:rFonts w:ascii="Palatino Linotype" w:hAnsi="Palatino Linotype" w:cs="Arial"/>
          <w:color w:val="auto"/>
          <w:sz w:val="21"/>
          <w:szCs w:val="21"/>
          <w:lang w:val="es-ES_tradnl"/>
        </w:rPr>
        <w:t xml:space="preserve">. </w:t>
      </w:r>
    </w:p>
    <w:p w:rsidR="002014CA" w:rsidRPr="00E10347" w:rsidRDefault="002014CA" w:rsidP="00E10347">
      <w:pPr>
        <w:pStyle w:val="Predeterminado"/>
        <w:spacing w:after="0" w:line="240" w:lineRule="auto"/>
        <w:jc w:val="both"/>
        <w:rPr>
          <w:rFonts w:ascii="Palatino Linotype" w:hAnsi="Palatino Linotype" w:cs="Arial"/>
          <w:b/>
          <w:color w:val="auto"/>
          <w:sz w:val="21"/>
          <w:szCs w:val="21"/>
          <w:lang w:val="en-US"/>
        </w:rPr>
      </w:pPr>
      <w:r w:rsidRPr="00E10347">
        <w:rPr>
          <w:rFonts w:ascii="Palatino Linotype" w:hAnsi="Palatino Linotype" w:cs="Arial"/>
          <w:color w:val="auto"/>
          <w:sz w:val="21"/>
          <w:szCs w:val="21"/>
          <w:lang w:val="en-US"/>
        </w:rPr>
        <w:t xml:space="preserve">Graf von Westphalen, Friedrich, </w:t>
      </w:r>
      <w:r w:rsidRPr="00E10347">
        <w:rPr>
          <w:rFonts w:ascii="Palatino Linotype" w:hAnsi="Palatino Linotype" w:cs="Arial"/>
          <w:b/>
          <w:color w:val="auto"/>
          <w:sz w:val="21"/>
          <w:szCs w:val="21"/>
          <w:lang w:val="en-US"/>
        </w:rPr>
        <w:t>Das neue Produkthaftungsgesetz,</w:t>
      </w:r>
      <w:r w:rsidRPr="00E10347">
        <w:rPr>
          <w:rFonts w:ascii="Palatino Linotype" w:hAnsi="Palatino Linotype" w:cs="Arial"/>
          <w:color w:val="auto"/>
          <w:sz w:val="21"/>
          <w:szCs w:val="21"/>
          <w:lang w:val="en-US"/>
        </w:rPr>
        <w:t xml:space="preserve"> NJW 1990.</w:t>
      </w:r>
    </w:p>
    <w:p w:rsidR="002014CA" w:rsidRPr="00E10347" w:rsidRDefault="002014CA" w:rsidP="00E10347">
      <w:pPr>
        <w:pStyle w:val="Predeterminado"/>
        <w:spacing w:after="0" w:line="240" w:lineRule="auto"/>
        <w:jc w:val="both"/>
        <w:rPr>
          <w:rFonts w:ascii="Palatino Linotype" w:hAnsi="Palatino Linotype" w:cs="Arial"/>
          <w:color w:val="auto"/>
          <w:sz w:val="21"/>
          <w:szCs w:val="21"/>
          <w:lang w:val="en-US"/>
        </w:rPr>
      </w:pPr>
      <w:r w:rsidRPr="00E10347">
        <w:rPr>
          <w:rFonts w:ascii="Palatino Linotype" w:hAnsi="Palatino Linotype" w:cs="Arial"/>
          <w:color w:val="auto"/>
          <w:sz w:val="21"/>
          <w:szCs w:val="21"/>
          <w:lang w:val="en-US"/>
        </w:rPr>
        <w:t xml:space="preserve">Honsell, Heinrich, </w:t>
      </w:r>
      <w:r w:rsidRPr="00E10347">
        <w:rPr>
          <w:rFonts w:ascii="Palatino Linotype" w:hAnsi="Palatino Linotype" w:cs="Arial"/>
          <w:b/>
          <w:color w:val="auto"/>
          <w:sz w:val="21"/>
          <w:szCs w:val="21"/>
          <w:lang w:val="en-US"/>
        </w:rPr>
        <w:t>Produkthaftungsgesetz und allgemeine Deliktshaftung,</w:t>
      </w:r>
      <w:r w:rsidRPr="00E10347">
        <w:rPr>
          <w:rFonts w:ascii="Palatino Linotype" w:hAnsi="Palatino Linotype" w:cs="Arial"/>
          <w:color w:val="auto"/>
          <w:sz w:val="21"/>
          <w:szCs w:val="21"/>
          <w:lang w:val="en-US"/>
        </w:rPr>
        <w:t xml:space="preserve"> JuS 1995.</w:t>
      </w:r>
    </w:p>
    <w:p w:rsidR="002014CA" w:rsidRPr="00E10347" w:rsidRDefault="002014CA" w:rsidP="00E10347">
      <w:pPr>
        <w:pStyle w:val="Predeterminado"/>
        <w:spacing w:after="0" w:line="240" w:lineRule="auto"/>
        <w:jc w:val="both"/>
        <w:rPr>
          <w:rFonts w:ascii="Palatino Linotype" w:hAnsi="Palatino Linotype" w:cs="Arial"/>
          <w:color w:val="auto"/>
          <w:sz w:val="21"/>
          <w:szCs w:val="21"/>
          <w:lang w:val="en-US"/>
        </w:rPr>
      </w:pPr>
      <w:r w:rsidRPr="00E10347">
        <w:rPr>
          <w:rFonts w:ascii="Palatino Linotype" w:hAnsi="Palatino Linotype" w:cs="Arial"/>
          <w:color w:val="auto"/>
          <w:sz w:val="21"/>
          <w:szCs w:val="21"/>
          <w:lang w:val="en-US"/>
        </w:rPr>
        <w:t xml:space="preserve">Kullmann, Hans Josef, </w:t>
      </w:r>
      <w:r w:rsidRPr="00E10347">
        <w:rPr>
          <w:rFonts w:ascii="Palatino Linotype" w:hAnsi="Palatino Linotype" w:cs="Arial"/>
          <w:b/>
          <w:color w:val="auto"/>
          <w:sz w:val="21"/>
          <w:szCs w:val="21"/>
          <w:lang w:val="en-US"/>
        </w:rPr>
        <w:t>Produkthaftungsgesetz. Kommentar</w:t>
      </w:r>
      <w:r w:rsidRPr="00E10347">
        <w:rPr>
          <w:rFonts w:ascii="Palatino Linotype" w:hAnsi="Palatino Linotype" w:cs="Arial"/>
          <w:color w:val="auto"/>
          <w:sz w:val="21"/>
          <w:szCs w:val="21"/>
          <w:lang w:val="en-US"/>
        </w:rPr>
        <w:t>., 4. Auflage, 2004.</w:t>
      </w:r>
    </w:p>
    <w:p w:rsidR="002014CA" w:rsidRPr="00E10347" w:rsidRDefault="002014CA" w:rsidP="00E10347">
      <w:pPr>
        <w:pStyle w:val="Predeterminado"/>
        <w:spacing w:after="0" w:line="240" w:lineRule="auto"/>
        <w:jc w:val="both"/>
        <w:rPr>
          <w:rFonts w:ascii="Palatino Linotype" w:hAnsi="Palatino Linotype" w:cs="Arial"/>
          <w:color w:val="auto"/>
          <w:sz w:val="21"/>
          <w:szCs w:val="21"/>
          <w:lang w:val="en-US"/>
        </w:rPr>
      </w:pPr>
      <w:r w:rsidRPr="00E10347">
        <w:rPr>
          <w:rFonts w:ascii="Palatino Linotype" w:hAnsi="Palatino Linotype" w:cs="Arial"/>
          <w:color w:val="auto"/>
          <w:sz w:val="21"/>
          <w:szCs w:val="21"/>
          <w:lang w:val="en-US"/>
        </w:rPr>
        <w:t xml:space="preserve">Kullmann, Hans Josef, </w:t>
      </w:r>
      <w:r w:rsidRPr="00E10347">
        <w:rPr>
          <w:rFonts w:ascii="Palatino Linotype" w:hAnsi="Palatino Linotype" w:cs="Arial"/>
          <w:b/>
          <w:color w:val="auto"/>
          <w:sz w:val="21"/>
          <w:szCs w:val="21"/>
          <w:lang w:val="en-US"/>
        </w:rPr>
        <w:t>Die Rechtsprechung des BGH zum Produkthaftpflichtrecht in den Jahren 1992-1994,</w:t>
      </w:r>
      <w:r w:rsidRPr="00E10347">
        <w:rPr>
          <w:rFonts w:ascii="Palatino Linotype" w:hAnsi="Palatino Linotype" w:cs="Arial"/>
          <w:color w:val="auto"/>
          <w:sz w:val="21"/>
          <w:szCs w:val="21"/>
          <w:lang w:val="en-US"/>
        </w:rPr>
        <w:t xml:space="preserve"> NJW 1994.</w:t>
      </w:r>
    </w:p>
    <w:p w:rsidR="002014CA" w:rsidRPr="00E10347" w:rsidRDefault="002014CA" w:rsidP="00E10347">
      <w:pPr>
        <w:pStyle w:val="Predeterminado"/>
        <w:spacing w:after="0" w:line="240" w:lineRule="auto"/>
        <w:jc w:val="both"/>
        <w:rPr>
          <w:rFonts w:ascii="Palatino Linotype" w:hAnsi="Palatino Linotype" w:cs="Arial"/>
          <w:color w:val="auto"/>
          <w:sz w:val="21"/>
          <w:szCs w:val="21"/>
          <w:lang w:val="en-US"/>
        </w:rPr>
      </w:pPr>
      <w:r w:rsidRPr="00E10347">
        <w:rPr>
          <w:rFonts w:ascii="Palatino Linotype" w:hAnsi="Palatino Linotype" w:cs="Arial"/>
          <w:color w:val="auto"/>
          <w:sz w:val="21"/>
          <w:szCs w:val="21"/>
          <w:lang w:val="en-US"/>
        </w:rPr>
        <w:t xml:space="preserve">Landrock, Gisela, </w:t>
      </w:r>
      <w:r w:rsidRPr="00E10347">
        <w:rPr>
          <w:rFonts w:ascii="Palatino Linotype" w:hAnsi="Palatino Linotype" w:cs="Arial"/>
          <w:b/>
          <w:color w:val="auto"/>
          <w:sz w:val="21"/>
          <w:szCs w:val="21"/>
          <w:lang w:val="en-US"/>
        </w:rPr>
        <w:t>Das Produkthaftungsrecht im Lichte neuerer Gesetzgebung und Rechtsprechung,</w:t>
      </w:r>
      <w:r w:rsidRPr="00E10347">
        <w:rPr>
          <w:rFonts w:ascii="Palatino Linotype" w:hAnsi="Palatino Linotype" w:cs="Arial"/>
          <w:color w:val="auto"/>
          <w:sz w:val="21"/>
          <w:szCs w:val="21"/>
          <w:lang w:val="en-US"/>
        </w:rPr>
        <w:t xml:space="preserve"> JA 2003.</w:t>
      </w: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Lasarte Alvarez, Carlos, </w:t>
      </w:r>
      <w:r w:rsidRPr="00E10347">
        <w:rPr>
          <w:rFonts w:ascii="Palatino Linotype" w:hAnsi="Palatino Linotype" w:cs="Arial"/>
          <w:b/>
          <w:bCs/>
          <w:color w:val="auto"/>
          <w:sz w:val="21"/>
          <w:szCs w:val="21"/>
        </w:rPr>
        <w:t>Manual sobre protección de consumidores y usuarios</w:t>
      </w:r>
      <w:r w:rsidRPr="00E10347">
        <w:rPr>
          <w:rFonts w:ascii="Palatino Linotype" w:hAnsi="Palatino Linotype" w:cs="Arial"/>
          <w:color w:val="auto"/>
          <w:sz w:val="21"/>
          <w:szCs w:val="21"/>
        </w:rPr>
        <w:t xml:space="preserve">, 5. ed., 2013. </w:t>
      </w: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Lenz, Tobias, </w:t>
      </w:r>
      <w:r w:rsidRPr="00E10347">
        <w:rPr>
          <w:rFonts w:ascii="Palatino Linotype" w:hAnsi="Palatino Linotype" w:cs="Arial"/>
          <w:b/>
          <w:color w:val="auto"/>
          <w:sz w:val="21"/>
          <w:szCs w:val="21"/>
        </w:rPr>
        <w:t>Produkthaftung</w:t>
      </w:r>
      <w:r w:rsidRPr="00E10347">
        <w:rPr>
          <w:rFonts w:ascii="Palatino Linotype" w:hAnsi="Palatino Linotype" w:cs="Arial"/>
          <w:color w:val="auto"/>
          <w:sz w:val="21"/>
          <w:szCs w:val="21"/>
        </w:rPr>
        <w:t>, 2014.</w:t>
      </w: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López Casal, Yuri. </w:t>
      </w:r>
      <w:r w:rsidRPr="00E10347">
        <w:rPr>
          <w:rFonts w:ascii="Palatino Linotype" w:hAnsi="Palatino Linotype" w:cs="Arial"/>
          <w:b/>
          <w:color w:val="auto"/>
          <w:sz w:val="21"/>
          <w:szCs w:val="21"/>
        </w:rPr>
        <w:t>La responsabilidad civil</w:t>
      </w:r>
      <w:r w:rsidRPr="00E10347">
        <w:rPr>
          <w:rFonts w:ascii="Palatino Linotype" w:hAnsi="Palatino Linotype" w:cs="Arial"/>
          <w:color w:val="auto"/>
          <w:sz w:val="21"/>
          <w:szCs w:val="21"/>
        </w:rPr>
        <w:t xml:space="preserve">, 2014. </w:t>
      </w: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color w:val="auto"/>
          <w:sz w:val="21"/>
          <w:szCs w:val="21"/>
          <w:lang w:val="de-DE"/>
        </w:rPr>
        <w:t xml:space="preserve">Mantilla Espinosa, Fabricio y Ternera Barrios, Francisco. </w:t>
      </w:r>
      <w:r w:rsidRPr="00E10347">
        <w:rPr>
          <w:rFonts w:ascii="Palatino Linotype" w:hAnsi="Palatino Linotype" w:cs="Arial"/>
          <w:b/>
          <w:color w:val="auto"/>
          <w:sz w:val="21"/>
          <w:szCs w:val="21"/>
          <w:lang w:val="de-DE"/>
        </w:rPr>
        <w:t>El riesgo de desarrollo en la responsabilidad por productos del derecho colombiano</w:t>
      </w:r>
      <w:r w:rsidRPr="00E10347">
        <w:rPr>
          <w:rFonts w:ascii="Palatino Linotype" w:hAnsi="Palatino Linotype" w:cs="Arial"/>
          <w:color w:val="auto"/>
          <w:sz w:val="21"/>
          <w:szCs w:val="21"/>
          <w:lang w:val="de-DE"/>
        </w:rPr>
        <w:t xml:space="preserve">. En: Revista Ius et Praxis, Año 20, No. 1, 2014, páginas 39 a 66. </w:t>
      </w: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Meyer, Justus, </w:t>
      </w:r>
      <w:r w:rsidRPr="00E10347">
        <w:rPr>
          <w:rFonts w:ascii="Palatino Linotype" w:hAnsi="Palatino Linotype" w:cs="Arial"/>
          <w:b/>
          <w:color w:val="auto"/>
          <w:sz w:val="21"/>
          <w:szCs w:val="21"/>
        </w:rPr>
        <w:t>Instruktionshaftung</w:t>
      </w:r>
      <w:r w:rsidRPr="00E10347">
        <w:rPr>
          <w:rFonts w:ascii="Palatino Linotype" w:hAnsi="Palatino Linotype" w:cs="Arial"/>
          <w:color w:val="auto"/>
          <w:sz w:val="21"/>
          <w:szCs w:val="21"/>
        </w:rPr>
        <w:t>, 1992.</w:t>
      </w: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Michalski, Lutz, </w:t>
      </w:r>
      <w:r w:rsidRPr="00E10347">
        <w:rPr>
          <w:rFonts w:ascii="Palatino Linotype" w:hAnsi="Palatino Linotype" w:cs="Arial"/>
          <w:b/>
          <w:color w:val="auto"/>
          <w:sz w:val="21"/>
          <w:szCs w:val="21"/>
        </w:rPr>
        <w:t>Das Produkthaftungsgesetz,</w:t>
      </w:r>
      <w:r w:rsidRPr="00E10347">
        <w:rPr>
          <w:rFonts w:ascii="Palatino Linotype" w:hAnsi="Palatino Linotype" w:cs="Arial"/>
          <w:color w:val="auto"/>
          <w:sz w:val="21"/>
          <w:szCs w:val="21"/>
        </w:rPr>
        <w:t xml:space="preserve"> Jura 1995.</w:t>
      </w: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Parra Lucán, Ma. Angeles, </w:t>
      </w:r>
      <w:r w:rsidRPr="00E10347">
        <w:rPr>
          <w:rFonts w:ascii="Palatino Linotype" w:hAnsi="Palatino Linotype" w:cs="Arial"/>
          <w:b/>
          <w:bCs/>
          <w:color w:val="auto"/>
          <w:sz w:val="21"/>
          <w:szCs w:val="21"/>
        </w:rPr>
        <w:t>La protección del consumidor frente a los daños. Responsabilidad civil del fabricante y del prestador de servicios</w:t>
      </w:r>
      <w:r w:rsidRPr="00E10347">
        <w:rPr>
          <w:rFonts w:ascii="Palatino Linotype" w:hAnsi="Palatino Linotype" w:cs="Arial"/>
          <w:color w:val="auto"/>
          <w:sz w:val="21"/>
          <w:szCs w:val="21"/>
        </w:rPr>
        <w:t xml:space="preserve">, 2011. </w:t>
      </w: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Pott/Frieling, </w:t>
      </w:r>
      <w:r w:rsidRPr="00E10347">
        <w:rPr>
          <w:rFonts w:ascii="Palatino Linotype" w:hAnsi="Palatino Linotype" w:cs="Arial"/>
          <w:b/>
          <w:color w:val="auto"/>
          <w:sz w:val="21"/>
          <w:szCs w:val="21"/>
        </w:rPr>
        <w:t>Produkthaftungsgesetz. Kommentar</w:t>
      </w:r>
      <w:r w:rsidRPr="00E10347">
        <w:rPr>
          <w:rFonts w:ascii="Palatino Linotype" w:hAnsi="Palatino Linotype" w:cs="Arial"/>
          <w:color w:val="auto"/>
          <w:sz w:val="21"/>
          <w:szCs w:val="21"/>
        </w:rPr>
        <w:t>, 1992.</w:t>
      </w: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Reinicke/Tiedtke, </w:t>
      </w:r>
      <w:r w:rsidRPr="00E10347">
        <w:rPr>
          <w:rFonts w:ascii="Palatino Linotype" w:hAnsi="Palatino Linotype" w:cs="Arial"/>
          <w:b/>
          <w:color w:val="auto"/>
          <w:sz w:val="21"/>
          <w:szCs w:val="21"/>
        </w:rPr>
        <w:t>Kaufrecht,</w:t>
      </w:r>
      <w:r w:rsidRPr="00E10347">
        <w:rPr>
          <w:rFonts w:ascii="Palatino Linotype" w:hAnsi="Palatino Linotype" w:cs="Arial"/>
          <w:color w:val="auto"/>
          <w:sz w:val="21"/>
          <w:szCs w:val="21"/>
        </w:rPr>
        <w:t xml:space="preserve"> 7. Auflage, 2004. </w:t>
      </w: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color w:val="auto"/>
          <w:sz w:val="21"/>
          <w:szCs w:val="21"/>
        </w:rPr>
        <w:lastRenderedPageBreak/>
        <w:t xml:space="preserve">Salvador Coderch, Pablo y Gómez Pomar, Fernando. </w:t>
      </w:r>
      <w:r w:rsidRPr="00E10347">
        <w:rPr>
          <w:rFonts w:ascii="Palatino Linotype" w:hAnsi="Palatino Linotype" w:cs="Arial"/>
          <w:b/>
          <w:color w:val="auto"/>
          <w:sz w:val="21"/>
          <w:szCs w:val="21"/>
        </w:rPr>
        <w:t>Tratado de responsabilidad civil del fabricante</w:t>
      </w:r>
      <w:r w:rsidRPr="00E10347">
        <w:rPr>
          <w:rFonts w:ascii="Palatino Linotype" w:hAnsi="Palatino Linotype" w:cs="Arial"/>
          <w:color w:val="auto"/>
          <w:sz w:val="21"/>
          <w:szCs w:val="21"/>
        </w:rPr>
        <w:t>, 2008.</w:t>
      </w: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Salvador Coderch, Pablo y otros. </w:t>
      </w:r>
      <w:r w:rsidRPr="00E10347">
        <w:rPr>
          <w:rFonts w:ascii="Palatino Linotype" w:hAnsi="Palatino Linotype" w:cs="Arial"/>
          <w:b/>
          <w:bCs/>
          <w:color w:val="auto"/>
          <w:sz w:val="21"/>
          <w:szCs w:val="21"/>
        </w:rPr>
        <w:t>Daños tardíos. Avite c. Grünenthal. Comentario a la SJPI No. 90, Madrid, 19.11.2013 sobre los daños causados por la talidomida</w:t>
      </w:r>
      <w:r w:rsidRPr="00E10347">
        <w:rPr>
          <w:rFonts w:ascii="Palatino Linotype" w:hAnsi="Palatino Linotype" w:cs="Arial"/>
          <w:color w:val="auto"/>
          <w:sz w:val="21"/>
          <w:szCs w:val="21"/>
        </w:rPr>
        <w:t>. En: InDret 1/2014 (</w:t>
      </w:r>
      <w:hyperlink r:id="rId44" w:history="1">
        <w:r w:rsidRPr="00E10347">
          <w:rPr>
            <w:rStyle w:val="Hipervnculo"/>
            <w:rFonts w:ascii="Palatino Linotype" w:hAnsi="Palatino Linotype" w:cs="Arial"/>
            <w:color w:val="auto"/>
            <w:sz w:val="21"/>
            <w:szCs w:val="21"/>
          </w:rPr>
          <w:t>www.indret.com</w:t>
        </w:r>
      </w:hyperlink>
      <w:r w:rsidRPr="00E10347">
        <w:rPr>
          <w:rFonts w:ascii="Palatino Linotype" w:hAnsi="Palatino Linotype" w:cs="Arial"/>
          <w:color w:val="auto"/>
          <w:sz w:val="21"/>
          <w:szCs w:val="21"/>
        </w:rPr>
        <w:t>).</w:t>
      </w:r>
    </w:p>
    <w:p w:rsidR="002014CA" w:rsidRPr="00E10347" w:rsidRDefault="002014CA" w:rsidP="00E10347">
      <w:pPr>
        <w:pStyle w:val="Predeterminado"/>
        <w:spacing w:after="0" w:line="240" w:lineRule="auto"/>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Schmidt-Salzer, Joachim, </w:t>
      </w:r>
      <w:r w:rsidRPr="00E10347">
        <w:rPr>
          <w:rFonts w:ascii="Palatino Linotype" w:hAnsi="Palatino Linotype" w:cs="Arial"/>
          <w:b/>
          <w:color w:val="auto"/>
          <w:sz w:val="21"/>
          <w:szCs w:val="21"/>
        </w:rPr>
        <w:t>Die neuen Dimensionen des Produktrisikos</w:t>
      </w:r>
      <w:r w:rsidRPr="00E10347">
        <w:rPr>
          <w:rFonts w:ascii="Palatino Linotype" w:hAnsi="Palatino Linotype" w:cs="Arial"/>
          <w:color w:val="auto"/>
          <w:sz w:val="21"/>
          <w:szCs w:val="21"/>
        </w:rPr>
        <w:t xml:space="preserve">, BB 1980. </w:t>
      </w:r>
    </w:p>
    <w:p w:rsidR="002014CA" w:rsidRPr="00E10347" w:rsidRDefault="002014CA" w:rsidP="00E10347">
      <w:pPr>
        <w:pStyle w:val="Predeterminado"/>
        <w:spacing w:after="0" w:line="240" w:lineRule="auto"/>
        <w:jc w:val="both"/>
        <w:rPr>
          <w:rFonts w:ascii="Palatino Linotype" w:hAnsi="Palatino Linotype" w:cs="Arial"/>
          <w:color w:val="auto"/>
          <w:sz w:val="21"/>
          <w:szCs w:val="21"/>
          <w:lang w:val="en-US"/>
        </w:rPr>
      </w:pPr>
      <w:r w:rsidRPr="00E10347">
        <w:rPr>
          <w:rFonts w:ascii="Palatino Linotype" w:hAnsi="Palatino Linotype" w:cs="Arial"/>
          <w:color w:val="auto"/>
          <w:sz w:val="21"/>
          <w:szCs w:val="21"/>
          <w:lang w:val="en-US"/>
        </w:rPr>
        <w:t xml:space="preserve">Sossna, Ralf-Peter, </w:t>
      </w:r>
      <w:r w:rsidRPr="00E10347">
        <w:rPr>
          <w:rFonts w:ascii="Palatino Linotype" w:hAnsi="Palatino Linotype" w:cs="Arial"/>
          <w:b/>
          <w:color w:val="auto"/>
          <w:sz w:val="21"/>
          <w:szCs w:val="21"/>
          <w:lang w:val="en-US"/>
        </w:rPr>
        <w:t>Die Rechtsprechung des BGH zur Produkthaftung</w:t>
      </w:r>
      <w:r w:rsidRPr="00E10347">
        <w:rPr>
          <w:rFonts w:ascii="Palatino Linotype" w:hAnsi="Palatino Linotype" w:cs="Arial"/>
          <w:color w:val="auto"/>
          <w:sz w:val="21"/>
          <w:szCs w:val="21"/>
          <w:lang w:val="en-US"/>
        </w:rPr>
        <w:t>, Jura 1996.</w:t>
      </w:r>
    </w:p>
    <w:p w:rsidR="002014CA" w:rsidRPr="00E10347" w:rsidRDefault="002014CA" w:rsidP="00E10347">
      <w:pPr>
        <w:pStyle w:val="Predeterminado"/>
        <w:spacing w:after="0" w:line="240" w:lineRule="auto"/>
        <w:jc w:val="both"/>
        <w:rPr>
          <w:rFonts w:ascii="Palatino Linotype" w:hAnsi="Palatino Linotype" w:cs="Arial"/>
          <w:color w:val="auto"/>
          <w:sz w:val="21"/>
          <w:szCs w:val="21"/>
          <w:lang w:val="en-US"/>
        </w:rPr>
      </w:pPr>
      <w:r w:rsidRPr="00E10347">
        <w:rPr>
          <w:rFonts w:ascii="Palatino Linotype" w:hAnsi="Palatino Linotype" w:cs="Arial"/>
          <w:color w:val="auto"/>
          <w:sz w:val="21"/>
          <w:szCs w:val="21"/>
          <w:lang w:val="en-US"/>
        </w:rPr>
        <w:t xml:space="preserve">Taschner Hans Claudius/Frietsch, Edwin, </w:t>
      </w:r>
      <w:r w:rsidRPr="00E10347">
        <w:rPr>
          <w:rFonts w:ascii="Palatino Linotype" w:hAnsi="Palatino Linotype" w:cs="Arial"/>
          <w:b/>
          <w:color w:val="auto"/>
          <w:sz w:val="21"/>
          <w:szCs w:val="21"/>
          <w:lang w:val="en-US"/>
        </w:rPr>
        <w:t>Produkthaftungsgesetz und EG-Produkthaftungsrichtlinie</w:t>
      </w:r>
      <w:r w:rsidRPr="00E10347">
        <w:rPr>
          <w:rFonts w:ascii="Palatino Linotype" w:hAnsi="Palatino Linotype" w:cs="Arial"/>
          <w:color w:val="auto"/>
          <w:sz w:val="21"/>
          <w:szCs w:val="21"/>
          <w:lang w:val="en-US"/>
        </w:rPr>
        <w:t>, 2. Auflage, 1990.</w:t>
      </w:r>
    </w:p>
    <w:p w:rsidR="002014CA" w:rsidRPr="00E10347" w:rsidRDefault="002014CA" w:rsidP="00E10347">
      <w:pPr>
        <w:pStyle w:val="Predeterminado"/>
        <w:spacing w:after="0" w:line="240" w:lineRule="auto"/>
        <w:jc w:val="both"/>
        <w:rPr>
          <w:rFonts w:ascii="Palatino Linotype" w:hAnsi="Palatino Linotype" w:cs="Arial"/>
          <w:color w:val="auto"/>
          <w:sz w:val="21"/>
          <w:szCs w:val="21"/>
          <w:lang w:val="en-US"/>
        </w:rPr>
      </w:pPr>
      <w:r w:rsidRPr="00E10347">
        <w:rPr>
          <w:rFonts w:ascii="Palatino Linotype" w:hAnsi="Palatino Linotype" w:cs="Arial"/>
          <w:color w:val="auto"/>
          <w:sz w:val="21"/>
          <w:szCs w:val="21"/>
          <w:lang w:val="en-US"/>
        </w:rPr>
        <w:t xml:space="preserve">von Hippel, Eike, </w:t>
      </w:r>
      <w:r w:rsidRPr="00E10347">
        <w:rPr>
          <w:rFonts w:ascii="Palatino Linotype" w:hAnsi="Palatino Linotype" w:cs="Arial"/>
          <w:b/>
          <w:color w:val="auto"/>
          <w:sz w:val="21"/>
          <w:szCs w:val="21"/>
          <w:lang w:val="en-US"/>
        </w:rPr>
        <w:t>Produkthaftung und Verbraucherschutz,</w:t>
      </w:r>
      <w:r w:rsidRPr="00E10347">
        <w:rPr>
          <w:rFonts w:ascii="Palatino Linotype" w:hAnsi="Palatino Linotype" w:cs="Arial"/>
          <w:color w:val="auto"/>
          <w:sz w:val="21"/>
          <w:szCs w:val="21"/>
          <w:lang w:val="en-US"/>
        </w:rPr>
        <w:t xml:space="preserve"> BB 1978.</w:t>
      </w:r>
    </w:p>
    <w:p w:rsidR="002014CA" w:rsidRPr="00E10347" w:rsidRDefault="002014CA" w:rsidP="00E10347">
      <w:pPr>
        <w:pStyle w:val="Predeterminado"/>
        <w:spacing w:after="0" w:line="240" w:lineRule="auto"/>
        <w:jc w:val="both"/>
        <w:rPr>
          <w:rFonts w:ascii="Palatino Linotype" w:hAnsi="Palatino Linotype" w:cs="Arial"/>
          <w:color w:val="auto"/>
          <w:sz w:val="21"/>
          <w:szCs w:val="21"/>
          <w:lang w:val="en-US"/>
        </w:rPr>
      </w:pPr>
      <w:r w:rsidRPr="00E10347">
        <w:rPr>
          <w:rFonts w:ascii="Palatino Linotype" w:hAnsi="Palatino Linotype" w:cs="Arial"/>
          <w:color w:val="auto"/>
          <w:sz w:val="21"/>
          <w:szCs w:val="21"/>
          <w:lang w:val="en-US"/>
        </w:rPr>
        <w:t xml:space="preserve">Wieckhorst, Thomas, </w:t>
      </w:r>
      <w:r w:rsidRPr="00E10347">
        <w:rPr>
          <w:rFonts w:ascii="Palatino Linotype" w:hAnsi="Palatino Linotype" w:cs="Arial"/>
          <w:b/>
          <w:color w:val="auto"/>
          <w:sz w:val="21"/>
          <w:szCs w:val="21"/>
          <w:lang w:val="en-US"/>
        </w:rPr>
        <w:t>Von Produzentenfehler zum Produktfehler des § 3 ProdHaftG</w:t>
      </w:r>
      <w:r w:rsidRPr="00E10347">
        <w:rPr>
          <w:rFonts w:ascii="Palatino Linotype" w:hAnsi="Palatino Linotype" w:cs="Arial"/>
          <w:color w:val="auto"/>
          <w:sz w:val="21"/>
          <w:szCs w:val="21"/>
          <w:lang w:val="en-US"/>
        </w:rPr>
        <w:t>, VersR 95.</w:t>
      </w:r>
    </w:p>
    <w:p w:rsidR="00C72A23" w:rsidRDefault="002014CA" w:rsidP="00C72A23">
      <w:pPr>
        <w:pStyle w:val="Predeterminado"/>
        <w:spacing w:after="0" w:line="240" w:lineRule="auto"/>
        <w:jc w:val="both"/>
        <w:rPr>
          <w:rFonts w:ascii="Palatino Linotype" w:hAnsi="Palatino Linotype" w:cs="Arial"/>
          <w:color w:val="auto"/>
          <w:sz w:val="21"/>
          <w:szCs w:val="21"/>
          <w:lang w:val="en-US"/>
        </w:rPr>
        <w:sectPr w:rsidR="00C72A23" w:rsidSect="00FC1DF6">
          <w:headerReference w:type="even" r:id="rId45"/>
          <w:headerReference w:type="default" r:id="rId46"/>
          <w:type w:val="oddPage"/>
          <w:pgSz w:w="12240" w:h="15840" w:code="1"/>
          <w:pgMar w:top="1667" w:right="851" w:bottom="4253" w:left="3686" w:header="1021" w:footer="3005" w:gutter="0"/>
          <w:cols w:space="708"/>
          <w:titlePg/>
          <w:docGrid w:linePitch="360"/>
        </w:sectPr>
      </w:pPr>
      <w:r w:rsidRPr="00E10347">
        <w:rPr>
          <w:rFonts w:ascii="Palatino Linotype" w:hAnsi="Palatino Linotype" w:cs="Arial"/>
          <w:color w:val="auto"/>
          <w:sz w:val="21"/>
          <w:szCs w:val="21"/>
          <w:lang w:val="en-US"/>
        </w:rPr>
        <w:t xml:space="preserve">Wieckhorst, Thomas, Bisherige </w:t>
      </w:r>
      <w:r w:rsidRPr="00E10347">
        <w:rPr>
          <w:rFonts w:ascii="Palatino Linotype" w:hAnsi="Palatino Linotype" w:cs="Arial"/>
          <w:b/>
          <w:color w:val="auto"/>
          <w:sz w:val="21"/>
          <w:szCs w:val="21"/>
          <w:lang w:val="en-US"/>
        </w:rPr>
        <w:t>Produzentenhaftung, EG-Produkthaftungsrichtlinie und das neue Produkhaftungsgesetz,</w:t>
      </w:r>
      <w:r w:rsidRPr="00E10347">
        <w:rPr>
          <w:rFonts w:ascii="Palatino Linotype" w:hAnsi="Palatino Linotype" w:cs="Arial"/>
          <w:color w:val="auto"/>
          <w:sz w:val="21"/>
          <w:szCs w:val="21"/>
          <w:lang w:val="en-US"/>
        </w:rPr>
        <w:t xml:space="preserve"> JuS 1990.</w:t>
      </w:r>
    </w:p>
    <w:p w:rsidR="00A22DC1" w:rsidRPr="00003A48" w:rsidRDefault="00C72A23" w:rsidP="00C72A23">
      <w:pPr>
        <w:pStyle w:val="Predeterminado"/>
        <w:spacing w:after="0" w:line="240" w:lineRule="auto"/>
        <w:jc w:val="both"/>
        <w:rPr>
          <w:rFonts w:ascii="Palatino Linotype" w:hAnsi="Palatino Linotype"/>
          <w:b/>
          <w:sz w:val="21"/>
          <w:szCs w:val="21"/>
          <w:lang w:val="en-US"/>
        </w:rPr>
      </w:pPr>
      <w:r w:rsidRPr="00003A48">
        <w:rPr>
          <w:rFonts w:ascii="Palatino Linotype" w:hAnsi="Palatino Linotype"/>
          <w:b/>
          <w:sz w:val="21"/>
          <w:szCs w:val="21"/>
          <w:lang w:val="en-US"/>
        </w:rPr>
        <w:lastRenderedPageBreak/>
        <w:t xml:space="preserve"> </w:t>
      </w:r>
    </w:p>
    <w:p w:rsidR="00A22DC1" w:rsidRPr="00E10347" w:rsidRDefault="00A22DC1" w:rsidP="00E10347">
      <w:pPr>
        <w:jc w:val="center"/>
        <w:rPr>
          <w:rFonts w:ascii="Palatino Linotype" w:hAnsi="Palatino Linotype"/>
          <w:b/>
          <w:sz w:val="21"/>
          <w:szCs w:val="21"/>
        </w:rPr>
      </w:pPr>
      <w:bookmarkStart w:id="60" w:name="_Hlk479196944"/>
      <w:r w:rsidRPr="00E10347">
        <w:rPr>
          <w:rFonts w:ascii="Palatino Linotype" w:hAnsi="Palatino Linotype"/>
          <w:b/>
          <w:sz w:val="21"/>
          <w:szCs w:val="21"/>
        </w:rPr>
        <w:t>EL INSTRUMENTO PÚBLICO: LOS DOCUMENTOS NOTARIALES.</w:t>
      </w:r>
    </w:p>
    <w:p w:rsidR="00A22DC1" w:rsidRPr="00E10347" w:rsidRDefault="00A22DC1" w:rsidP="00E10347">
      <w:pPr>
        <w:jc w:val="center"/>
        <w:rPr>
          <w:rFonts w:ascii="Palatino Linotype" w:hAnsi="Palatino Linotype"/>
          <w:b/>
          <w:sz w:val="21"/>
          <w:szCs w:val="21"/>
        </w:rPr>
      </w:pPr>
      <w:r w:rsidRPr="00E10347">
        <w:rPr>
          <w:rFonts w:ascii="Palatino Linotype" w:hAnsi="Palatino Linotype"/>
          <w:b/>
          <w:sz w:val="21"/>
          <w:szCs w:val="21"/>
        </w:rPr>
        <w:t>Análisis comparativo de la legislación vigente al Nuevo Código Procesal Civil.</w:t>
      </w:r>
    </w:p>
    <w:p w:rsidR="00A22DC1" w:rsidRPr="00E10347" w:rsidRDefault="00A22DC1" w:rsidP="00E10347">
      <w:pPr>
        <w:jc w:val="both"/>
        <w:rPr>
          <w:rFonts w:ascii="Palatino Linotype" w:hAnsi="Palatino Linotype"/>
          <w:sz w:val="21"/>
          <w:szCs w:val="21"/>
        </w:rPr>
      </w:pPr>
    </w:p>
    <w:p w:rsidR="00A22DC1" w:rsidRDefault="00A22DC1" w:rsidP="00C72A23">
      <w:pPr>
        <w:ind w:left="2832" w:firstLine="708"/>
        <w:jc w:val="center"/>
        <w:rPr>
          <w:rFonts w:ascii="Palatino Linotype" w:hAnsi="Palatino Linotype"/>
          <w:b/>
          <w:sz w:val="21"/>
          <w:szCs w:val="21"/>
        </w:rPr>
      </w:pPr>
      <w:r w:rsidRPr="00E10347">
        <w:rPr>
          <w:rFonts w:ascii="Palatino Linotype" w:hAnsi="Palatino Linotype"/>
          <w:b/>
          <w:sz w:val="21"/>
          <w:szCs w:val="21"/>
        </w:rPr>
        <w:t>Dr. Herman Mora</w:t>
      </w:r>
      <w:bookmarkEnd w:id="60"/>
    </w:p>
    <w:p w:rsidR="00A05EF6" w:rsidRDefault="00A05EF6" w:rsidP="00A05EF6">
      <w:pPr>
        <w:rPr>
          <w:rFonts w:ascii="Palatino Linotype" w:hAnsi="Palatino Linotype"/>
          <w:b/>
          <w:sz w:val="21"/>
          <w:szCs w:val="21"/>
        </w:rPr>
      </w:pPr>
    </w:p>
    <w:p w:rsidR="00A05EF6" w:rsidRPr="00E10347" w:rsidRDefault="00A05EF6" w:rsidP="00A05EF6">
      <w:pPr>
        <w:rPr>
          <w:rFonts w:ascii="Palatino Linotype" w:hAnsi="Palatino Linotype"/>
          <w:b/>
          <w:sz w:val="21"/>
          <w:szCs w:val="21"/>
        </w:rPr>
      </w:pPr>
      <w:r w:rsidRPr="00D1279A">
        <w:rPr>
          <w:rFonts w:ascii="Palatino Linotype" w:hAnsi="Palatino Linotype"/>
          <w:sz w:val="21"/>
          <w:szCs w:val="21"/>
        </w:rPr>
        <w:t>SUMARIO:  1.- Los documentos públicos y privados como medios de prueba.  2.- El documento público en el vigente el Código Procesal Civil.  3.- El documento público en el nuevo Código Procesal Civil.</w:t>
      </w:r>
    </w:p>
    <w:p w:rsidR="00A22DC1" w:rsidRPr="00E10347" w:rsidRDefault="00A22DC1" w:rsidP="00E10347">
      <w:pPr>
        <w:jc w:val="both"/>
        <w:rPr>
          <w:rFonts w:ascii="Palatino Linotype" w:hAnsi="Palatino Linotype"/>
          <w:b/>
          <w:sz w:val="21"/>
          <w:szCs w:val="21"/>
        </w:rPr>
      </w:pP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Corresponde referirme a la prueba en el proceso disciplinario notarial. Para lo cual haré mención, a mi juicio indispensable, acerca de la prueba notarial, especialmente la prueba reina cual es, desde la óptica notarial, el instrumento público.</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Tradicionalmente entendido como la escritura pública. El instrumentos publico incluye dos “</w:t>
      </w:r>
      <w:r w:rsidRPr="00E10347">
        <w:rPr>
          <w:rFonts w:ascii="Palatino Linotype" w:hAnsi="Palatino Linotype"/>
          <w:i/>
          <w:sz w:val="21"/>
          <w:szCs w:val="21"/>
        </w:rPr>
        <w:t>hijas</w:t>
      </w:r>
      <w:r w:rsidRPr="00E10347">
        <w:rPr>
          <w:rFonts w:ascii="Palatino Linotype" w:hAnsi="Palatino Linotype"/>
          <w:sz w:val="21"/>
          <w:szCs w:val="21"/>
        </w:rPr>
        <w:t>” no tan reconocidas sino mas bien menores, que son el acta notarial y la protocolización. Sin embargo, siempre se ha tenido como paralelismo y como casi un sinónimo a la escritura pública con el instrumento público.</w:t>
      </w:r>
    </w:p>
    <w:p w:rsidR="00A22DC1" w:rsidRPr="00E10347" w:rsidRDefault="00A22DC1" w:rsidP="00CA49F0">
      <w:pPr>
        <w:ind w:firstLine="360"/>
        <w:jc w:val="both"/>
        <w:rPr>
          <w:rFonts w:ascii="Palatino Linotype" w:hAnsi="Palatino Linotype"/>
          <w:sz w:val="21"/>
          <w:szCs w:val="21"/>
        </w:rPr>
      </w:pPr>
      <w:r w:rsidRPr="00E10347">
        <w:rPr>
          <w:rFonts w:ascii="Palatino Linotype" w:hAnsi="Palatino Linotype"/>
          <w:sz w:val="21"/>
          <w:szCs w:val="21"/>
        </w:rPr>
        <w:t>Por considerarlo conveniente procederemos a realizar un análisis del mismo.</w:t>
      </w:r>
    </w:p>
    <w:p w:rsidR="00A22DC1" w:rsidRPr="00E10347" w:rsidRDefault="00A22DC1" w:rsidP="00E10347">
      <w:pPr>
        <w:jc w:val="both"/>
        <w:rPr>
          <w:rFonts w:ascii="Palatino Linotype" w:hAnsi="Palatino Linotype"/>
          <w:sz w:val="21"/>
          <w:szCs w:val="21"/>
        </w:rPr>
      </w:pP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 xml:space="preserve">El código notarial cuenta con una norma supletoria, este es el Código Procesal Civil, en lo referente y especialmente al procedimiento disciplinario. Siendo como es, que el origen “genético” del procedimiento disciplinario es el derecho administrativo sancionador, por lo que se concluye que el procedimiento sancionador o disciplinario contra los notarios tiene condiciones o características particulares, revestidas de una condición </w:t>
      </w:r>
      <w:r w:rsidRPr="00E10347">
        <w:rPr>
          <w:rFonts w:ascii="Palatino Linotype" w:hAnsi="Palatino Linotype"/>
          <w:i/>
          <w:sz w:val="21"/>
          <w:szCs w:val="21"/>
        </w:rPr>
        <w:t>sui generis</w:t>
      </w:r>
      <w:r w:rsidRPr="00E10347">
        <w:rPr>
          <w:rFonts w:ascii="Palatino Linotype" w:hAnsi="Palatino Linotype"/>
          <w:sz w:val="21"/>
          <w:szCs w:val="21"/>
        </w:rPr>
        <w:t>. Por lo que lo explicamos a continuación:</w:t>
      </w:r>
    </w:p>
    <w:p w:rsidR="00A22DC1" w:rsidRPr="00E10347" w:rsidRDefault="00A22DC1" w:rsidP="00E10347">
      <w:pPr>
        <w:ind w:firstLine="360"/>
        <w:jc w:val="both"/>
        <w:rPr>
          <w:rFonts w:ascii="Palatino Linotype" w:hAnsi="Palatino Linotype"/>
          <w:sz w:val="21"/>
          <w:szCs w:val="21"/>
        </w:rPr>
      </w:pPr>
    </w:p>
    <w:p w:rsidR="00A22DC1" w:rsidRPr="00E10347" w:rsidRDefault="00A22DC1" w:rsidP="00E83320">
      <w:pPr>
        <w:pStyle w:val="Prrafodelista"/>
        <w:widowControl/>
        <w:numPr>
          <w:ilvl w:val="0"/>
          <w:numId w:val="36"/>
        </w:numPr>
        <w:autoSpaceDE/>
        <w:autoSpaceDN/>
        <w:adjustRightInd/>
        <w:jc w:val="both"/>
        <w:rPr>
          <w:rFonts w:ascii="Palatino Linotype" w:hAnsi="Palatino Linotype"/>
          <w:sz w:val="21"/>
          <w:szCs w:val="21"/>
        </w:rPr>
      </w:pPr>
      <w:r w:rsidRPr="00E10347">
        <w:rPr>
          <w:rFonts w:ascii="Palatino Linotype" w:hAnsi="Palatino Linotype"/>
          <w:sz w:val="21"/>
          <w:szCs w:val="21"/>
        </w:rPr>
        <w:t xml:space="preserve">Cuenta con un fuero especial, debido a su especial naturaleza, los notarios son juzgados por Tribunales especializados. Tal situación no se logra en otros países, ni en otras disciplinas, es decir que el órgano juzgador disciplinario sea de resorte jurisdiccional (de manera excepcional, en algunas países, se acude en alzada al órgano jurisdiccional, viniendo el asunto de la sede administrativa). Y esto lo que significa es que sigue dentro de la organización del Poder Judicial. Sería como suponer un juzgado para </w:t>
      </w:r>
      <w:r w:rsidRPr="00E10347">
        <w:rPr>
          <w:rFonts w:ascii="Palatino Linotype" w:hAnsi="Palatino Linotype"/>
          <w:sz w:val="21"/>
          <w:szCs w:val="21"/>
        </w:rPr>
        <w:lastRenderedPageBreak/>
        <w:t>odontólogos, o ingenieros. A suerte de condición especial, es el fuero Notarial.</w:t>
      </w:r>
    </w:p>
    <w:p w:rsidR="00A22DC1" w:rsidRPr="00E10347" w:rsidRDefault="00A22DC1" w:rsidP="00E83320">
      <w:pPr>
        <w:pStyle w:val="Prrafodelista"/>
        <w:widowControl/>
        <w:numPr>
          <w:ilvl w:val="0"/>
          <w:numId w:val="36"/>
        </w:numPr>
        <w:autoSpaceDE/>
        <w:autoSpaceDN/>
        <w:adjustRightInd/>
        <w:jc w:val="both"/>
        <w:rPr>
          <w:rFonts w:ascii="Palatino Linotype" w:hAnsi="Palatino Linotype"/>
          <w:sz w:val="21"/>
          <w:szCs w:val="21"/>
        </w:rPr>
      </w:pPr>
      <w:r w:rsidRPr="00E10347">
        <w:rPr>
          <w:rFonts w:ascii="Palatino Linotype" w:hAnsi="Palatino Linotype"/>
          <w:sz w:val="21"/>
          <w:szCs w:val="21"/>
        </w:rPr>
        <w:t>El procedimiento en si resulta con una mixtura que no puede contener elementos que lo hacen suponer como abreviados (plazos, etc.), el elenco de pretensiones (sanción del notario o resarcimiento económico) no da para tener una variedad de pretensiones. Es decir se quedaría como un proceso sumario desde esta óptica, debido a lo imitativo de sus pretensiones.</w:t>
      </w:r>
    </w:p>
    <w:p w:rsidR="00A22DC1" w:rsidRPr="00E10347" w:rsidRDefault="00A22DC1" w:rsidP="00E10347">
      <w:pPr>
        <w:ind w:firstLine="360"/>
        <w:jc w:val="both"/>
        <w:rPr>
          <w:rFonts w:ascii="Palatino Linotype" w:hAnsi="Palatino Linotype"/>
          <w:b/>
          <w:bCs/>
          <w:i/>
          <w:iCs/>
          <w:sz w:val="21"/>
          <w:szCs w:val="21"/>
        </w:rPr>
      </w:pPr>
      <w:r w:rsidRPr="00E10347">
        <w:rPr>
          <w:rFonts w:ascii="Palatino Linotype" w:hAnsi="Palatino Linotype"/>
          <w:b/>
          <w:bCs/>
          <w:i/>
          <w:iCs/>
          <w:sz w:val="21"/>
          <w:szCs w:val="21"/>
        </w:rPr>
        <w:t xml:space="preserve">“Hay tres aspectos esenciales para la constitución del fundamento de la responsabilidad del Notario. Estas serían: </w:t>
      </w:r>
    </w:p>
    <w:p w:rsidR="00A22DC1" w:rsidRPr="00E10347" w:rsidRDefault="00A22DC1" w:rsidP="00E10347">
      <w:pPr>
        <w:ind w:firstLine="360"/>
        <w:jc w:val="both"/>
        <w:rPr>
          <w:rFonts w:ascii="Palatino Linotype" w:hAnsi="Palatino Linotype"/>
          <w:b/>
          <w:bCs/>
          <w:i/>
          <w:iCs/>
          <w:sz w:val="21"/>
          <w:szCs w:val="21"/>
        </w:rPr>
      </w:pPr>
      <w:r w:rsidRPr="00E10347">
        <w:rPr>
          <w:rFonts w:ascii="Palatino Linotype" w:hAnsi="Palatino Linotype"/>
          <w:b/>
          <w:bCs/>
          <w:i/>
          <w:iCs/>
          <w:sz w:val="21"/>
          <w:szCs w:val="21"/>
        </w:rPr>
        <w:t xml:space="preserve">Primero: </w:t>
      </w:r>
      <w:r w:rsidRPr="00E10347">
        <w:rPr>
          <w:rFonts w:ascii="Palatino Linotype" w:hAnsi="Palatino Linotype"/>
          <w:bCs/>
          <w:iCs/>
          <w:sz w:val="21"/>
          <w:szCs w:val="21"/>
          <w:u w:val="single"/>
        </w:rPr>
        <w:t xml:space="preserve">Ejercer una función pública, dotada de fe pública </w:t>
      </w:r>
      <w:r w:rsidRPr="00E10347">
        <w:rPr>
          <w:rFonts w:ascii="Palatino Linotype" w:hAnsi="Palatino Linotype"/>
          <w:bCs/>
          <w:iCs/>
          <w:sz w:val="21"/>
          <w:szCs w:val="21"/>
        </w:rPr>
        <w:t>sin sujeción a alguna jerarquía.</w:t>
      </w:r>
      <w:r w:rsidRPr="00E10347">
        <w:rPr>
          <w:rFonts w:ascii="Palatino Linotype" w:hAnsi="Palatino Linotype"/>
          <w:b/>
          <w:bCs/>
          <w:i/>
          <w:iCs/>
          <w:sz w:val="21"/>
          <w:szCs w:val="21"/>
        </w:rPr>
        <w:t xml:space="preserve"> </w:t>
      </w:r>
    </w:p>
    <w:p w:rsidR="00A22DC1" w:rsidRPr="00E10347" w:rsidRDefault="00A22DC1" w:rsidP="00E10347">
      <w:pPr>
        <w:ind w:firstLine="360"/>
        <w:jc w:val="both"/>
        <w:rPr>
          <w:rFonts w:ascii="Palatino Linotype" w:hAnsi="Palatino Linotype"/>
          <w:b/>
          <w:bCs/>
          <w:i/>
          <w:iCs/>
          <w:sz w:val="21"/>
          <w:szCs w:val="21"/>
        </w:rPr>
      </w:pPr>
      <w:r w:rsidRPr="00E10347">
        <w:rPr>
          <w:rFonts w:ascii="Palatino Linotype" w:hAnsi="Palatino Linotype"/>
          <w:b/>
          <w:bCs/>
          <w:i/>
          <w:iCs/>
          <w:sz w:val="21"/>
          <w:szCs w:val="21"/>
        </w:rPr>
        <w:t xml:space="preserve">Segundo: </w:t>
      </w:r>
      <w:r w:rsidRPr="00E10347">
        <w:rPr>
          <w:rFonts w:ascii="Palatino Linotype" w:hAnsi="Palatino Linotype"/>
          <w:bCs/>
          <w:iCs/>
          <w:sz w:val="21"/>
          <w:szCs w:val="21"/>
        </w:rPr>
        <w:t>La importancia de su función</w:t>
      </w:r>
      <w:r w:rsidRPr="00E10347">
        <w:rPr>
          <w:rFonts w:ascii="Palatino Linotype" w:hAnsi="Palatino Linotype"/>
          <w:bCs/>
          <w:iCs/>
          <w:sz w:val="21"/>
          <w:szCs w:val="21"/>
          <w:u w:val="single"/>
        </w:rPr>
        <w:t xml:space="preserve"> en el tráfico económico -</w:t>
      </w:r>
      <w:r w:rsidRPr="00E10347">
        <w:rPr>
          <w:rFonts w:ascii="Palatino Linotype" w:hAnsi="Palatino Linotype"/>
          <w:bCs/>
          <w:iCs/>
          <w:sz w:val="21"/>
          <w:szCs w:val="21"/>
        </w:rPr>
        <w:t xml:space="preserve"> contractual. </w:t>
      </w:r>
    </w:p>
    <w:p w:rsidR="00A22DC1" w:rsidRPr="00E10347" w:rsidRDefault="00A22DC1" w:rsidP="00E10347">
      <w:pPr>
        <w:ind w:firstLine="360"/>
        <w:jc w:val="both"/>
        <w:rPr>
          <w:rFonts w:ascii="Palatino Linotype" w:hAnsi="Palatino Linotype"/>
          <w:b/>
          <w:bCs/>
          <w:i/>
          <w:iCs/>
          <w:sz w:val="21"/>
          <w:szCs w:val="21"/>
        </w:rPr>
      </w:pPr>
      <w:r w:rsidRPr="00E10347">
        <w:rPr>
          <w:rFonts w:ascii="Palatino Linotype" w:hAnsi="Palatino Linotype"/>
          <w:b/>
          <w:bCs/>
          <w:i/>
          <w:iCs/>
          <w:sz w:val="21"/>
          <w:szCs w:val="21"/>
        </w:rPr>
        <w:t xml:space="preserve">Tercero: </w:t>
      </w:r>
      <w:r w:rsidRPr="00E10347">
        <w:rPr>
          <w:rFonts w:ascii="Palatino Linotype" w:hAnsi="Palatino Linotype"/>
          <w:bCs/>
          <w:iCs/>
          <w:sz w:val="21"/>
          <w:szCs w:val="21"/>
        </w:rPr>
        <w:t xml:space="preserve">Su meta final </w:t>
      </w:r>
      <w:r w:rsidRPr="00E10347">
        <w:rPr>
          <w:rFonts w:ascii="Palatino Linotype" w:hAnsi="Palatino Linotype"/>
          <w:iCs/>
          <w:sz w:val="21"/>
          <w:szCs w:val="21"/>
        </w:rPr>
        <w:t xml:space="preserve">consiste en conferir </w:t>
      </w:r>
      <w:r w:rsidRPr="00E10347">
        <w:rPr>
          <w:rFonts w:ascii="Palatino Linotype" w:hAnsi="Palatino Linotype"/>
          <w:bCs/>
          <w:iCs/>
          <w:sz w:val="21"/>
          <w:szCs w:val="21"/>
        </w:rPr>
        <w:t>seguridad jurídica a los derechos subjetivos de los particulares. (La disciplinaria.)</w:t>
      </w:r>
      <w:r w:rsidRPr="00E10347">
        <w:rPr>
          <w:rFonts w:ascii="Palatino Linotype" w:hAnsi="Palatino Linotype"/>
          <w:sz w:val="21"/>
          <w:szCs w:val="21"/>
          <w:lang w:val="es-CR"/>
        </w:rPr>
        <w:t xml:space="preserve"> </w:t>
      </w:r>
      <w:r w:rsidRPr="00E10347">
        <w:rPr>
          <w:rFonts w:ascii="Palatino Linotype" w:hAnsi="Palatino Linotype"/>
          <w:sz w:val="21"/>
          <w:szCs w:val="21"/>
        </w:rPr>
        <w:t>Sala Primera Voto 397- F de las 9:30 del 11 de julio del 2003”</w:t>
      </w:r>
    </w:p>
    <w:p w:rsidR="00A22DC1" w:rsidRPr="00E10347" w:rsidRDefault="00A22DC1" w:rsidP="00E10347">
      <w:pPr>
        <w:ind w:left="360"/>
        <w:jc w:val="both"/>
        <w:rPr>
          <w:rFonts w:ascii="Palatino Linotype" w:hAnsi="Palatino Linotype"/>
          <w:sz w:val="21"/>
          <w:szCs w:val="21"/>
        </w:rPr>
      </w:pP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Siendo que como dijimos que cuenta como norma supletoria, la cual es Código procesal civil, lo que procede es analizarse lo relativo al instrumento público, siguiendo estas normas.</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Previo a esto conviene a entrar a analizar, lo referente a la carga de la prueba. Como ha sido tradicionalmente tratado, este principio implica que le corresponde probar a quién acusa los hechos (el nuevo C.P.C sugiere la prueba dinámica). Sin embargo, igual en el procedimiento notarial, la práctica, ha demostrado lo contrario bajo algunas consideraciones que serán explicadas.</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 xml:space="preserve">El artículo 167 del Código Notarial, en concreto señala lo siguiente: </w:t>
      </w:r>
    </w:p>
    <w:p w:rsidR="00A22DC1" w:rsidRPr="00E10347" w:rsidRDefault="00A22DC1" w:rsidP="00E10347">
      <w:pPr>
        <w:ind w:left="708"/>
        <w:jc w:val="both"/>
        <w:rPr>
          <w:rFonts w:ascii="Palatino Linotype" w:eastAsia="Times New Roman" w:hAnsi="Palatino Linotype"/>
          <w:i/>
          <w:sz w:val="21"/>
          <w:szCs w:val="21"/>
          <w:lang w:eastAsia="es-CR"/>
        </w:rPr>
      </w:pPr>
      <w:r w:rsidRPr="00E10347">
        <w:rPr>
          <w:rFonts w:ascii="Palatino Linotype" w:eastAsia="Times New Roman" w:hAnsi="Palatino Linotype"/>
          <w:i/>
          <w:sz w:val="21"/>
          <w:szCs w:val="21"/>
          <w:lang w:eastAsia="es-CR"/>
        </w:rPr>
        <w:t>“</w:t>
      </w:r>
      <w:r w:rsidRPr="00E10347">
        <w:rPr>
          <w:rFonts w:ascii="Palatino Linotype" w:eastAsia="Times New Roman" w:hAnsi="Palatino Linotype"/>
          <w:b/>
          <w:i/>
          <w:sz w:val="21"/>
          <w:szCs w:val="21"/>
          <w:lang w:eastAsia="es-CR"/>
        </w:rPr>
        <w:t xml:space="preserve">ARTÍCULO 167.- </w:t>
      </w:r>
      <w:r w:rsidRPr="00E10347">
        <w:rPr>
          <w:rFonts w:ascii="Palatino Linotype" w:eastAsia="Times New Roman" w:hAnsi="Palatino Linotype"/>
          <w:b/>
          <w:bCs/>
          <w:i/>
          <w:sz w:val="21"/>
          <w:szCs w:val="21"/>
          <w:lang w:eastAsia="es-CR"/>
        </w:rPr>
        <w:t>Obligación de dar recibo</w:t>
      </w:r>
    </w:p>
    <w:p w:rsidR="00A22DC1" w:rsidRPr="00E10347" w:rsidRDefault="00A22DC1" w:rsidP="00E10347">
      <w:pPr>
        <w:ind w:left="708"/>
        <w:jc w:val="both"/>
        <w:rPr>
          <w:rFonts w:ascii="Palatino Linotype" w:eastAsia="Times New Roman" w:hAnsi="Palatino Linotype"/>
          <w:i/>
          <w:sz w:val="21"/>
          <w:szCs w:val="21"/>
          <w:lang w:eastAsia="es-CR"/>
        </w:rPr>
      </w:pPr>
      <w:r w:rsidRPr="00E10347">
        <w:rPr>
          <w:rFonts w:ascii="Palatino Linotype" w:eastAsia="Times New Roman" w:hAnsi="Palatino Linotype"/>
          <w:i/>
          <w:sz w:val="21"/>
          <w:szCs w:val="21"/>
          <w:lang w:eastAsia="es-CR"/>
        </w:rPr>
        <w:t>Los notarios deberán extender recibos oficiales por todas las sumas de dinero que reciban y dejar constancia de haber recibido o no los honorarios y derechos de las escrituras inscribibles en alguno de los registros públicos; también indicarán las cantidades recibidas y el concepto. La omisión de esta razón hará presumir que los honorarios y demás gastos necesarios fueron cubiertos satisfactoriamente.”</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Desde el punto de vista lógico tal exigencia deviene en inválida. Es decir, si no se ha emitido recibo, se ha de suponer que se cancelaron la totalidad de los honorarios. Esta afirmación simplemente no es lógica. Sería como pensar que si una reunión no vimos a Jorge, significa que este si llegó, repito, no pareciese lógico.</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lastRenderedPageBreak/>
        <w:t>Todo lo anterior resulta como se ve el contrasentido, ya que una afirmación, concluye en un hecho negativo. Sosteniendo inclusive, en el fundamento socrático, lo cual contradice el principio que indica que las cosas no pueden ser y ser en el mismo sentido y al mismo tiempo.</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 xml:space="preserve">Desde el punto de vista del diseño práctico, lo conveniente sería lo siguiente: </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Sin el notario no logra desvirtuar la presunción de que le cancelaron la totalidad de los gastos para efectuar la inscripción del instrumento, esto significa que se debe de interpretar que si le fueron cancelados. Como repito, la carga de la prueba de un hecho, que adema es negativa, le corresponde al notario. Para ello el cartulario debe con premonición señalar en el instrumento (reservas y advertencias) que no le han sido cancelados los gastos correspondientes.</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En otro orden de ideas, pasamos a analizar lo correspondiente a los documentos notariales.</w:t>
      </w:r>
    </w:p>
    <w:p w:rsidR="00A22DC1" w:rsidRPr="00E10347" w:rsidRDefault="00A22DC1" w:rsidP="00E10347">
      <w:pPr>
        <w:ind w:firstLine="360"/>
        <w:jc w:val="both"/>
        <w:rPr>
          <w:rFonts w:ascii="Palatino Linotype" w:hAnsi="Palatino Linotype"/>
          <w:sz w:val="21"/>
          <w:szCs w:val="21"/>
        </w:rPr>
      </w:pPr>
    </w:p>
    <w:p w:rsidR="00A22DC1" w:rsidRPr="00E10347" w:rsidRDefault="00A22DC1" w:rsidP="00E10347">
      <w:pPr>
        <w:ind w:firstLine="360"/>
        <w:jc w:val="center"/>
        <w:rPr>
          <w:rFonts w:ascii="Palatino Linotype" w:hAnsi="Palatino Linotype"/>
          <w:b/>
          <w:sz w:val="21"/>
          <w:szCs w:val="21"/>
        </w:rPr>
      </w:pPr>
      <w:r w:rsidRPr="00E10347">
        <w:rPr>
          <w:rFonts w:ascii="Palatino Linotype" w:hAnsi="Palatino Linotype"/>
          <w:b/>
          <w:sz w:val="21"/>
          <w:szCs w:val="21"/>
        </w:rPr>
        <w:t>LOS DOCUMENTOS PÚBLICOS Y PRIVADOS COMO MEDIOS DE PRUEBA.</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La suerte de lograr obtener una memoria histórica, que sobreviva al paso del por el tiempo fue posible cuando sosteníamos su contenido en un medio material, en virtud de la escritura; principalmente las condiciones y pactos que diariamente hacen los hombres; asimismo, para saber si se cumplirá conforme prometieron.</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 xml:space="preserve">El ser humano transita por la vida doblegado por los hechos que lo gobiernan, estos pueden ser desde un hecho, lo cual sería un acontecimiento o evento y por lo general suele ser de dos tipos; humanos o naturales. Aunque de antemano sabemos que los conflictos para que tengan trascendencia jurídica deben centrarse primordialmente en el plano humano. Por lo que caemos en cuenta que no </w:t>
      </w:r>
      <w:r w:rsidR="002A76CC">
        <w:rPr>
          <w:rFonts w:ascii="Palatino Linotype" w:hAnsi="Palatino Linotype"/>
          <w:sz w:val="21"/>
          <w:szCs w:val="21"/>
        </w:rPr>
        <w:t xml:space="preserve">solo </w:t>
      </w:r>
      <w:r w:rsidRPr="00E10347">
        <w:rPr>
          <w:rFonts w:ascii="Palatino Linotype" w:hAnsi="Palatino Linotype"/>
          <w:sz w:val="21"/>
          <w:szCs w:val="21"/>
        </w:rPr>
        <w:t xml:space="preserve">depende que sean hechos humanos para estos tengan incidencia jurídica. </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 xml:space="preserve">Algunos actos de la naturaleza pueden acarrear implicaciones jurídicas. Tal es el caso de que un rayo caiga en medio de un desierto y fulmine un árbol. Tal incidencia no tendrá repercusiones jurídicas posiblemente. Pero si el mismo rayo cae en una casa y la quema, aunque sea un hecho ajeno a los hombres, puede tener repercusiones en el plano legal, como por ejemplo, la gestión del propietario para que la compañía de seguros le indemnice. </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 xml:space="preserve">Cuando estos hechos tienen incidencia en el plano jurídico, se llaman hechos jurídicos, es decir hechos que tienen trascendencia en el mundo jurídico. Puede ser el antecedente o consecuencia de una relación jurídica. Así, en general el hecho </w:t>
      </w:r>
      <w:r w:rsidRPr="00E10347">
        <w:rPr>
          <w:rFonts w:ascii="Palatino Linotype" w:hAnsi="Palatino Linotype"/>
          <w:sz w:val="21"/>
          <w:szCs w:val="21"/>
        </w:rPr>
        <w:lastRenderedPageBreak/>
        <w:t xml:space="preserve">jurídico es el presupuesto de una norma jurídica. </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 xml:space="preserve">El acto jurídico es el hecho jurídico que emana de una acción u omisión humana. Tienen por lo general la capacidad de provocar relaciones humanas, de la creación, modificación, extinción y cancelación de derechos, además de las obligaciones, o finalmente situaciones jurídicas. </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Un negocio jurídico es un acto jurídico, donde el comportamiento humano se encuentra dirigido a disponer de intereses, no solo patrimoniales, pueden ser personales, como un mandato o representación, como un reconocimiento de un menor. Puede verse que el negocio jurídico es apto para involucrar la convergencia de dos o más voluntades, pero no siempre actúa de esta manera, ya que el otorgamiento de un testamento puede no ser un convenio, sino más bien un acto unilateral de voluntad.</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Es así como los instrumentos jurídicos, son las formas mediante las cuales el derecho preceptúa la posibilidad que tienen las personas de constatar un hecho, o bien disponer de sus intereses, es decir, las diferentes formas que puede tener el negocio jurídico, en algunos casos, es cuando interesa dotarlo de un rango de jerarquía y privilegio.</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Estos instrumentos pueden sostenerse en una forma libre o encomendada, a una estructura más o menos rígida, pero especialmente preestablecida. Así en el mundo de los documentos tenemos que el Derecho preceptúa, en algunos casos, la forma que debe tener el negocio jurídico. De suerte tal que por ejemplo un testamento abierto ante notario, debe de estar claramente redactado, respetar sin discontinuidad la unidad del acto y contar con los testigos exigidos.</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Los Notarios se distinguen por los documentos que redactan. Toda actuación del Notario converge en la redacción de un documento, que es el destino primario de la función notarial; es un medio material, perceptible, históricamente permanente y trascendente. Es claro, que el derecho interviene con hechos, que hemos entendido, como relevantes jurídicamente. La única forma de posibilitar su perdurabilidad, de eternizar su evidencia, es recogerlo por medio de documentos.</w:t>
      </w:r>
    </w:p>
    <w:p w:rsidR="00A22DC1" w:rsidRPr="00E10347" w:rsidRDefault="00A22DC1" w:rsidP="00CA49F0">
      <w:pPr>
        <w:ind w:firstLine="360"/>
        <w:jc w:val="both"/>
        <w:rPr>
          <w:rFonts w:ascii="Palatino Linotype" w:hAnsi="Palatino Linotype"/>
          <w:sz w:val="21"/>
          <w:szCs w:val="21"/>
        </w:rPr>
      </w:pPr>
      <w:r w:rsidRPr="00E10347">
        <w:rPr>
          <w:rFonts w:ascii="Palatino Linotype" w:hAnsi="Palatino Linotype"/>
          <w:sz w:val="21"/>
          <w:szCs w:val="21"/>
        </w:rPr>
        <w:t>Es sobre su base, que se construye la Historia, por tanto, debe dársele al hecho su forma material, una dimensión espacial y corpórea, porque el Derecho es esclavo de la forma. Los documentos constituyen la estancia y el evidenciar del hombre.</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 xml:space="preserve">En el plano del derecho, la fe pública, mayoritariamente se plasma en el documento. Es decir tiene su sustrato en el documento notarial. No especialmente en el campo procesal, sino que lo hace en el mundo administrativo y registral, con </w:t>
      </w:r>
      <w:r w:rsidRPr="00E10347">
        <w:rPr>
          <w:rFonts w:ascii="Palatino Linotype" w:hAnsi="Palatino Linotype"/>
          <w:sz w:val="21"/>
          <w:szCs w:val="21"/>
        </w:rPr>
        <w:lastRenderedPageBreak/>
        <w:t>especial relevancia en el tráfico jurídico.</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Una de las mayores pretensiones humanas es la referida a la materialización de la conciencia y al acontecer del hombre, su actuación y voluntad, acontecimientos, hechos y manifestaciones, que tienen como piedra angular eliminar la falsedad. Distinguir lo que fue de lo que no fue. Constituyen la verdad jurídica sentada en él, otorgándole función certificante.</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Sin embargo, los documentos encierran, aparte de su sensible materialidad, aspectos igualmente delicados, como es el determinar su autenticidad. Los documentos pueden ser argüidos de falsos, ya sea en atención a su contenido, o bien por razón de su Autor. Los documentos de orden estrictamente históricos han capacitado otros medios para resolver el conflicto; el Derecho le otorgó su propia solución. El principal enemigo del documento es su autor, es decir, el hombre, por eso, la ley asigna a otros hombres su custodia. La sociedad pretende eliminar la más mínima sospecha de falsedad constituyendo así la verdad jurídica sentada en él, por lo que lo dotan de una función certificante.</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Como dice el profesor argentino, Gattari</w:t>
      </w:r>
      <w:r w:rsidRPr="00E10347">
        <w:rPr>
          <w:rStyle w:val="Refdenotaalpie"/>
          <w:rFonts w:ascii="Palatino Linotype" w:hAnsi="Palatino Linotype"/>
          <w:sz w:val="21"/>
          <w:szCs w:val="21"/>
        </w:rPr>
        <w:footnoteReference w:id="387"/>
      </w:r>
      <w:r w:rsidRPr="00E10347">
        <w:rPr>
          <w:rFonts w:ascii="Palatino Linotype" w:hAnsi="Palatino Linotype"/>
          <w:sz w:val="21"/>
          <w:szCs w:val="21"/>
        </w:rPr>
        <w:t>: “</w:t>
      </w:r>
      <w:r w:rsidRPr="00E10347">
        <w:rPr>
          <w:rFonts w:ascii="Palatino Linotype" w:hAnsi="Palatino Linotype"/>
          <w:i/>
          <w:sz w:val="21"/>
          <w:szCs w:val="21"/>
        </w:rPr>
        <w:t>Aquella necesidad de certeza que requiere la inteligencia y aquella apetencia de seguridad que exige la voluntad del hombre, jurídicamente considerado, hizo un documento especial en ciertas relaciones privadas en acuerdos que se consideran trascendentes.”</w:t>
      </w:r>
      <w:r w:rsidRPr="00E10347">
        <w:rPr>
          <w:rFonts w:ascii="Palatino Linotype" w:hAnsi="Palatino Linotype"/>
          <w:sz w:val="21"/>
          <w:szCs w:val="21"/>
        </w:rPr>
        <w:t xml:space="preserve"> </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Y fue así como el documento va a crear al funcionario; es la obra la que va a crear al autor, y no al revés, será el documento quien va a dar forma al Notario.</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La Notarial es una profesión con que contiene una finalidad determinada, la cual es la redacción de documentos; es la encargada de darle forma a las voluntades y aparte, asesora a los demandantes de sus servicios, para finalmente otorgar veracidad a estas intenciones mediante los documentos que ésta autoriza. Así conlleva una función social, con finalidad específica.</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Por lo atinado al tema, transcribimos el texto relativo al nacimiento del documento Notarial: “</w:t>
      </w:r>
      <w:r w:rsidRPr="00E10347">
        <w:rPr>
          <w:rFonts w:ascii="Palatino Linotype" w:hAnsi="Palatino Linotype"/>
          <w:i/>
          <w:sz w:val="21"/>
          <w:szCs w:val="21"/>
        </w:rPr>
        <w:t xml:space="preserve">Así la Carta se substantiva y, mientras crece la credibilidad en la función Notarial, se eclipsa todo anacrónico formulismo. La circunstancia de que el instrumento, íntegro y original, quede retenido por el Notario, aumenta la confiabilidad; surge, así, la preferencia del usuario por el sistema creado por la función Notarial para la permanencia del documento, que, de esta manera, hará germinar la simiente de la futura </w:t>
      </w:r>
      <w:r w:rsidRPr="00E10347">
        <w:rPr>
          <w:rFonts w:ascii="Palatino Linotype" w:hAnsi="Palatino Linotype"/>
          <w:i/>
          <w:sz w:val="21"/>
          <w:szCs w:val="21"/>
        </w:rPr>
        <w:lastRenderedPageBreak/>
        <w:t>seguridad y eficacia del Contrato</w:t>
      </w:r>
      <w:r w:rsidRPr="00E10347">
        <w:rPr>
          <w:rFonts w:ascii="Palatino Linotype" w:hAnsi="Palatino Linotype"/>
          <w:sz w:val="21"/>
          <w:szCs w:val="21"/>
        </w:rPr>
        <w:t>.” 87</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En efecto, hacia fines del siglo XI los caracteres de la “carta” cambian su centro de gravedad, la cual se desplaza a la garantía pública adquirida por el Notario. Pierde su formalidad el documento cuyo valor reposa ahora en la autoridad atribuida al Notario.</w:t>
      </w:r>
    </w:p>
    <w:p w:rsidR="00A22DC1" w:rsidRPr="00E10347" w:rsidRDefault="00A22DC1" w:rsidP="00CA49F0">
      <w:pPr>
        <w:ind w:firstLine="360"/>
        <w:jc w:val="both"/>
        <w:rPr>
          <w:rFonts w:ascii="Palatino Linotype" w:hAnsi="Palatino Linotype"/>
          <w:sz w:val="21"/>
          <w:szCs w:val="21"/>
        </w:rPr>
      </w:pPr>
      <w:r w:rsidRPr="00E10347">
        <w:rPr>
          <w:rFonts w:ascii="Palatino Linotype" w:hAnsi="Palatino Linotype"/>
          <w:sz w:val="21"/>
          <w:szCs w:val="21"/>
        </w:rPr>
        <w:t xml:space="preserve">La fe pública se expresa en el documento, no por la vía oral. El notario como testigo citado en un proceso, es un ciudadano obligado a acudir al llamado de la justicia, sin que su investidura otorgue un rango superior o privilegiado en cuanto a la narración testimonial de los hechos. Ergo, el elemento corporal, la constatación existencial de la función notarial es el medio perceptible, históricamente permanente y trascendente. La fe pública por lo general tiene su asidero sobre el sustrato físico del documento (bien sea electrónico o no) y no dentro de su dimensión o expresión verbal. </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El derecho encuentra su incumbencia en los hechos, que hemos entendido, con relevancia jurídica. La única forma de posibilitar su perdurabilidad, de eternizar su evidencia, es recogerlo por medios físicos, de ahí la necesidad de la utilización de los documentos con intención de perpetuarse. Su forma material, su dimensión espacial y corpórea, acusan aquello de que el Derecho es esclavo de la forma.</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 xml:space="preserve">Es sabido que los documentos constituyen la estancia de certidumbre del hombre y su acontecer, son la prueba de su existencia, de su pensamiento e intención, así como de su razón y voluntad. Esto con el fin de cobrar efectos ya sean demostrativos o ejecutivos. </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 xml:space="preserve">El documento tiene la suerte de ser, valer, trascender, probar y ejecutar, no pueden quedar sujetos a duda en cuanto a su mejor elaboración y esta certeza es fundamento de su autenticidad. La importancia prevalente en la cual se va asumiendo la actividad notarial será por la fe documental, no se </w:t>
      </w:r>
      <w:r w:rsidR="002A76CC">
        <w:rPr>
          <w:rFonts w:ascii="Palatino Linotype" w:hAnsi="Palatino Linotype"/>
          <w:sz w:val="21"/>
          <w:szCs w:val="21"/>
        </w:rPr>
        <w:t xml:space="preserve">solo </w:t>
      </w:r>
      <w:r w:rsidRPr="00E10347">
        <w:rPr>
          <w:rFonts w:ascii="Palatino Linotype" w:hAnsi="Palatino Linotype"/>
          <w:sz w:val="21"/>
          <w:szCs w:val="21"/>
        </w:rPr>
        <w:t>se afianza ya en la forma, sino en la fe pública que los contratantes le atribuyen al Notario. Este atributo, conferido por los usuarios, da fuerza probatoria a la carta y llegará el momento en que será oficializado por la administración como delegación de la soberanía del pueblo, envistiendo al notario, en la esfera del Derecho Privado, de la fe pública que lo privilegia sobre cualquier otra persona en el mundo del derecho.</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 xml:space="preserve">El instrumento público está encuadrado dentro de su configuración de acto jurídico. De igual manera cuenta con su base volitiva que se plasma en el esquema del acto o negocio que representa, como expresión de la voluntad, con discernimiento intención y libertad para crear, modificar, transferir, conservar, o </w:t>
      </w:r>
      <w:r w:rsidRPr="00E10347">
        <w:rPr>
          <w:rFonts w:ascii="Palatino Linotype" w:hAnsi="Palatino Linotype"/>
          <w:sz w:val="21"/>
          <w:szCs w:val="21"/>
        </w:rPr>
        <w:lastRenderedPageBreak/>
        <w:t xml:space="preserve">cancelar derechos, dando nacimiento, alterando, o terminando relaciones jurídicas, tiene también, como se dijo, su estrato material, que es el contenido donde la voluntad se vierte. Es decir la voluntad, como elemento espiritual que no tiene cuerpo, es impalpable, surge del pensamiento, se modifica y desaparece, requiere “un encadenamiento”, un cuerpo físico para revestirla de un algo. Ese cuerpo físico es precisamente la forma que recibe la intención para allí ser depositada. </w:t>
      </w:r>
    </w:p>
    <w:p w:rsidR="00A22DC1" w:rsidRPr="00E10347" w:rsidRDefault="00A22DC1" w:rsidP="00CA49F0">
      <w:pPr>
        <w:ind w:firstLine="360"/>
        <w:jc w:val="both"/>
        <w:rPr>
          <w:rFonts w:ascii="Palatino Linotype" w:hAnsi="Palatino Linotype"/>
          <w:sz w:val="21"/>
          <w:szCs w:val="21"/>
        </w:rPr>
      </w:pPr>
      <w:r w:rsidRPr="00E10347">
        <w:rPr>
          <w:rFonts w:ascii="Palatino Linotype" w:hAnsi="Palatino Linotype"/>
          <w:sz w:val="21"/>
          <w:szCs w:val="21"/>
        </w:rPr>
        <w:t>Como se sabe la mera intención, en el plano del derecho no es generadora de efectos, a no ser que esta intención se exprese. Dado esto, es que requerimos que los actos jurídicos tengan forma ya que de lo contrario no podríamos considéralos como tales. La forma como cuerpo, es pariente cercano de su existencia como acto.</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 xml:space="preserve">En nuestra disciplina es una forma exigida, no libre, una estructura en la que intervienen las prescripciones de la ley. La falta de la forma acarrea, por lo general, la nulidad, es decir la inexistencia del documento. Es una forma exigida por la ley, que persigue una presunción, la de veracidad, una verdad admitida por la generalidad, impuesta por el Estado, para constituir hechos y declarar derechos, hasta que no se demuestre su falsedad. </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 xml:space="preserve">La falta de escritura lesiona la forma, ausencia misma del sustrato negocial que son las partes obligadas fuera de esa forma, mas es fácil, para el lector advertir, que si bien las partes una vez negociadas sus intenciones, quedan obligadas, pero sin los efectos y beneficios del instrumento. </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 xml:space="preserve">El cimiento del derecho de la contratación, es el acuerdo entre cosa y precio. Lo que me parece un postulado más repetido, que pensado, ya que esto no siempre alcanza para envolver todas las situaciones. Un contrato que prescribe una forma específica, como por ejemplo la compra venta de inmueble inscrito, que digamos se realiza sin atender esta forma, (ya sea por ejemplo, con un funcionario sin investidura) puede, pese a estar clarísimo en su óptica espiritual y términos, encontrarse carente de generar efectos, tan indispensables como su inscripción. O bien supongamos que dicho contrato carece de su asentamiento protocolar, siendo suscrito en documento privado, dotado, pese a ello de la más meridional de las claridades, sin embargo, privado de generar efectos tan imprescindibles como la registración. Siendo así, sería remitido el interesado a la vía procesal del trámite de conocimiento para luego de un proceso bastante tortuoso y extenso, procurar obtener su inscripción, en caso de resultar victorioso en dicho proceso. Todo por no cumplir las exigencias que debieron ser guardadas. </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 xml:space="preserve">Sin embargo, no solo la forma sino la investidura participa en la </w:t>
      </w:r>
      <w:r w:rsidRPr="00E10347">
        <w:rPr>
          <w:rFonts w:ascii="Palatino Linotype" w:hAnsi="Palatino Linotype"/>
          <w:sz w:val="21"/>
          <w:szCs w:val="21"/>
        </w:rPr>
        <w:lastRenderedPageBreak/>
        <w:t xml:space="preserve">conformación del documento, ya que todo instrumento público para ser tal requiere intervención de un oficial público, quien debe de actuar apegado a su competencia, requisitos y atribuciones delegadas en él, en nuestro caso el cartulario, que es el oficial público requerido, es una exigencia común de todos los documentos públicos, sean estos judiciales, administrativos o notariales. Este es el elemento común a todos los documentos públicos. </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 xml:space="preserve"> Sin embargo con lo señalado no se alcanza la felicidad plena de la comprensión del instrumento. Se escapa, a la voluntad, la forma, y la investidura del funcionario, la “dimensión acto”, como en varias ocasiones señalará Rafael Núñez Lagos. Es decir a diferencia de ese acto imperio del cual emanan los documentos administrativos, la dimensión del acto al que se refiere el documento notarial, es aquel que involucra al notario como receptáculo de la fe pública no por el imperio, sino por el funcionario, es decir la presencia en un solo acto del compareciente que expresa su voluntad o declara hechos ante el funcionario público. </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Siendo que el documento público abarca al instrumento público que sigue una relación género-especie, es que por nuestra parte lo explicamos de la siguiente forma:</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 xml:space="preserve">El instrumento público, es la confluencia donde se vierte varios elementos, materiales y espirituales, es un documento, desde su concepción física, con características precisadas por la ley, es decir es un documento papel, con presencia material y con requisitos exigidos. Es documento donde el funcionario, actúa como un oficial público con la investidura dotada por la autoridad. Es un documento voluntad, donde convergen las intenciones o declaraciones de los comparecientes, y es un documento que contiene un acto de comparecencia o “dimensión acto”, como señalábamos anteriormente. </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Todos los anteriores concluyen en una pieza, el instrumento público. El ejercicio del Notariado, refleja su materialidad, en el soporte documental. Desde su autoría y génesis, hasta su capacidad perceptiva, es decir esa materialidad. Involucrando aspectos tan delicados, como determinar su autenticidad.</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 xml:space="preserve">Los que han defendido el maridaje del papel con el documento cometen el mismo error de confundir el continente con el contenido. Tal error ha sido asumido por la tradicional lapidación del fondo a la forma cartular, buscando su uniformidad, viendo una sola cosa en ese binomio, sin embargo no hay duda que en la actualidad se perciben nuevas alternativas documentarias, y su inseminación </w:t>
      </w:r>
      <w:r w:rsidRPr="00E10347">
        <w:rPr>
          <w:rFonts w:ascii="Palatino Linotype" w:hAnsi="Palatino Linotype"/>
          <w:sz w:val="21"/>
          <w:szCs w:val="21"/>
        </w:rPr>
        <w:lastRenderedPageBreak/>
        <w:t>social y tráfico mercantil actual, no puede escapar de la competencia del Notario, ante ese llamado igualmente el Notario debe de acudir. Se percibe en la actualidad diferentes manifestaciones del documento, en lo tocante a la forma de mostrar su contenido, que se vislumbran más allá del mero documento electrónico.</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La función del Notario, es la seguridad, la del documento es materializar los acuerdos o manifestaciones de voluntad y desplazar sus efectos. Se requiere para ello un sistema de seguridad contractual destinado a evitar en lo posible la existencia y eventual eficacia de negocios ilegales, fraudulentos o simplemente errados. La fe pública alcanza hasta el hecho del otorgamiento no pudiendo llegar hasta la sincera manifestación del compareciente, según su declaración de hechos pasados.</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 xml:space="preserve">Dentro de las bondades que serán ampliadas resulta especialmente, aquella que el documento público se acredita a sí mismo. Se basta por sí solo, sin necesidad de comprobación o verificación, como si es requisito faltante en los documentos privados. Siendo que le incumbe la carga de la prueba a aquel que desafíe su autenticidad arguyendo que es falso. Pienso, que la conciencia es el motor del cambio. </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Una jurisprudencia dictada por el Tribunal Superior Segundo Civil de San José, Voto Nº 050 de las 8:00 horas del día 20 de marzo del 2006, verifica la jerarquía probatoria del documento público y se cita:</w:t>
      </w:r>
    </w:p>
    <w:p w:rsidR="00A22DC1" w:rsidRPr="00E10347" w:rsidRDefault="00A22DC1" w:rsidP="00E10347">
      <w:pPr>
        <w:ind w:left="708"/>
        <w:jc w:val="both"/>
        <w:rPr>
          <w:rFonts w:ascii="Palatino Linotype" w:hAnsi="Palatino Linotype"/>
          <w:sz w:val="21"/>
          <w:szCs w:val="21"/>
        </w:rPr>
      </w:pPr>
      <w:r w:rsidRPr="00E10347">
        <w:rPr>
          <w:rFonts w:ascii="Palatino Linotype" w:hAnsi="Palatino Linotype"/>
          <w:sz w:val="21"/>
          <w:szCs w:val="21"/>
        </w:rPr>
        <w:t>“…</w:t>
      </w:r>
      <w:r w:rsidRPr="00E10347">
        <w:rPr>
          <w:rFonts w:ascii="Palatino Linotype" w:hAnsi="Palatino Linotype"/>
          <w:i/>
          <w:sz w:val="21"/>
          <w:szCs w:val="21"/>
        </w:rPr>
        <w:t>Debe agregarse que la prueba terminal ofrecida por la parte actora con la cual se pretende demostrar la existencia del supuesto error, y que la finca que se entregaría en garantía era otra, no resulta idónea para tales efectos, pues debe recordarse que conforme lo estipula el artículo 353 del Código Procesal Civil. Cuando un acto jurídico se haga constar en un documento público o privado no se recibirá prueba alguna de testigo contra fuera de lo contenido en el documento ni sobre lo que puede alegar que se dijo antes, al tiempo o después de su redacción, aun cuando se trate de una suma menos de diez mil colones. Si pese a lo previsto esta norma se admitió y recibió prueba en alto sentido esta no puede tener la fuerza desvirtual, lo pactado en escritura pública donde consta muy claramente la voluntad de las partes expresada ante Notario público y con toda la formalidad que nuestro ordenamiento jurídico prevé para este tipo de acto notarial</w:t>
      </w:r>
      <w:r w:rsidRPr="00E10347">
        <w:rPr>
          <w:rFonts w:ascii="Palatino Linotype" w:hAnsi="Palatino Linotype"/>
          <w:sz w:val="21"/>
          <w:szCs w:val="21"/>
        </w:rPr>
        <w:t>.”</w:t>
      </w:r>
    </w:p>
    <w:p w:rsidR="00A22DC1" w:rsidRPr="00E10347" w:rsidRDefault="00A22DC1" w:rsidP="00E10347">
      <w:pPr>
        <w:jc w:val="both"/>
        <w:rPr>
          <w:rFonts w:ascii="Palatino Linotype" w:hAnsi="Palatino Linotype"/>
          <w:sz w:val="21"/>
          <w:szCs w:val="21"/>
        </w:rPr>
      </w:pP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 xml:space="preserve">En el documento el Notario es soberano de la redacción pero súbdito de la voluntad de las partes en el entendido de que examina y adecua legalmente estas. </w:t>
      </w:r>
      <w:r w:rsidRPr="00E10347">
        <w:rPr>
          <w:rFonts w:ascii="Palatino Linotype" w:hAnsi="Palatino Linotype"/>
          <w:sz w:val="21"/>
          <w:szCs w:val="21"/>
        </w:rPr>
        <w:lastRenderedPageBreak/>
        <w:t xml:space="preserve">En él, su función asesora plasmada en muchas ocasiones en el instrumento, debe pasar por el tamiz del control de legalidad, desde su doble perspectiva, autorizándolo, en su faceta positiva, o absteniéndose de hacerlo dada su traza negativa. </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 xml:space="preserve">Por otro lado conviene mencionar que los documentos notariales, cumplen básicamente tres funciones: </w:t>
      </w:r>
    </w:p>
    <w:p w:rsidR="00A22DC1" w:rsidRPr="00E10347" w:rsidRDefault="00A22DC1" w:rsidP="00E83320">
      <w:pPr>
        <w:pStyle w:val="Prrafodelista"/>
        <w:widowControl/>
        <w:numPr>
          <w:ilvl w:val="0"/>
          <w:numId w:val="38"/>
        </w:numPr>
        <w:autoSpaceDE/>
        <w:autoSpaceDN/>
        <w:adjustRightInd/>
        <w:jc w:val="both"/>
        <w:rPr>
          <w:rFonts w:ascii="Palatino Linotype" w:hAnsi="Palatino Linotype"/>
          <w:sz w:val="21"/>
          <w:szCs w:val="21"/>
        </w:rPr>
      </w:pPr>
      <w:r w:rsidRPr="00E10347">
        <w:rPr>
          <w:rFonts w:ascii="Palatino Linotype" w:hAnsi="Palatino Linotype"/>
          <w:sz w:val="21"/>
          <w:szCs w:val="21"/>
        </w:rPr>
        <w:t>Da forma a hechos, manifestaciones y voluntades</w:t>
      </w:r>
    </w:p>
    <w:p w:rsidR="00A22DC1" w:rsidRPr="00E10347" w:rsidRDefault="00A22DC1" w:rsidP="00E83320">
      <w:pPr>
        <w:pStyle w:val="Prrafodelista"/>
        <w:widowControl/>
        <w:numPr>
          <w:ilvl w:val="0"/>
          <w:numId w:val="38"/>
        </w:numPr>
        <w:autoSpaceDE/>
        <w:autoSpaceDN/>
        <w:adjustRightInd/>
        <w:jc w:val="both"/>
        <w:rPr>
          <w:rFonts w:ascii="Palatino Linotype" w:hAnsi="Palatino Linotype"/>
          <w:sz w:val="21"/>
          <w:szCs w:val="21"/>
        </w:rPr>
      </w:pPr>
      <w:r w:rsidRPr="00E10347">
        <w:rPr>
          <w:rFonts w:ascii="Palatino Linotype" w:hAnsi="Palatino Linotype"/>
          <w:sz w:val="21"/>
          <w:szCs w:val="21"/>
        </w:rPr>
        <w:t>Con la forma los constituye sustantivamente</w:t>
      </w:r>
    </w:p>
    <w:p w:rsidR="00A22DC1" w:rsidRPr="00E10347" w:rsidRDefault="00A22DC1" w:rsidP="00E83320">
      <w:pPr>
        <w:pStyle w:val="Prrafodelista"/>
        <w:widowControl/>
        <w:numPr>
          <w:ilvl w:val="0"/>
          <w:numId w:val="38"/>
        </w:numPr>
        <w:autoSpaceDE/>
        <w:autoSpaceDN/>
        <w:adjustRightInd/>
        <w:jc w:val="both"/>
        <w:rPr>
          <w:rFonts w:ascii="Palatino Linotype" w:hAnsi="Palatino Linotype"/>
          <w:sz w:val="21"/>
          <w:szCs w:val="21"/>
        </w:rPr>
      </w:pPr>
      <w:r w:rsidRPr="00E10347">
        <w:rPr>
          <w:rFonts w:ascii="Palatino Linotype" w:hAnsi="Palatino Linotype"/>
          <w:sz w:val="21"/>
          <w:szCs w:val="21"/>
        </w:rPr>
        <w:t>Al otorgarle una jerarquía de certeza, les confiere una condición privilegiada que desplaza, en principio sin cuestionamientos, por su rango de prueba favorecida, desplegando efectos jurídicos y dotados de fuerza ejecutiva. Se entiende este privilegio verificando la condición ejecutiva, con que no cuenta casi ningún otro documento, de acudir al remate de un inmueble como en el caso de una hipoteca que se constituye ante cartulario.</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El documento es texto escrito, ya que las declaraciones humanas, de voluntad, representación o ciencia, el lenguaje escrito cuenta con preeminencia sobre el oral. Los documentos son más adecuados porque ellos cristalizan el pensamiento y la voluntad con mayor perfección y trascendencia.</w:t>
      </w:r>
    </w:p>
    <w:p w:rsidR="00A22DC1" w:rsidRPr="00E10347" w:rsidRDefault="00A22DC1" w:rsidP="00E10347">
      <w:pPr>
        <w:ind w:firstLine="360"/>
        <w:jc w:val="both"/>
        <w:rPr>
          <w:rFonts w:ascii="Palatino Linotype" w:hAnsi="Palatino Linotype"/>
          <w:sz w:val="21"/>
          <w:szCs w:val="21"/>
        </w:rPr>
      </w:pPr>
      <w:r w:rsidRPr="00E10347">
        <w:rPr>
          <w:rFonts w:ascii="Palatino Linotype" w:hAnsi="Palatino Linotype"/>
          <w:sz w:val="21"/>
          <w:szCs w:val="21"/>
        </w:rPr>
        <w:t xml:space="preserve">De lo dicho resulta: </w:t>
      </w:r>
    </w:p>
    <w:p w:rsidR="00A22DC1" w:rsidRPr="00E10347" w:rsidRDefault="00A22DC1" w:rsidP="00E10347">
      <w:pPr>
        <w:jc w:val="both"/>
        <w:rPr>
          <w:rFonts w:ascii="Palatino Linotype" w:hAnsi="Palatino Linotype"/>
          <w:sz w:val="21"/>
          <w:szCs w:val="21"/>
        </w:rPr>
      </w:pPr>
      <w:r w:rsidRPr="00E10347">
        <w:rPr>
          <w:rFonts w:ascii="Palatino Linotype" w:hAnsi="Palatino Linotype"/>
          <w:sz w:val="21"/>
          <w:szCs w:val="21"/>
        </w:rPr>
        <w:t>1. Que la esencia de la función radica en poner los presupuestos necesarios, asesoramiento, control de legalidad y la redacción que la escritura haga fe de su contenido.</w:t>
      </w:r>
    </w:p>
    <w:p w:rsidR="00A22DC1" w:rsidRPr="00E10347" w:rsidRDefault="00A22DC1" w:rsidP="00E10347">
      <w:pPr>
        <w:jc w:val="both"/>
        <w:rPr>
          <w:rFonts w:ascii="Palatino Linotype" w:hAnsi="Palatino Linotype"/>
          <w:sz w:val="21"/>
          <w:szCs w:val="21"/>
        </w:rPr>
      </w:pPr>
      <w:r w:rsidRPr="00E10347">
        <w:rPr>
          <w:rFonts w:ascii="Palatino Linotype" w:hAnsi="Palatino Linotype"/>
          <w:sz w:val="21"/>
          <w:szCs w:val="21"/>
        </w:rPr>
        <w:t>2. Que la escritura alcanza, la plena eficacia ante terceros con la subsiguiente inscripción en el registro: “Que la escritura dotada de eficacia sustantiva alcanza con la inscripción, seguridad complementaria e indisociable.”</w:t>
      </w:r>
    </w:p>
    <w:p w:rsidR="00A22DC1" w:rsidRPr="00E10347" w:rsidRDefault="00A22DC1" w:rsidP="00E10347">
      <w:pPr>
        <w:jc w:val="both"/>
        <w:rPr>
          <w:rFonts w:ascii="Palatino Linotype" w:hAnsi="Palatino Linotype"/>
          <w:sz w:val="21"/>
          <w:szCs w:val="21"/>
        </w:rPr>
      </w:pPr>
    </w:p>
    <w:p w:rsidR="00A22DC1" w:rsidRPr="00E10347" w:rsidRDefault="00A22DC1" w:rsidP="00E10347">
      <w:pPr>
        <w:ind w:firstLine="708"/>
        <w:jc w:val="center"/>
        <w:rPr>
          <w:rFonts w:ascii="Palatino Linotype" w:hAnsi="Palatino Linotype"/>
          <w:sz w:val="21"/>
          <w:szCs w:val="21"/>
        </w:rPr>
      </w:pPr>
      <w:r w:rsidRPr="00E10347">
        <w:rPr>
          <w:rFonts w:ascii="Palatino Linotype" w:hAnsi="Palatino Linotype"/>
          <w:b/>
          <w:sz w:val="21"/>
          <w:szCs w:val="21"/>
        </w:rPr>
        <w:t>EL DOCUMENTO PÚBLICO EN EL VIGENTE EL CÓDIGO PROCESAL</w:t>
      </w:r>
      <w:r w:rsidRPr="00E10347">
        <w:rPr>
          <w:rFonts w:ascii="Palatino Linotype" w:hAnsi="Palatino Linotype"/>
          <w:sz w:val="21"/>
          <w:szCs w:val="21"/>
        </w:rPr>
        <w:t xml:space="preserve"> </w:t>
      </w:r>
      <w:r w:rsidRPr="00E10347">
        <w:rPr>
          <w:rFonts w:ascii="Palatino Linotype" w:hAnsi="Palatino Linotype"/>
          <w:b/>
          <w:sz w:val="21"/>
          <w:szCs w:val="21"/>
        </w:rPr>
        <w:t>CIVIL</w:t>
      </w:r>
      <w:r w:rsidRPr="00E10347">
        <w:rPr>
          <w:rFonts w:ascii="Palatino Linotype" w:hAnsi="Palatino Linotype"/>
          <w:sz w:val="21"/>
          <w:szCs w:val="21"/>
        </w:rPr>
        <w:t>.</w:t>
      </w:r>
    </w:p>
    <w:p w:rsidR="00A22DC1" w:rsidRPr="00E10347" w:rsidRDefault="00A22DC1" w:rsidP="00E10347">
      <w:pPr>
        <w:ind w:firstLine="708"/>
        <w:jc w:val="both"/>
        <w:rPr>
          <w:rFonts w:ascii="Palatino Linotype" w:hAnsi="Palatino Linotype"/>
          <w:sz w:val="21"/>
          <w:szCs w:val="21"/>
        </w:rPr>
      </w:pPr>
    </w:p>
    <w:p w:rsidR="00A22DC1" w:rsidRPr="00E10347" w:rsidRDefault="00A22DC1" w:rsidP="00E10347">
      <w:pPr>
        <w:ind w:firstLine="708"/>
        <w:rPr>
          <w:rFonts w:ascii="Palatino Linotype" w:hAnsi="Palatino Linotype"/>
          <w:sz w:val="21"/>
          <w:szCs w:val="21"/>
        </w:rPr>
      </w:pPr>
      <w:r w:rsidRPr="00E10347">
        <w:rPr>
          <w:rFonts w:ascii="Palatino Linotype" w:hAnsi="Palatino Linotype"/>
          <w:sz w:val="21"/>
          <w:szCs w:val="21"/>
        </w:rPr>
        <w:t xml:space="preserve">Define documentos en su artículo 368, indicando: </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w:t>
      </w:r>
      <w:r w:rsidRPr="00E10347">
        <w:rPr>
          <w:rFonts w:ascii="Palatino Linotype" w:hAnsi="Palatino Linotype"/>
          <w:b/>
          <w:sz w:val="21"/>
          <w:szCs w:val="21"/>
        </w:rPr>
        <w:t>Son documentos escritos, los impresos, los planos, los dibujos, los cuadros, las fotografías, las fotocopias, las radiografías, las cintas cinematográficas, los discos, las grabaciones magnetofónicas y, en general, todo objeto mueble que tenga carácter de representativo o declarativo</w:t>
      </w:r>
      <w:r w:rsidRPr="00E10347">
        <w:rPr>
          <w:rFonts w:ascii="Palatino Linotype" w:hAnsi="Palatino Linotype"/>
          <w:sz w:val="21"/>
          <w:szCs w:val="21"/>
        </w:rPr>
        <w:t xml:space="preserve">”. </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 xml:space="preserve">Es así como tan amplia definición, obedece a la preocupación del legislador </w:t>
      </w:r>
      <w:r w:rsidRPr="00E10347">
        <w:rPr>
          <w:rFonts w:ascii="Palatino Linotype" w:hAnsi="Palatino Linotype"/>
          <w:sz w:val="21"/>
          <w:szCs w:val="21"/>
        </w:rPr>
        <w:lastRenderedPageBreak/>
        <w:t xml:space="preserve">de estar al día con los cambios de las modernas tendencias tecnológicas. En la actualidad, la ciencia ha dotado a la sociedad de inventos tales como el “microchip”, algo tan diminuto que en nada refleja la impresionante cantidad de información que pueden contener; además, se establecen las pautas más amplias a fin de poder ser más generosos con los medios probatorios que se puedan incorporar a un procedimiento judicial o administrativo. </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La Real Academia de la Lengua define:</w:t>
      </w:r>
      <w:r w:rsidRPr="00E10347">
        <w:rPr>
          <w:rStyle w:val="Refdenotaalpie"/>
          <w:rFonts w:ascii="Palatino Linotype" w:hAnsi="Palatino Linotype"/>
          <w:sz w:val="21"/>
          <w:szCs w:val="21"/>
        </w:rPr>
        <w:footnoteReference w:id="388"/>
      </w:r>
      <w:r w:rsidRPr="00E10347">
        <w:rPr>
          <w:rFonts w:ascii="Palatino Linotype" w:hAnsi="Palatino Linotype"/>
          <w:sz w:val="21"/>
          <w:szCs w:val="21"/>
        </w:rPr>
        <w:t xml:space="preserve"> la palabra “documento” como: “escritura, papel o documento con que se justifica o prueba alguna cosa”.</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 xml:space="preserve">Los documentos pueden ser públicos o privados. Estos últimos son los redactados en atención a su cotidiano desenvolvimiento, a la ordinariedad de la transmisión de información; ya que cualquiera puede redactar un documento privado, a éstos la ley no puede darles mayor forma, ni rigurosidad, pues surgen por generación espontánea de su autor. </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 xml:space="preserve">Sin embargo, nos interesa hablar de los documentos públicos. Como se ha mencionado lo que hace que un documento sea público es que sea redactado por un funcionario público; es decir, como dijimos, el autor es quien le da la categoría de público al documento siempre y cuando se ajuste a lo establecido por la ley. </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 xml:space="preserve">Los documentos públicos los puede emitir una autoridad judicial o administrativa; sin embargo, los documentos que emiten estas autoridades tienden a mostrar trámites y etapas particulares, tienen su propia ejecutividad. </w:t>
      </w:r>
    </w:p>
    <w:p w:rsidR="00A22DC1" w:rsidRPr="00E10347" w:rsidRDefault="00A22DC1" w:rsidP="00CA49F0">
      <w:pPr>
        <w:ind w:firstLine="708"/>
        <w:jc w:val="both"/>
        <w:rPr>
          <w:rFonts w:ascii="Palatino Linotype" w:hAnsi="Palatino Linotype"/>
          <w:sz w:val="21"/>
          <w:szCs w:val="21"/>
        </w:rPr>
      </w:pPr>
      <w:r w:rsidRPr="00E10347">
        <w:rPr>
          <w:rFonts w:ascii="Palatino Linotype" w:hAnsi="Palatino Linotype"/>
          <w:sz w:val="21"/>
          <w:szCs w:val="21"/>
        </w:rPr>
        <w:t xml:space="preserve">El artículo 369 del Código Procesal Civil nos dice, referente a los documentos, lo siguiente: </w:t>
      </w:r>
    </w:p>
    <w:p w:rsidR="00A22DC1" w:rsidRPr="00E10347" w:rsidRDefault="00A22DC1" w:rsidP="00E10347">
      <w:pPr>
        <w:ind w:left="708"/>
        <w:jc w:val="both"/>
        <w:rPr>
          <w:rFonts w:ascii="Palatino Linotype" w:hAnsi="Palatino Linotype"/>
          <w:sz w:val="21"/>
          <w:szCs w:val="21"/>
        </w:rPr>
      </w:pPr>
      <w:r w:rsidRPr="00E10347">
        <w:rPr>
          <w:rFonts w:ascii="Palatino Linotype" w:hAnsi="Palatino Linotype"/>
          <w:sz w:val="21"/>
          <w:szCs w:val="21"/>
        </w:rPr>
        <w:t>“</w:t>
      </w:r>
      <w:r w:rsidRPr="00E10347">
        <w:rPr>
          <w:rFonts w:ascii="Palatino Linotype" w:hAnsi="Palatino Linotype"/>
          <w:i/>
          <w:sz w:val="21"/>
          <w:szCs w:val="21"/>
        </w:rPr>
        <w:t>Son documentos públicos todos aquellos que hayan sido redactados o extendidos por funcionarios públicos, según las formas requeridas y dentro del límite de sus atribuciones</w:t>
      </w:r>
      <w:r w:rsidRPr="00E10347">
        <w:rPr>
          <w:rFonts w:ascii="Palatino Linotype" w:hAnsi="Palatino Linotype"/>
          <w:sz w:val="21"/>
          <w:szCs w:val="21"/>
        </w:rPr>
        <w:t>...”</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Este artículo sigue, pero adolece de la confusión reinante en nuestra legislación en general y menciona:</w:t>
      </w:r>
    </w:p>
    <w:p w:rsidR="00A22DC1" w:rsidRPr="00E10347" w:rsidRDefault="00A22DC1" w:rsidP="00CA49F0">
      <w:pPr>
        <w:ind w:firstLine="708"/>
        <w:jc w:val="both"/>
        <w:rPr>
          <w:rFonts w:ascii="Palatino Linotype" w:hAnsi="Palatino Linotype"/>
          <w:sz w:val="21"/>
          <w:szCs w:val="21"/>
        </w:rPr>
      </w:pPr>
      <w:r w:rsidRPr="00E10347">
        <w:rPr>
          <w:rFonts w:ascii="Palatino Linotype" w:hAnsi="Palatino Linotype"/>
          <w:sz w:val="21"/>
          <w:szCs w:val="21"/>
        </w:rPr>
        <w:t>“</w:t>
      </w:r>
      <w:r w:rsidRPr="00E10347">
        <w:rPr>
          <w:rFonts w:ascii="Palatino Linotype" w:hAnsi="Palatino Linotype"/>
          <w:i/>
          <w:sz w:val="21"/>
          <w:szCs w:val="21"/>
        </w:rPr>
        <w:t>Es instrumento público, la escritura otorgada ante un notario público.</w:t>
      </w:r>
      <w:r w:rsidRPr="00E10347">
        <w:rPr>
          <w:rFonts w:ascii="Palatino Linotype" w:hAnsi="Palatino Linotype"/>
          <w:sz w:val="21"/>
          <w:szCs w:val="21"/>
        </w:rPr>
        <w:t>”</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Esto nos lleva a una confusión, el instrumento público con la escritura pública, dándole el mismo rango, omitiendo que ésta es una especie, de aquel que es el género. Siendo que por lo general la prueba legal, coexiste con la libre, el documento público es una prueba de cierto modo preestablecida. Y cuyos efectos en el proceso se producen sin necesidad de ulterior comprobación.</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lastRenderedPageBreak/>
        <w:t xml:space="preserve">En atención a lo expuesto, es que entendemos a los documentos públicos Notariales como aquellos expedidos por un Notario público o Notario consular en el ejercicio de sus funciones, dentro de los límites, competencia y formalidades establecidos por la ley. </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 xml:space="preserve">Atendiendo el mundo de la forma, diremos que estos deben ser redactados en español, puesto que el artículo 126, inciso c), del Código Notarial, prohíbe la posibilidad de redactar documentos públicos en un idioma distinto al español, sancionando con nulidad absoluta, aquellos otorgados en contrariedad con esta disposición, esto salvo el caso de marcas, nombres de personas o lugares y como se ha sostenido en ellos, no se aceptan testaduras, raspaduras, tachaduras, entre renglonaduras, ni borrones. A no ser, que el tipo de documento requiera de una forma de corrección particular, éstos se enmiendan por medio de notas al final del documento, antes de las firmas o bien mediante documentos adicionales. </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En los documentos otorgados por el Notario se deben de guardar, al igual que en la legislación anterior, ciertos cuidados. El Código no permite el uso de números en cifras, excepto que se trate de certificaciones hechas mediante fotocopias o cuando se transcriban literalmente documentos u otras piezas; además, deben de escribirse en papel tamaño oficio y podrán contener los medios de seguridad que establezca la Dirección Nacional del Notariado o bien el Registro Público para aquellos documentos que vayan a inscribirse en el mismo. (Artículo 74). Además, no se permite usar abreviaturas, símbolos y signos, ni dejar espacios en blanco (artículo 73).</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 xml:space="preserve">Cuando se transcriba o certifique, parcialmente, un documento, se debe de indicar que lo que se omite no altera, desvirtúa o restringe lo transcrito (artículo 77). </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 xml:space="preserve">Lo anterior procura evitar que una omisión oculta con intención oscura, pueda no ser reflejo de la voluntad consentida de las partes que se expresa en la matriz, dando un resultado diferente de las intenciones en el testimonio, copia supuestamente autentica de la matriz. En caso de no saber o no poder firmar, se debe de impregnar la huella, y el Notario deberá de indicar a cuál dedo corresponde. El documento notarial debe estar mecanografiado, con carácter indeleble, o con tinta o impresión indeleble; la desatención de esto puede acarrear una nulidad absoluta (artículo 126, inciso e). El lenguaje que se utilice en los documentos notariales debe ser claro y simple, pero sobretodo, jurídico. </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 xml:space="preserve">La conceptualización adecuada es fundamental con el fin de no variar la voluntad de los comparecientes. En este sentido, señalamos lo referido por Pérez </w:t>
      </w:r>
      <w:r w:rsidRPr="00E10347">
        <w:rPr>
          <w:rFonts w:ascii="Palatino Linotype" w:hAnsi="Palatino Linotype"/>
          <w:sz w:val="21"/>
          <w:szCs w:val="21"/>
        </w:rPr>
        <w:lastRenderedPageBreak/>
        <w:t xml:space="preserve">Fernández del Castillo: </w:t>
      </w:r>
    </w:p>
    <w:p w:rsidR="00A22DC1" w:rsidRPr="00E10347" w:rsidRDefault="00A22DC1" w:rsidP="00E10347">
      <w:pPr>
        <w:ind w:left="708"/>
        <w:jc w:val="both"/>
        <w:rPr>
          <w:rFonts w:ascii="Palatino Linotype" w:hAnsi="Palatino Linotype"/>
          <w:sz w:val="21"/>
          <w:szCs w:val="21"/>
        </w:rPr>
      </w:pPr>
      <w:r w:rsidRPr="00E10347">
        <w:rPr>
          <w:rStyle w:val="Refdenotaalpie"/>
          <w:rFonts w:ascii="Palatino Linotype" w:hAnsi="Palatino Linotype"/>
          <w:sz w:val="21"/>
          <w:szCs w:val="21"/>
        </w:rPr>
        <w:footnoteReference w:id="389"/>
      </w:r>
      <w:r w:rsidRPr="00E10347">
        <w:rPr>
          <w:rFonts w:ascii="Palatino Linotype" w:hAnsi="Palatino Linotype"/>
          <w:i/>
          <w:sz w:val="21"/>
          <w:szCs w:val="21"/>
        </w:rPr>
        <w:t xml:space="preserve"> “todos los idiomas, todos los lenguajes requieren una conexión entre el pensamiento y la expresión, así como la fórmula matemática nos ahorra la reproducción de complicados procesos de ideas, así el vocablo jurídico nos da la precisión del concepto auténtico, consagrado por los siglos o acuñado en la vida moderna como el más preciso para el caso.”</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 xml:space="preserve">En toda interpretación se busca el contenido real del contrato con base en la voluntad expresa e interna de los contratantes, dentro de un contexto jurídico, dentro de un lenguaje que ofrece el Derecho para ello. </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 xml:space="preserve">Las características físicas del documento están siendo redescubiertas, su morfología, alcances son objeto de estudio, debate y empleo en la actualidad, temas que se discuten con el acompañamiento de términos como el Notario cibernético, la firma electrónica, la contratación cibernética y el documento electrónico, pero pese al cambio que eventualmente inundará las relaciones jurídicas, es indudable que el documento es una de las cimientes donde se planta el Derecho Notarial. </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 xml:space="preserve">El tema que despierta espantos en algunos sectores, no debería ser tal, el cambio de su ámbito material y su trasmisión no es más que adaptar las concepciones históricas del documento a las nuevas tecnologías, tal y como ya se está haciendo. </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En razón de esa virtud insustituible que es la de dotar fe, certeza, valor y eficacia a la voluntad documentada, es así como se proyecta, el documento notarial en cinco aspectos;</w:t>
      </w:r>
    </w:p>
    <w:p w:rsidR="00A22DC1" w:rsidRPr="00E10347" w:rsidRDefault="00A22DC1" w:rsidP="00E10347">
      <w:pPr>
        <w:ind w:left="708"/>
        <w:jc w:val="both"/>
        <w:rPr>
          <w:rFonts w:ascii="Palatino Linotype" w:hAnsi="Palatino Linotype"/>
          <w:sz w:val="21"/>
          <w:szCs w:val="21"/>
        </w:rPr>
      </w:pPr>
      <w:r w:rsidRPr="00E10347">
        <w:rPr>
          <w:rFonts w:ascii="Palatino Linotype" w:hAnsi="Palatino Linotype"/>
          <w:sz w:val="21"/>
          <w:szCs w:val="21"/>
        </w:rPr>
        <w:t>a) Temporal, la función de permanencia del hecho y de derecho mediante el objeto material de la misma función, lo cual es el documento.</w:t>
      </w:r>
    </w:p>
    <w:p w:rsidR="00A22DC1" w:rsidRPr="00E10347" w:rsidRDefault="00A22DC1" w:rsidP="00E10347">
      <w:pPr>
        <w:ind w:left="708"/>
        <w:jc w:val="both"/>
        <w:rPr>
          <w:rFonts w:ascii="Palatino Linotype" w:hAnsi="Palatino Linotype"/>
          <w:sz w:val="21"/>
          <w:szCs w:val="21"/>
        </w:rPr>
      </w:pPr>
      <w:r w:rsidRPr="00E10347">
        <w:rPr>
          <w:rFonts w:ascii="Palatino Linotype" w:hAnsi="Palatino Linotype"/>
          <w:sz w:val="21"/>
          <w:szCs w:val="21"/>
        </w:rPr>
        <w:t>b) Espacial, ya que está destinado a evidenciar su condición corporal.</w:t>
      </w:r>
    </w:p>
    <w:p w:rsidR="00A22DC1" w:rsidRPr="00E10347" w:rsidRDefault="00A22DC1" w:rsidP="00E10347">
      <w:pPr>
        <w:ind w:left="708"/>
        <w:jc w:val="both"/>
        <w:rPr>
          <w:rFonts w:ascii="Palatino Linotype" w:hAnsi="Palatino Linotype"/>
          <w:sz w:val="21"/>
          <w:szCs w:val="21"/>
        </w:rPr>
      </w:pPr>
      <w:r w:rsidRPr="00E10347">
        <w:rPr>
          <w:rFonts w:ascii="Palatino Linotype" w:hAnsi="Palatino Linotype"/>
          <w:sz w:val="21"/>
          <w:szCs w:val="21"/>
        </w:rPr>
        <w:t>c) Sustancial, para lograr, con el documento, la constitución de hechos o relaciones jurídicas, así como su extinción, modificación o traslado.</w:t>
      </w:r>
    </w:p>
    <w:p w:rsidR="00A22DC1" w:rsidRPr="00E10347" w:rsidRDefault="00A22DC1" w:rsidP="00E10347">
      <w:pPr>
        <w:ind w:left="708"/>
        <w:jc w:val="both"/>
        <w:rPr>
          <w:rFonts w:ascii="Palatino Linotype" w:hAnsi="Palatino Linotype"/>
          <w:sz w:val="21"/>
          <w:szCs w:val="21"/>
        </w:rPr>
      </w:pPr>
      <w:r w:rsidRPr="00E10347">
        <w:rPr>
          <w:rFonts w:ascii="Palatino Linotype" w:hAnsi="Palatino Linotype"/>
          <w:sz w:val="21"/>
          <w:szCs w:val="21"/>
        </w:rPr>
        <w:t>d) La autenticidad, con la razón de veracidad de los acontecimientos o negocios que en él se consignan.</w:t>
      </w:r>
    </w:p>
    <w:p w:rsidR="00A22DC1" w:rsidRPr="00E10347" w:rsidRDefault="00A22DC1" w:rsidP="00E10347">
      <w:pPr>
        <w:ind w:left="708"/>
        <w:jc w:val="both"/>
        <w:rPr>
          <w:rFonts w:ascii="Palatino Linotype" w:hAnsi="Palatino Linotype"/>
          <w:sz w:val="21"/>
          <w:szCs w:val="21"/>
        </w:rPr>
      </w:pPr>
      <w:r w:rsidRPr="00E10347">
        <w:rPr>
          <w:rFonts w:ascii="Palatino Linotype" w:hAnsi="Palatino Linotype"/>
          <w:sz w:val="21"/>
          <w:szCs w:val="21"/>
        </w:rPr>
        <w:t>e) La autoría siendo el escribano, este es autor del documento, aunque no de la expresión del otorgamiento, correspondiéndole este a las partes, sino de autoría como fedatario.</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lastRenderedPageBreak/>
        <w:t>Finalmente hay que distinguir entre el acto o negocio jurídico, como sustrato causal de una trasmisión dominial, (compraventa, permuta, donación, etc.) y el acto traslativo en sí, que incluye un doble contenido:</w:t>
      </w:r>
    </w:p>
    <w:p w:rsidR="00A22DC1" w:rsidRPr="00E10347" w:rsidRDefault="00A22DC1" w:rsidP="00E83320">
      <w:pPr>
        <w:pStyle w:val="Prrafodelista"/>
        <w:widowControl/>
        <w:numPr>
          <w:ilvl w:val="0"/>
          <w:numId w:val="39"/>
        </w:numPr>
        <w:autoSpaceDE/>
        <w:autoSpaceDN/>
        <w:adjustRightInd/>
        <w:jc w:val="both"/>
        <w:rPr>
          <w:rFonts w:ascii="Palatino Linotype" w:hAnsi="Palatino Linotype"/>
          <w:sz w:val="21"/>
          <w:szCs w:val="21"/>
        </w:rPr>
      </w:pPr>
      <w:r w:rsidRPr="00E10347">
        <w:rPr>
          <w:rFonts w:ascii="Palatino Linotype" w:hAnsi="Palatino Linotype"/>
          <w:sz w:val="21"/>
          <w:szCs w:val="21"/>
        </w:rPr>
        <w:t>La declaración de voluntad de trasmitir, concordante con el modo, cual es el hecho de la tradición operada;</w:t>
      </w:r>
    </w:p>
    <w:p w:rsidR="00A22DC1" w:rsidRPr="00E10347" w:rsidRDefault="00A22DC1" w:rsidP="00E83320">
      <w:pPr>
        <w:pStyle w:val="Prrafodelista"/>
        <w:widowControl/>
        <w:numPr>
          <w:ilvl w:val="0"/>
          <w:numId w:val="39"/>
        </w:numPr>
        <w:autoSpaceDE/>
        <w:autoSpaceDN/>
        <w:adjustRightInd/>
        <w:jc w:val="both"/>
        <w:rPr>
          <w:rFonts w:ascii="Palatino Linotype" w:hAnsi="Palatino Linotype"/>
          <w:sz w:val="21"/>
          <w:szCs w:val="21"/>
        </w:rPr>
      </w:pPr>
      <w:r w:rsidRPr="00E10347">
        <w:rPr>
          <w:rFonts w:ascii="Palatino Linotype" w:hAnsi="Palatino Linotype"/>
          <w:sz w:val="21"/>
          <w:szCs w:val="21"/>
        </w:rPr>
        <w:t xml:space="preserve">La forma, que puede ser instrumento público o privado, siendo la más frecuente la escritura pública. </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El segundo aspecto del negocio, (declaración de voluntad del transmitente con el hecho de la tradición), configura la dimensión del acto (según Núñez Lagos, como dijimos anteriormente), por cuanto en él se configura el esquema del acto formal (partes intervinientes y carácter en que lo hacen, objeto del acto, declaración de voluntad negocial, lectura otorgamiento, firma y autorización).</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 xml:space="preserve">La dimensión papel, que es la estructura física del documento. Tratándose de la escritura pública la dimensión papel está configurada por la intervención del Notario, con facultades fedantes, con competencia material, y territorial y además con actuación regulada formalmente, cual es la del protocolo, como principal exponente de la seguridad y eficacia jurídica en cuanto a la fe pública, y conservación documental. </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 xml:space="preserve">Al dilucidar si la diferencia entre el negocio y su forma nos coloca ante la alternativa de decidir, si la última fue impuesta para ser, para valer, para trascender, para probar, para ejecutar privilegiadamente. </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Es claro, como se dijo, que la razón de ser del documento, devine en su perpetuidad. Desplazar efectos para el documento, son los goles en un partido de futbol. Carente de sentido es aquella intención que se queda en el mundo de los propósitos. Vislumbro un protagónico inaplazable, si bien herético dentro de resulta la concepción tradicional del notariado, más moderno, ágil y necesario, y es aquel de dotar al Notariado de la posibilidad de facilitar la documentación internacional. Ser agente internacional en lugares donde la ocupación del cónsul no abastece las necesidades de los habitantes. Universalizar la documentación universalizar el notariado, siempre dentro de la delimitación territorial del funcionario. Siempre con el recaudo de su función, que es conferir seguridad, no mermarla. Que lo notarios estén en un sitio y los documentos produzcan sus efectos en otro. Que los documentos sean los que viaje. Y surtan su ministerio a nivel global.</w:t>
      </w:r>
    </w:p>
    <w:p w:rsidR="00A22DC1" w:rsidRDefault="00A22DC1" w:rsidP="00E10347">
      <w:pPr>
        <w:jc w:val="both"/>
        <w:rPr>
          <w:rFonts w:ascii="Palatino Linotype" w:hAnsi="Palatino Linotype"/>
          <w:sz w:val="21"/>
          <w:szCs w:val="21"/>
        </w:rPr>
      </w:pPr>
    </w:p>
    <w:p w:rsidR="00CA49F0" w:rsidRPr="00E10347" w:rsidRDefault="00CA49F0" w:rsidP="00E10347">
      <w:pPr>
        <w:jc w:val="both"/>
        <w:rPr>
          <w:rFonts w:ascii="Palatino Linotype" w:hAnsi="Palatino Linotype"/>
          <w:sz w:val="21"/>
          <w:szCs w:val="21"/>
        </w:rPr>
      </w:pPr>
    </w:p>
    <w:p w:rsidR="00A22DC1" w:rsidRPr="00E10347" w:rsidRDefault="00A22DC1" w:rsidP="00E10347">
      <w:pPr>
        <w:jc w:val="center"/>
        <w:rPr>
          <w:rFonts w:ascii="Palatino Linotype" w:hAnsi="Palatino Linotype"/>
          <w:b/>
          <w:sz w:val="21"/>
          <w:szCs w:val="21"/>
        </w:rPr>
      </w:pPr>
      <w:r w:rsidRPr="00E10347">
        <w:rPr>
          <w:rFonts w:ascii="Palatino Linotype" w:hAnsi="Palatino Linotype"/>
          <w:b/>
          <w:sz w:val="21"/>
          <w:szCs w:val="21"/>
        </w:rPr>
        <w:lastRenderedPageBreak/>
        <w:t>EL DOCUMENTO PUBLICO EN EL NUEVO CODIGO PROCESAL CIVIL.</w:t>
      </w:r>
    </w:p>
    <w:p w:rsidR="00A22DC1" w:rsidRPr="00E10347" w:rsidRDefault="00A22DC1" w:rsidP="00E10347">
      <w:pPr>
        <w:jc w:val="center"/>
        <w:rPr>
          <w:rFonts w:ascii="Palatino Linotype" w:hAnsi="Palatino Linotype"/>
          <w:b/>
          <w:sz w:val="21"/>
          <w:szCs w:val="21"/>
        </w:rPr>
      </w:pP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Habiendo dicho como se ha mencionado, el privilegio con que cuenta el instrumento publico, advertirnos las variantes que contrastan con la actual legislación.</w:t>
      </w:r>
    </w:p>
    <w:p w:rsidR="00A22DC1" w:rsidRPr="00E10347" w:rsidRDefault="00A22DC1" w:rsidP="00CA49F0">
      <w:pPr>
        <w:ind w:firstLine="708"/>
        <w:jc w:val="both"/>
        <w:rPr>
          <w:rFonts w:ascii="Palatino Linotype" w:hAnsi="Palatino Linotype"/>
          <w:sz w:val="21"/>
          <w:szCs w:val="21"/>
        </w:rPr>
      </w:pPr>
      <w:r w:rsidRPr="00E10347">
        <w:rPr>
          <w:rFonts w:ascii="Palatino Linotype" w:hAnsi="Palatino Linotype"/>
          <w:sz w:val="21"/>
          <w:szCs w:val="21"/>
        </w:rPr>
        <w:t>Como se ha indicado, su condición, genética no ofrece cambios significativos en relación a la legislación actual. Como se dijo contiene la materialización del pensamiento</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 xml:space="preserve">Desde su perspectiva original, </w:t>
      </w:r>
      <w:r w:rsidRPr="00E10347">
        <w:rPr>
          <w:rFonts w:ascii="Palatino Linotype" w:hAnsi="Palatino Linotype"/>
          <w:b/>
          <w:i/>
          <w:sz w:val="21"/>
          <w:szCs w:val="21"/>
        </w:rPr>
        <w:t xml:space="preserve">docet </w:t>
      </w:r>
      <w:r w:rsidRPr="00E10347">
        <w:rPr>
          <w:rFonts w:ascii="Palatino Linotype" w:hAnsi="Palatino Linotype"/>
          <w:sz w:val="21"/>
          <w:szCs w:val="21"/>
        </w:rPr>
        <w:t>que se dirige a acreditar, a dejar constancia de lo sucedido. Así, procesalmente se refiere más a una prueba documental que se plasma por escrito y en forma original e indubitable las conductas constitutivas de las relaciones jurídicas o que se vinculan con ella.</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El instrumento es la faceta física, palpable y palmaria de la fe pública. El elemento columnar del Notario. Es la constatación fisca de aquella.</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El código notarial se ocupa de los documentos notariales a partir del artículo 70 hasta el artículo 127. Nuestro actual código lo hace a partir del artículo 45.2.</w:t>
      </w:r>
    </w:p>
    <w:p w:rsidR="00A22DC1" w:rsidRPr="00E10347" w:rsidRDefault="00A22DC1" w:rsidP="00E10347">
      <w:pPr>
        <w:jc w:val="both"/>
        <w:rPr>
          <w:rFonts w:ascii="Palatino Linotype" w:hAnsi="Palatino Linotype"/>
          <w:sz w:val="21"/>
          <w:szCs w:val="21"/>
        </w:rPr>
      </w:pPr>
    </w:p>
    <w:p w:rsidR="00A22DC1" w:rsidRPr="00E10347" w:rsidRDefault="00A22DC1" w:rsidP="00E10347">
      <w:pPr>
        <w:ind w:left="1416"/>
        <w:jc w:val="both"/>
        <w:rPr>
          <w:rFonts w:ascii="Palatino Linotype" w:hAnsi="Palatino Linotype"/>
          <w:i/>
          <w:sz w:val="21"/>
          <w:szCs w:val="21"/>
        </w:rPr>
      </w:pPr>
      <w:r w:rsidRPr="00E10347">
        <w:rPr>
          <w:rFonts w:ascii="Palatino Linotype" w:hAnsi="Palatino Linotype"/>
          <w:i/>
          <w:sz w:val="21"/>
          <w:szCs w:val="21"/>
        </w:rPr>
        <w:t>“Articulo 45. 2 del Nuevo Código Procesal Civil: Documentos públicos. Documentos públicos son todos aquellos redactados o extendidos por funcionarios públicos, según las formas requeridas y dentro del límite de sus atribuciones y los calificados con ese carácter por la ley. También, tendrán esa naturaleza los otorgados en el extranjero con ese carácter en virtud de tratados, convenios internacionales o el derecho internacional. A falta de norma escrita, tales documentos deben cumplir los requisitos del ordenamiento jurídico donde se hayan otorgado. El documento otorgado por las partes ante un notario hace fe, no solo de la existencia de la convención o disposición para la cual ha sido otorgado, sino aun de los hechos o actos jurídicos anteriores que se relatan en él, en los términos simplemente enunciativos, con tal de que la enunciación se enlace directamente con la convención o disposición principal. Las reproducciones de los documentos tendrán la eficacia probatoria de estos, si el funcionario autorizante certifica la razón de ser copias fieles de los originales. La misma eficacia tendrán las copias simples, cuya autenticidad no haya sido impugnada oportunamente.”</w:t>
      </w:r>
    </w:p>
    <w:p w:rsidR="00A22DC1" w:rsidRPr="00E10347" w:rsidRDefault="00A22DC1" w:rsidP="00E10347">
      <w:pPr>
        <w:jc w:val="both"/>
        <w:rPr>
          <w:rFonts w:ascii="Palatino Linotype" w:hAnsi="Palatino Linotype"/>
          <w:sz w:val="21"/>
          <w:szCs w:val="21"/>
        </w:rPr>
      </w:pPr>
      <w:r w:rsidRPr="00E10347">
        <w:rPr>
          <w:rFonts w:ascii="Palatino Linotype" w:hAnsi="Palatino Linotype"/>
          <w:sz w:val="21"/>
          <w:szCs w:val="21"/>
        </w:rPr>
        <w:t xml:space="preserve">Si nos detenemos en la definición. Vemos como la primera parte se ajusta a lo </w:t>
      </w:r>
      <w:r w:rsidRPr="00E10347">
        <w:rPr>
          <w:rFonts w:ascii="Palatino Linotype" w:hAnsi="Palatino Linotype"/>
          <w:sz w:val="21"/>
          <w:szCs w:val="21"/>
        </w:rPr>
        <w:lastRenderedPageBreak/>
        <w:t>detallando y explicado anteriormente. No entraña mucha diferencia de lo que contiene el actual artículo 369 del C.P.C.</w:t>
      </w:r>
    </w:p>
    <w:p w:rsidR="00A22DC1" w:rsidRPr="00E10347" w:rsidRDefault="00A22DC1" w:rsidP="00E10347">
      <w:pPr>
        <w:ind w:firstLine="708"/>
        <w:jc w:val="both"/>
        <w:rPr>
          <w:rStyle w:val="Textoennegrita"/>
          <w:rFonts w:ascii="Palatino Linotype" w:hAnsi="Palatino Linotype"/>
          <w:sz w:val="21"/>
          <w:szCs w:val="21"/>
        </w:rPr>
      </w:pPr>
      <w:r w:rsidRPr="00E10347">
        <w:rPr>
          <w:rFonts w:ascii="Palatino Linotype" w:hAnsi="Palatino Linotype"/>
          <w:sz w:val="21"/>
          <w:szCs w:val="21"/>
        </w:rPr>
        <w:t xml:space="preserve">Se hace mención de documentos otorgado en el extranjero como lo seria, la </w:t>
      </w:r>
      <w:r w:rsidRPr="00E10347">
        <w:rPr>
          <w:rStyle w:val="Textoennegrita"/>
          <w:rFonts w:ascii="Palatino Linotype" w:hAnsi="Palatino Linotype"/>
          <w:sz w:val="21"/>
          <w:szCs w:val="21"/>
        </w:rPr>
        <w:t>CONVENCIÓN INTERAMERICANA SOBRE RÉGIMEN LEGAL DE PODERES PARA SER UTILIZADOS EN EL EXTRANJERO (Convención de Panamá 1975)</w:t>
      </w:r>
    </w:p>
    <w:p w:rsidR="00A22DC1" w:rsidRPr="00CA49F0" w:rsidRDefault="00A22DC1" w:rsidP="00E10347">
      <w:pPr>
        <w:ind w:firstLine="708"/>
        <w:jc w:val="both"/>
        <w:rPr>
          <w:rStyle w:val="Textoennegrita"/>
          <w:rFonts w:ascii="Palatino Linotype" w:hAnsi="Palatino Linotype"/>
          <w:b w:val="0"/>
          <w:sz w:val="21"/>
          <w:szCs w:val="21"/>
        </w:rPr>
      </w:pPr>
      <w:r w:rsidRPr="00CA49F0">
        <w:rPr>
          <w:rStyle w:val="Textoennegrita"/>
          <w:rFonts w:ascii="Palatino Linotype" w:hAnsi="Palatino Linotype"/>
          <w:b w:val="0"/>
          <w:sz w:val="21"/>
          <w:szCs w:val="21"/>
        </w:rPr>
        <w:t>En abono a lo indicado, considero, abusando de mi libertad de cátedra, que el mundo debe dirigirse al encuentro de esa la uniformidad y universalidad de la trasmisión de documentos otorgados en el extranjero, con el propósito de ser utilizados en otros países sin trabas ni obstáculos.</w:t>
      </w:r>
    </w:p>
    <w:p w:rsidR="00A22DC1" w:rsidRPr="00CA49F0" w:rsidRDefault="00A22DC1" w:rsidP="00E10347">
      <w:pPr>
        <w:ind w:firstLine="708"/>
        <w:jc w:val="both"/>
        <w:rPr>
          <w:rStyle w:val="Textoennegrita"/>
          <w:rFonts w:ascii="Palatino Linotype" w:hAnsi="Palatino Linotype"/>
          <w:b w:val="0"/>
          <w:sz w:val="21"/>
          <w:szCs w:val="21"/>
        </w:rPr>
      </w:pPr>
      <w:r w:rsidRPr="00CA49F0">
        <w:rPr>
          <w:rStyle w:val="Textoennegrita"/>
          <w:rFonts w:ascii="Palatino Linotype" w:hAnsi="Palatino Linotype"/>
          <w:b w:val="0"/>
          <w:sz w:val="21"/>
          <w:szCs w:val="21"/>
        </w:rPr>
        <w:t xml:space="preserve">La segunda parte del artículo, al referirse a los documentos que se otorgan ante notario, (371 C.P.C.) contiene las mismas disposiciones ya existentes, y solo ocurrió una reorganización del artículo, el cual constaba en tres artículos, para ser condensados en uno. </w:t>
      </w:r>
    </w:p>
    <w:p w:rsidR="00A22DC1" w:rsidRPr="00CA49F0" w:rsidRDefault="00A22DC1" w:rsidP="00E10347">
      <w:pPr>
        <w:ind w:firstLine="708"/>
        <w:jc w:val="both"/>
        <w:rPr>
          <w:rStyle w:val="Textoennegrita"/>
          <w:rFonts w:ascii="Palatino Linotype" w:hAnsi="Palatino Linotype"/>
          <w:b w:val="0"/>
          <w:sz w:val="21"/>
          <w:szCs w:val="21"/>
        </w:rPr>
      </w:pPr>
      <w:r w:rsidRPr="00CA49F0">
        <w:rPr>
          <w:rStyle w:val="Textoennegrita"/>
          <w:rFonts w:ascii="Palatino Linotype" w:hAnsi="Palatino Linotype"/>
          <w:b w:val="0"/>
          <w:sz w:val="21"/>
          <w:szCs w:val="21"/>
        </w:rPr>
        <w:t>Sin embargo al respecto cabe hacer las siguientes afirmaciones: El proceso disciplinario notarial, no tiene la facultad de declarar la nulidad de un instrumento, en la actualmente; para ello está la vida penal, por medio del delito de falsedad ideológica, o bien el proceso ordinario.</w:t>
      </w:r>
    </w:p>
    <w:p w:rsidR="00A22DC1" w:rsidRPr="00CA49F0" w:rsidRDefault="00A22DC1" w:rsidP="00E10347">
      <w:pPr>
        <w:ind w:firstLine="708"/>
        <w:jc w:val="both"/>
        <w:rPr>
          <w:rStyle w:val="Textoennegrita"/>
          <w:rFonts w:ascii="Palatino Linotype" w:hAnsi="Palatino Linotype"/>
          <w:b w:val="0"/>
          <w:sz w:val="21"/>
          <w:szCs w:val="21"/>
        </w:rPr>
      </w:pPr>
      <w:r w:rsidRPr="00CA49F0">
        <w:rPr>
          <w:rStyle w:val="Textoennegrita"/>
          <w:rFonts w:ascii="Palatino Linotype" w:hAnsi="Palatino Linotype"/>
          <w:b w:val="0"/>
          <w:sz w:val="21"/>
          <w:szCs w:val="21"/>
        </w:rPr>
        <w:t>Ahora conviene diferencias la veracidad de las manifestaciones del notario, en relación a la veracidad de las manifestaciones de las partes. O lo que es lo mismo, la falsedad ideológica por la inserción de datos falsos en un instrumento público o auténtico, a la simulación del instrumentos.</w:t>
      </w:r>
    </w:p>
    <w:p w:rsidR="00A22DC1" w:rsidRPr="00CA49F0" w:rsidRDefault="00A22DC1" w:rsidP="00E10347">
      <w:pPr>
        <w:ind w:firstLine="708"/>
        <w:jc w:val="both"/>
        <w:rPr>
          <w:rStyle w:val="Textoennegrita"/>
          <w:rFonts w:ascii="Palatino Linotype" w:hAnsi="Palatino Linotype"/>
          <w:b w:val="0"/>
          <w:sz w:val="21"/>
          <w:szCs w:val="21"/>
        </w:rPr>
      </w:pPr>
      <w:r w:rsidRPr="00CA49F0">
        <w:rPr>
          <w:rStyle w:val="Textoennegrita"/>
          <w:rFonts w:ascii="Palatino Linotype" w:hAnsi="Palatino Linotype"/>
          <w:b w:val="0"/>
          <w:sz w:val="21"/>
          <w:szCs w:val="21"/>
        </w:rPr>
        <w:t>Las siguientes jurisprudencias aclaran el asunto. Veamos.</w:t>
      </w:r>
    </w:p>
    <w:p w:rsidR="00A22DC1" w:rsidRPr="00CA49F0" w:rsidRDefault="00A22DC1" w:rsidP="00E83320">
      <w:pPr>
        <w:pStyle w:val="Prrafodelista"/>
        <w:widowControl/>
        <w:numPr>
          <w:ilvl w:val="0"/>
          <w:numId w:val="37"/>
        </w:numPr>
        <w:shd w:val="clear" w:color="auto" w:fill="FFFFFF"/>
        <w:autoSpaceDE/>
        <w:autoSpaceDN/>
        <w:adjustRightInd/>
        <w:jc w:val="both"/>
        <w:rPr>
          <w:rFonts w:ascii="Palatino Linotype" w:eastAsia="Times New Roman" w:hAnsi="Palatino Linotype"/>
          <w:sz w:val="21"/>
          <w:szCs w:val="21"/>
          <w:lang w:eastAsia="es-CR"/>
        </w:rPr>
      </w:pPr>
      <w:r w:rsidRPr="00CA49F0">
        <w:rPr>
          <w:rFonts w:ascii="Palatino Linotype" w:eastAsia="Times New Roman" w:hAnsi="Palatino Linotype"/>
          <w:spacing w:val="-3"/>
          <w:sz w:val="21"/>
          <w:szCs w:val="21"/>
          <w:u w:val="single"/>
          <w:lang w:eastAsia="es-CR"/>
        </w:rPr>
        <w:t>Nº 042- SALA PRIMERA DE LA CORTE SUPREMA DE JUSTICIA.-</w:t>
      </w:r>
      <w:r w:rsidRPr="00CA49F0">
        <w:rPr>
          <w:rFonts w:ascii="Palatino Linotype" w:eastAsia="Times New Roman" w:hAnsi="Palatino Linotype"/>
          <w:sz w:val="21"/>
          <w:szCs w:val="21"/>
          <w:lang w:eastAsia="es-CR"/>
        </w:rPr>
        <w:t xml:space="preserve"> </w:t>
      </w:r>
      <w:r w:rsidRPr="00CA49F0">
        <w:rPr>
          <w:rFonts w:ascii="Palatino Linotype" w:eastAsia="Times New Roman" w:hAnsi="Palatino Linotype"/>
          <w:sz w:val="21"/>
          <w:szCs w:val="21"/>
          <w:shd w:val="clear" w:color="auto" w:fill="FFFFFF"/>
          <w:lang w:eastAsia="es-CR"/>
        </w:rPr>
        <w:t>San José, a las quince horas del catorce de mayo de mil novecientos noventa y siete.</w:t>
      </w:r>
    </w:p>
    <w:p w:rsidR="00A22DC1" w:rsidRPr="00E10347" w:rsidRDefault="00A22DC1" w:rsidP="00E10347">
      <w:pPr>
        <w:ind w:left="360"/>
        <w:jc w:val="both"/>
        <w:rPr>
          <w:rFonts w:ascii="Palatino Linotype" w:hAnsi="Palatino Linotype"/>
          <w:sz w:val="21"/>
          <w:szCs w:val="21"/>
          <w:shd w:val="clear" w:color="auto" w:fill="FFFFFF"/>
        </w:rPr>
      </w:pPr>
      <w:r w:rsidRPr="00E10347">
        <w:rPr>
          <w:rFonts w:ascii="Palatino Linotype" w:hAnsi="Palatino Linotype"/>
          <w:sz w:val="21"/>
          <w:szCs w:val="21"/>
          <w:shd w:val="clear" w:color="auto" w:fill="FFFFFF"/>
        </w:rPr>
        <w:t xml:space="preserve">IV-....Si bien el artículo 370 del Código Procesal Civil establece que "Los documentos o instrumentos públicos, mientras no sean argüidos de falsos, hacen plena prueba de la existencia material de los hechos que el oficial público afirma en ellos haber realizado él mismo, o haber pasado en su presencia en el ejercicio de sus funciones", en reiteradas ocasiones ha sostenido esta Sala que "... para atacar un negocio simulado no se requiere impugnar o argüir de falso el documento público, pues el Notario consigna en la escritura pública que los contratantes comparecen ante él e indican haber celebrado el contrato en la forma relatada ahí, y es, precisamente, de esto que da fe el Notario, del dicho de las partes, no de haberse realizado el contrato en los términos exactos que indican los comparecientes; si de esto último diera fe el Notario, </w:t>
      </w:r>
      <w:r w:rsidR="002A76CC">
        <w:rPr>
          <w:rFonts w:ascii="Palatino Linotype" w:hAnsi="Palatino Linotype"/>
          <w:sz w:val="21"/>
          <w:szCs w:val="21"/>
          <w:shd w:val="clear" w:color="auto" w:fill="FFFFFF"/>
        </w:rPr>
        <w:t xml:space="preserve">solo </w:t>
      </w:r>
      <w:r w:rsidRPr="00E10347">
        <w:rPr>
          <w:rFonts w:ascii="Palatino Linotype" w:hAnsi="Palatino Linotype"/>
          <w:sz w:val="21"/>
          <w:szCs w:val="21"/>
          <w:shd w:val="clear" w:color="auto" w:fill="FFFFFF"/>
        </w:rPr>
        <w:t xml:space="preserve">se podría </w:t>
      </w:r>
      <w:r w:rsidRPr="00E10347">
        <w:rPr>
          <w:rFonts w:ascii="Palatino Linotype" w:hAnsi="Palatino Linotype"/>
          <w:sz w:val="21"/>
          <w:szCs w:val="21"/>
          <w:shd w:val="clear" w:color="auto" w:fill="FFFFFF"/>
        </w:rPr>
        <w:lastRenderedPageBreak/>
        <w:t>destruir mediante una declaratoria de falsedad en la vía penal. Limitándose a consignar lo dicho por los contratantes, ello es lo único que tiene valor de plena prueba, pues esos son los hechos que pasan en su presencia, lo que dicen los contratantes, según lo relata la escritura, sin que pueda tenerse por cierto y real el contrato tal y como lo refieren las partes, porque bien pueden convenir en una cosa y manifestar otra (Casación número 123 de las 14 horas 45 minutos del 6 de diciembre de 1967; Sala Primera de la Corte número 311 de las 15 horas 30 minutos del 31 de octubre de 1990). La acción de nulidad por simulación no lastima para nada el principio de la fe pública, pues constituye un ataque al contenido intrínseco de la escritura pública y no al contenido extrínseco de ella; se ataca el contenido volitivo o psicológico manifestado por las partes y no propiamente el documento. La concepción, según la cual para atacar un instrumento público por simulación debe, de previo, argüirse de falso, deriva de una confusión entre la simulación y el fraude que son dos figuras afines, y cuya distinción no cabe formularla en el presente asunto. La impugnación del documento por falsedad debe intentarse cuando haya sido alterada la verdad material de las manifestaciones de los comparecientes o de los hechos ocurridos en presencia del documento. La veracidad de las manifestaciones y consentimiento de las partes intervinientes, elemento subjetivo, quedan al margen del documento y su autenticidad, y admiten prueba en contrario, sin que ello vaya en detrimento de la fe atribuida al instrumento público. Es decir, no se ataca la verdad objetiva contenida en el documento, sino su sinceridad, la cual no puede garantizar el Notario. En suma tal y como lo ha afirmado la Casación, la fe pública notarial protege lo que el Notario afirma haber realizado él mismo o haber pasado en su presencia; pero no se extiende a hacer verdaderas las manifestaciones de los otorgantes. Por lo que sin atacar de falsa la escritura, bien puede demostrarse la inexactitud de esas manifestaciones, por otros medios de prueba (Sala de Casación No. 22 de las 14:30 horas. del 31 de marzo de 1970 y sentencia No. 30 de las 14:45 horas del 20 de marzo de 1991).</w:t>
      </w:r>
    </w:p>
    <w:p w:rsidR="00A22DC1" w:rsidRPr="00E10347" w:rsidRDefault="00A22DC1" w:rsidP="00E10347">
      <w:pPr>
        <w:jc w:val="both"/>
        <w:rPr>
          <w:rFonts w:ascii="Palatino Linotype" w:hAnsi="Palatino Linotype"/>
          <w:sz w:val="21"/>
          <w:szCs w:val="21"/>
          <w:shd w:val="clear" w:color="auto" w:fill="FFFFFF"/>
        </w:rPr>
      </w:pPr>
    </w:p>
    <w:p w:rsidR="00A22DC1" w:rsidRPr="00E10347" w:rsidRDefault="00A22DC1" w:rsidP="00E83320">
      <w:pPr>
        <w:pStyle w:val="Prrafodelista"/>
        <w:widowControl/>
        <w:numPr>
          <w:ilvl w:val="0"/>
          <w:numId w:val="37"/>
        </w:numPr>
        <w:autoSpaceDE/>
        <w:autoSpaceDN/>
        <w:adjustRightInd/>
        <w:jc w:val="both"/>
        <w:rPr>
          <w:rFonts w:ascii="Palatino Linotype" w:hAnsi="Palatino Linotype"/>
          <w:b/>
          <w:sz w:val="21"/>
          <w:szCs w:val="21"/>
          <w:shd w:val="clear" w:color="auto" w:fill="FFFFFF"/>
        </w:rPr>
      </w:pPr>
      <w:r w:rsidRPr="00E10347">
        <w:rPr>
          <w:rFonts w:ascii="Palatino Linotype" w:hAnsi="Palatino Linotype"/>
          <w:b/>
          <w:sz w:val="21"/>
          <w:szCs w:val="21"/>
          <w:u w:val="single"/>
          <w:shd w:val="clear" w:color="auto" w:fill="FFFFFF"/>
        </w:rPr>
        <w:t xml:space="preserve">Nº 06 </w:t>
      </w:r>
      <w:r w:rsidRPr="00E10347">
        <w:rPr>
          <w:rFonts w:ascii="Palatino Linotype" w:eastAsia="Times New Roman" w:hAnsi="Palatino Linotype"/>
          <w:b/>
          <w:spacing w:val="-3"/>
          <w:sz w:val="21"/>
          <w:szCs w:val="21"/>
          <w:u w:val="single"/>
          <w:lang w:eastAsia="es-CR"/>
        </w:rPr>
        <w:t xml:space="preserve">SALA PRIMERA DE LA CORTE SUPREMA DE JUSTICIA.- </w:t>
      </w:r>
      <w:r w:rsidRPr="00E10347">
        <w:rPr>
          <w:rFonts w:ascii="Palatino Linotype" w:hAnsi="Palatino Linotype"/>
          <w:b/>
          <w:sz w:val="21"/>
          <w:szCs w:val="21"/>
          <w:shd w:val="clear" w:color="auto" w:fill="FFFFFF"/>
        </w:rPr>
        <w:t>San José, a las quince horas cuarenta minutos del diez de enero de mil novecientos noventa.-</w:t>
      </w:r>
    </w:p>
    <w:p w:rsidR="00A22DC1" w:rsidRPr="00E10347" w:rsidRDefault="00A22DC1" w:rsidP="00E10347">
      <w:pPr>
        <w:ind w:left="360"/>
        <w:jc w:val="both"/>
        <w:rPr>
          <w:rFonts w:ascii="Palatino Linotype" w:hAnsi="Palatino Linotype"/>
          <w:sz w:val="21"/>
          <w:szCs w:val="21"/>
          <w:shd w:val="clear" w:color="auto" w:fill="FFFFFF"/>
        </w:rPr>
      </w:pPr>
      <w:r w:rsidRPr="00E10347">
        <w:rPr>
          <w:rFonts w:ascii="Palatino Linotype" w:hAnsi="Palatino Linotype"/>
          <w:sz w:val="21"/>
          <w:szCs w:val="21"/>
          <w:shd w:val="clear" w:color="auto" w:fill="FFFFFF"/>
        </w:rPr>
        <w:t xml:space="preserve">III-. Algo parecido cabe decir de las manifestaciones que en escritura pública hace el vendedor, en el sentido de que transmite su posesión y la de sus </w:t>
      </w:r>
      <w:r w:rsidRPr="00E10347">
        <w:rPr>
          <w:rFonts w:ascii="Palatino Linotype" w:hAnsi="Palatino Linotype"/>
          <w:sz w:val="21"/>
          <w:szCs w:val="21"/>
          <w:shd w:val="clear" w:color="auto" w:fill="FFFFFF"/>
        </w:rPr>
        <w:lastRenderedPageBreak/>
        <w:t xml:space="preserve">transmitentes, porque también no pasan de ser manifestaciones unilaterales suyas, sin que tengan el carácter de prueba por el hecho de constar en escritura pública.- Si bien el artículo 735 del Código Civil establece que los documentos o instrumentos públicos, mientras no sean argüidos de falsos, hacen plena prueba de la existencia material de los hechos que el oficial pública afirma en ellos haber realizado él, o haber pasado en su presencia en el ejercicio de sus funciones, lo cierto es que por regla general lo que el Notario anota es que los contratantes comparecen ante él y dicen haber celebrado el contrato en la forma que allí lo relatan; de esto es de lo que da fe el Notario, de lo que dicen las partes, no de que el contrato se haya celebrado en esos términos exactos, o de que lo que dicen es cierto; si de esto último diera fe el Notario, ello </w:t>
      </w:r>
      <w:r w:rsidR="002A76CC">
        <w:rPr>
          <w:rFonts w:ascii="Palatino Linotype" w:hAnsi="Palatino Linotype"/>
          <w:sz w:val="21"/>
          <w:szCs w:val="21"/>
          <w:shd w:val="clear" w:color="auto" w:fill="FFFFFF"/>
        </w:rPr>
        <w:t xml:space="preserve">solo </w:t>
      </w:r>
      <w:r w:rsidRPr="00E10347">
        <w:rPr>
          <w:rFonts w:ascii="Palatino Linotype" w:hAnsi="Palatino Linotype"/>
          <w:sz w:val="21"/>
          <w:szCs w:val="21"/>
          <w:shd w:val="clear" w:color="auto" w:fill="FFFFFF"/>
        </w:rPr>
        <w:t>se podría destruir mediante la declaratoria de falsedad en la vía penal.- Pero si se limita a consignar lo que dicen los contratantes o comparecientes, esto es lo único que tiene valor de plena prueba, porque esos son los hechos que pasan en su presencia, lo que dicen los contratantes, según lo relata la escritura, pero sin que en tal caso deba tenerse por cierto que el contrato es como lo refieren las partes, o que lo que ellos dicen es cierto, porque bien pueden convenir en una cosa y decir otra.- Así lo ha resuelto reiteradamente la jurisprudencia, desde la Sentencia de Casación número 123 de las 14,45 horas del 6 de diciembre de 1967.- IV.-</w:t>
      </w:r>
    </w:p>
    <w:p w:rsidR="00A22DC1" w:rsidRPr="00E10347" w:rsidRDefault="00A22DC1" w:rsidP="00E10347">
      <w:pPr>
        <w:jc w:val="both"/>
        <w:rPr>
          <w:rFonts w:ascii="Palatino Linotype" w:hAnsi="Palatino Linotype"/>
          <w:sz w:val="21"/>
          <w:szCs w:val="21"/>
          <w:shd w:val="clear" w:color="auto" w:fill="FFFFFF"/>
        </w:rPr>
      </w:pPr>
    </w:p>
    <w:p w:rsidR="00A22DC1" w:rsidRPr="00E10347" w:rsidRDefault="00A22DC1" w:rsidP="00E83320">
      <w:pPr>
        <w:pStyle w:val="Prrafodelista"/>
        <w:widowControl/>
        <w:numPr>
          <w:ilvl w:val="0"/>
          <w:numId w:val="37"/>
        </w:numPr>
        <w:shd w:val="clear" w:color="auto" w:fill="FFFFFF"/>
        <w:autoSpaceDE/>
        <w:autoSpaceDN/>
        <w:adjustRightInd/>
        <w:jc w:val="both"/>
        <w:rPr>
          <w:rFonts w:ascii="Palatino Linotype" w:eastAsia="Times New Roman" w:hAnsi="Palatino Linotype"/>
          <w:b/>
          <w:spacing w:val="-3"/>
          <w:sz w:val="21"/>
          <w:szCs w:val="21"/>
          <w:shd w:val="clear" w:color="auto" w:fill="FFFFFF"/>
          <w:lang w:eastAsia="es-CR"/>
        </w:rPr>
      </w:pPr>
      <w:r w:rsidRPr="00E10347">
        <w:rPr>
          <w:rFonts w:ascii="Palatino Linotype" w:eastAsia="Times New Roman" w:hAnsi="Palatino Linotype"/>
          <w:b/>
          <w:bCs/>
          <w:spacing w:val="-3"/>
          <w:sz w:val="21"/>
          <w:szCs w:val="21"/>
          <w:u w:val="single"/>
          <w:lang w:eastAsia="es-CR"/>
        </w:rPr>
        <w:t>N° 001</w:t>
      </w:r>
      <w:r w:rsidRPr="00E10347">
        <w:rPr>
          <w:rFonts w:ascii="Palatino Linotype" w:eastAsia="Times New Roman" w:hAnsi="Palatino Linotype"/>
          <w:b/>
          <w:sz w:val="21"/>
          <w:szCs w:val="21"/>
          <w:u w:val="single"/>
          <w:lang w:eastAsia="es-CR"/>
        </w:rPr>
        <w:t xml:space="preserve"> </w:t>
      </w:r>
      <w:r w:rsidRPr="00E10347">
        <w:rPr>
          <w:rFonts w:ascii="Palatino Linotype" w:eastAsia="Times New Roman" w:hAnsi="Palatino Linotype"/>
          <w:b/>
          <w:bCs/>
          <w:spacing w:val="-3"/>
          <w:sz w:val="21"/>
          <w:szCs w:val="21"/>
          <w:u w:val="single"/>
          <w:lang w:eastAsia="es-CR"/>
        </w:rPr>
        <w:t>TRIBUNAL SEGUNDO CIVIL, SECCION SEGUNDA</w:t>
      </w:r>
      <w:r w:rsidRPr="00E10347">
        <w:rPr>
          <w:rFonts w:ascii="Palatino Linotype" w:eastAsia="Times New Roman" w:hAnsi="Palatino Linotype"/>
          <w:b/>
          <w:spacing w:val="-3"/>
          <w:sz w:val="21"/>
          <w:szCs w:val="21"/>
          <w:u w:val="single"/>
          <w:lang w:eastAsia="es-CR"/>
        </w:rPr>
        <w:t>.-</w:t>
      </w:r>
      <w:r w:rsidRPr="00E10347">
        <w:rPr>
          <w:rFonts w:ascii="Palatino Linotype" w:eastAsia="Times New Roman" w:hAnsi="Palatino Linotype"/>
          <w:b/>
          <w:sz w:val="21"/>
          <w:szCs w:val="21"/>
          <w:lang w:eastAsia="es-CR"/>
        </w:rPr>
        <w:t xml:space="preserve"> </w:t>
      </w:r>
      <w:r w:rsidRPr="00E10347">
        <w:rPr>
          <w:rFonts w:ascii="Palatino Linotype" w:eastAsia="Times New Roman" w:hAnsi="Palatino Linotype"/>
          <w:b/>
          <w:sz w:val="21"/>
          <w:szCs w:val="21"/>
          <w:shd w:val="clear" w:color="auto" w:fill="FFFFFF"/>
          <w:lang w:eastAsia="es-CR"/>
        </w:rPr>
        <w:t xml:space="preserve">San José, a las quince </w:t>
      </w:r>
      <w:r w:rsidRPr="00E10347">
        <w:rPr>
          <w:rFonts w:ascii="Palatino Linotype" w:eastAsia="Times New Roman" w:hAnsi="Palatino Linotype"/>
          <w:b/>
          <w:spacing w:val="-3"/>
          <w:sz w:val="21"/>
          <w:szCs w:val="21"/>
          <w:shd w:val="clear" w:color="auto" w:fill="FFFFFF"/>
          <w:lang w:eastAsia="es-CR"/>
        </w:rPr>
        <w:t>horas treinta</w:t>
      </w:r>
      <w:r w:rsidRPr="00E10347">
        <w:rPr>
          <w:rFonts w:ascii="Palatino Linotype" w:eastAsia="Times New Roman" w:hAnsi="Palatino Linotype"/>
          <w:b/>
          <w:sz w:val="21"/>
          <w:szCs w:val="21"/>
          <w:shd w:val="clear" w:color="auto" w:fill="FFFFFF"/>
          <w:lang w:eastAsia="es-CR"/>
        </w:rPr>
        <w:t xml:space="preserve"> </w:t>
      </w:r>
      <w:r w:rsidRPr="00E10347">
        <w:rPr>
          <w:rFonts w:ascii="Palatino Linotype" w:eastAsia="Times New Roman" w:hAnsi="Palatino Linotype"/>
          <w:b/>
          <w:spacing w:val="-3"/>
          <w:sz w:val="21"/>
          <w:szCs w:val="21"/>
          <w:shd w:val="clear" w:color="auto" w:fill="FFFFFF"/>
          <w:lang w:eastAsia="es-CR"/>
        </w:rPr>
        <w:t>minutos del dieciséis</w:t>
      </w:r>
      <w:r w:rsidRPr="00E10347">
        <w:rPr>
          <w:rFonts w:ascii="Palatino Linotype" w:eastAsia="Times New Roman" w:hAnsi="Palatino Linotype"/>
          <w:b/>
          <w:sz w:val="21"/>
          <w:szCs w:val="21"/>
          <w:shd w:val="clear" w:color="auto" w:fill="FFFFFF"/>
          <w:lang w:eastAsia="es-CR"/>
        </w:rPr>
        <w:t xml:space="preserve"> </w:t>
      </w:r>
      <w:r w:rsidRPr="00E10347">
        <w:rPr>
          <w:rFonts w:ascii="Palatino Linotype" w:eastAsia="Times New Roman" w:hAnsi="Palatino Linotype"/>
          <w:b/>
          <w:spacing w:val="-3"/>
          <w:sz w:val="21"/>
          <w:szCs w:val="21"/>
          <w:shd w:val="clear" w:color="auto" w:fill="FFFFFF"/>
          <w:lang w:eastAsia="es-CR"/>
        </w:rPr>
        <w:t>de enero</w:t>
      </w:r>
      <w:r w:rsidRPr="00E10347">
        <w:rPr>
          <w:rFonts w:ascii="Palatino Linotype" w:eastAsia="Times New Roman" w:hAnsi="Palatino Linotype"/>
          <w:b/>
          <w:sz w:val="21"/>
          <w:szCs w:val="21"/>
          <w:shd w:val="clear" w:color="auto" w:fill="FFFFFF"/>
          <w:lang w:eastAsia="es-CR"/>
        </w:rPr>
        <w:t xml:space="preserve"> </w:t>
      </w:r>
      <w:r w:rsidRPr="00E10347">
        <w:rPr>
          <w:rFonts w:ascii="Palatino Linotype" w:eastAsia="Times New Roman" w:hAnsi="Palatino Linotype"/>
          <w:b/>
          <w:spacing w:val="-3"/>
          <w:sz w:val="21"/>
          <w:szCs w:val="21"/>
          <w:shd w:val="clear" w:color="auto" w:fill="FFFFFF"/>
          <w:lang w:eastAsia="es-CR"/>
        </w:rPr>
        <w:t>del dos mil cuatro.-</w:t>
      </w:r>
    </w:p>
    <w:p w:rsidR="00A22DC1" w:rsidRPr="00E10347" w:rsidRDefault="00A22DC1" w:rsidP="00E10347">
      <w:pPr>
        <w:shd w:val="clear" w:color="auto" w:fill="FFFFFF"/>
        <w:ind w:left="360"/>
        <w:jc w:val="both"/>
        <w:rPr>
          <w:rFonts w:ascii="Palatino Linotype" w:eastAsia="Times New Roman" w:hAnsi="Palatino Linotype"/>
          <w:sz w:val="21"/>
          <w:szCs w:val="21"/>
          <w:lang w:eastAsia="es-CR"/>
        </w:rPr>
      </w:pPr>
      <w:r w:rsidRPr="00E10347">
        <w:rPr>
          <w:rFonts w:ascii="Palatino Linotype" w:eastAsia="Times New Roman" w:hAnsi="Palatino Linotype"/>
          <w:bCs/>
          <w:sz w:val="21"/>
          <w:szCs w:val="21"/>
          <w:lang w:eastAsia="es-CR"/>
        </w:rPr>
        <w:t>VII-</w:t>
      </w:r>
      <w:r w:rsidRPr="00E10347">
        <w:rPr>
          <w:rFonts w:ascii="Palatino Linotype" w:eastAsia="Times New Roman" w:hAnsi="Palatino Linotype"/>
          <w:sz w:val="21"/>
          <w:szCs w:val="21"/>
          <w:lang w:eastAsia="es-CR"/>
        </w:rPr>
        <w:t> … la escritura pública es plena prueba en el sentido de que, ante el notario público elegido por las partes, se presentaron éstas a la hora y fecha indicada y dijeron lo que en ella se menciona, pero no hace plena prueba en cuanto a los extremos exactos del contrato consignado en la escritura, porque como tal también puede ser interpretado en los términos mencionados en el considerando anterior. Sobre el particular y en cuanto al contenido de la convención que consta en escritura pública ha dicho la doctrina lo siguiente: </w:t>
      </w:r>
      <w:r w:rsidRPr="00E10347">
        <w:rPr>
          <w:rFonts w:ascii="Palatino Linotype" w:eastAsia="Times New Roman" w:hAnsi="Palatino Linotype"/>
          <w:i/>
          <w:iCs/>
          <w:sz w:val="21"/>
          <w:szCs w:val="21"/>
          <w:lang w:eastAsia="es-CR"/>
        </w:rPr>
        <w:t xml:space="preserve">“El artículo 994 del Código Civil atribuye carácter auténtico a las disposiciones, convenciones, pagos, reconocimientos, etcétera, que el acto contenga, pero </w:t>
      </w:r>
      <w:r w:rsidR="002A76CC">
        <w:rPr>
          <w:rFonts w:ascii="Palatino Linotype" w:eastAsia="Times New Roman" w:hAnsi="Palatino Linotype"/>
          <w:i/>
          <w:iCs/>
          <w:sz w:val="21"/>
          <w:szCs w:val="21"/>
          <w:lang w:eastAsia="es-CR"/>
        </w:rPr>
        <w:t xml:space="preserve">solo </w:t>
      </w:r>
      <w:r w:rsidRPr="00E10347">
        <w:rPr>
          <w:rFonts w:ascii="Palatino Linotype" w:eastAsia="Times New Roman" w:hAnsi="Palatino Linotype"/>
          <w:i/>
          <w:iCs/>
          <w:sz w:val="21"/>
          <w:szCs w:val="21"/>
          <w:lang w:eastAsia="es-CR"/>
        </w:rPr>
        <w:t xml:space="preserve">en cuanto importe una enunciación del oficial público, de que esos actos pasaron en su presencia, más no de la exactitud o sinceridad de tales manifestaciones. Para destruir su fuerza probatoria, bajo este segundo aspecto, no se requiere la querella de falsedad, sino que </w:t>
      </w:r>
      <w:r w:rsidRPr="00E10347">
        <w:rPr>
          <w:rFonts w:ascii="Palatino Linotype" w:eastAsia="Times New Roman" w:hAnsi="Palatino Linotype"/>
          <w:i/>
          <w:iCs/>
          <w:sz w:val="21"/>
          <w:szCs w:val="21"/>
          <w:lang w:eastAsia="es-CR"/>
        </w:rPr>
        <w:lastRenderedPageBreak/>
        <w:t>basta la prueba en contrario, en razón de que el oficial público no es garante la verdad de los hechos relatados por las partes; así, le es imposible constatar si bajo la apariencia de una compraventa se encubre una donación; si es exacto que el precio de compra se abonó anticipadamente, etcétera...” (Bacre, Aldo. Teoría General del Proceso. Tomo III, Abeledo Perrot, Buenos Aires, 1992, pág. 129)</w:t>
      </w:r>
      <w:r w:rsidRPr="00E10347">
        <w:rPr>
          <w:rFonts w:ascii="Palatino Linotype" w:eastAsia="Times New Roman" w:hAnsi="Palatino Linotype"/>
          <w:sz w:val="21"/>
          <w:szCs w:val="21"/>
          <w:lang w:eastAsia="es-CR"/>
        </w:rPr>
        <w:t xml:space="preserve">. En igual sentido va el artículo 370 de nuestro Código Procesal Civil, que únicamente otorga la condición de plena prueba respecto de la existencia material de los hechos que el oficial público afirme haber realizado él mismo, o haber pasado en su presencia, en el ejercicio de sus funciones; sin embargo, el contenido de la contratación en cuanto a la supuesta voluntad expresada por las partes no tiene la misma condición de plena prueba, porque tal contenido puede ser interpretado, e incluso contradicho con otros elementos de prueba, lo cual resulta lógico considerando la variabilidad de intenciones, y la veracidad o no que pudiera impulsar a las partes para consignar determinadas convenciones en una escritura pública. De tener también la condición de plena prueba el contenido mismo de la convención, no sería posible llegar por otros medios de prueba a la conclusión de la simulación del acto o contrato que consta en la escritura, ni sería posible determinar la verdadera intención que impulsó a las partes a suscribir el convenio, en atención a la programación de intereses prevista por cada una de ellas. En este sentido, ya decía desde vieja fecha don Alberto Brenes Córdoba que </w:t>
      </w:r>
      <w:r w:rsidRPr="00E10347">
        <w:rPr>
          <w:rFonts w:ascii="Palatino Linotype" w:eastAsia="Times New Roman" w:hAnsi="Palatino Linotype"/>
          <w:i/>
          <w:iCs/>
          <w:sz w:val="21"/>
          <w:szCs w:val="21"/>
          <w:lang w:eastAsia="es-CR"/>
        </w:rPr>
        <w:t>“No hay inconveniente en que se impugnen en lo civil, como falsas o inexactas, las declaraciones que las partes hagan ante el notario o cartulario, sin que proceda acción criminal, porque esto no constituye falsedad del instrumento en que se hubiere consignado la especie, puesto que no es el funcionario quien ha faltado a la verdad, pues se limitó a consignar el dicho de los interesados, de cuya exactitud no responde...” (Brenes Córdoba, Alberto. Tratado de las Obligaciones, Editorial Juricentro, San José, Costa Rica pág. 113)</w:t>
      </w:r>
      <w:r w:rsidRPr="00E10347">
        <w:rPr>
          <w:rFonts w:ascii="Palatino Linotype" w:eastAsia="Times New Roman" w:hAnsi="Palatino Linotype"/>
          <w:sz w:val="21"/>
          <w:szCs w:val="21"/>
          <w:lang w:eastAsia="es-CR"/>
        </w:rPr>
        <w:t> Así entonces, no incurre en ningún vicio la Jueza a-quo al tomar en cuenta otros elementos de prueba para efectos de interpretar el contrato y verificar cuáles fueron aquellos intereses inicialmente previstos a la hora de contratar.</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En cuyo caso como se ha examinado la legislación anterior no se ve seriamente modificada por la actual.</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Siendo que como se dijo el juez notarial, no encuentra dentro de su resorte de competencia facultades para anular un instrumento, es que de procedería en la audiencia Veamos.</w:t>
      </w:r>
    </w:p>
    <w:p w:rsidR="00A22DC1" w:rsidRPr="00E10347" w:rsidRDefault="00A22DC1" w:rsidP="00E10347">
      <w:pPr>
        <w:ind w:firstLine="708"/>
        <w:jc w:val="both"/>
        <w:rPr>
          <w:rFonts w:ascii="Palatino Linotype" w:hAnsi="Palatino Linotype"/>
          <w:sz w:val="21"/>
          <w:szCs w:val="21"/>
        </w:rPr>
      </w:pPr>
    </w:p>
    <w:p w:rsidR="00A22DC1" w:rsidRPr="00E10347" w:rsidRDefault="00A22DC1" w:rsidP="00E10347">
      <w:pPr>
        <w:ind w:left="708"/>
        <w:jc w:val="both"/>
        <w:rPr>
          <w:rFonts w:ascii="Palatino Linotype" w:hAnsi="Palatino Linotype"/>
          <w:i/>
          <w:sz w:val="21"/>
          <w:szCs w:val="21"/>
        </w:rPr>
      </w:pPr>
      <w:r w:rsidRPr="00E10347">
        <w:rPr>
          <w:rFonts w:ascii="Palatino Linotype" w:hAnsi="Palatino Linotype"/>
          <w:i/>
          <w:sz w:val="21"/>
          <w:szCs w:val="21"/>
        </w:rPr>
        <w:t>“45.5. Código Procesal Civil Nuevo: Impugnación de documentos. La impugnación de los documentos presentados con la demanda y la reconvención deberá hacerse en la contestación y en la réplica. Los que se presenten y agreguen después de la demanda y reconvención deberán impugnarse en la audiencia. En todo caso, será necesario exponer las razones concretas de la impugnación y las pruebas que la sustenten. La impugnación por falsedad podrá hacerse en el mismo proceso y los efectos de lo que se resuelva se limitarán a este. Las sentencias dictadas por los tribunales penales, sobre la falsedad de un documento de influencia en el proceso, tendrán valor de cosa juzgada.”</w:t>
      </w:r>
    </w:p>
    <w:p w:rsidR="00A22DC1" w:rsidRPr="00E10347" w:rsidRDefault="00A22DC1" w:rsidP="00E10347">
      <w:pPr>
        <w:ind w:firstLine="708"/>
        <w:jc w:val="both"/>
        <w:rPr>
          <w:rFonts w:ascii="Palatino Linotype" w:hAnsi="Palatino Linotype"/>
          <w:sz w:val="21"/>
          <w:szCs w:val="21"/>
        </w:rPr>
      </w:pPr>
      <w:r w:rsidRPr="00E10347">
        <w:rPr>
          <w:rFonts w:ascii="Palatino Linotype" w:hAnsi="Palatino Linotype"/>
          <w:sz w:val="21"/>
          <w:szCs w:val="21"/>
        </w:rPr>
        <w:t>Lo que detalla este articulo si podrían tenderse como una innovación o modificación, ya que abre la posibilidad, que no existía de argüir de falso un documento, en la audiencia respectiva.</w:t>
      </w:r>
    </w:p>
    <w:p w:rsidR="00C72A23" w:rsidRDefault="00A22DC1" w:rsidP="00E10347">
      <w:pPr>
        <w:ind w:firstLine="708"/>
        <w:jc w:val="both"/>
        <w:rPr>
          <w:rFonts w:ascii="Palatino Linotype" w:hAnsi="Palatino Linotype"/>
          <w:sz w:val="21"/>
          <w:szCs w:val="21"/>
        </w:rPr>
        <w:sectPr w:rsidR="00C72A23" w:rsidSect="00FC1DF6">
          <w:headerReference w:type="even" r:id="rId47"/>
          <w:headerReference w:type="default" r:id="rId48"/>
          <w:type w:val="oddPage"/>
          <w:pgSz w:w="12240" w:h="15840" w:code="1"/>
          <w:pgMar w:top="1667" w:right="851" w:bottom="4253" w:left="3686" w:header="1021" w:footer="3005" w:gutter="0"/>
          <w:cols w:space="708"/>
          <w:titlePg/>
          <w:docGrid w:linePitch="360"/>
        </w:sectPr>
      </w:pPr>
      <w:r w:rsidRPr="00E10347">
        <w:rPr>
          <w:rFonts w:ascii="Palatino Linotype" w:hAnsi="Palatino Linotype"/>
          <w:sz w:val="21"/>
          <w:szCs w:val="21"/>
        </w:rPr>
        <w:t>Como ha sido mencionado no acusa elementos especialmente innovadores la actual legislación de la anterior.</w:t>
      </w:r>
    </w:p>
    <w:p w:rsidR="00843063" w:rsidRDefault="00843063" w:rsidP="00C72A23">
      <w:pPr>
        <w:pStyle w:val="Sinespaciado"/>
        <w:jc w:val="center"/>
        <w:rPr>
          <w:rFonts w:ascii="Palatino Linotype" w:hAnsi="Palatino Linotype" w:cs="Times New Roman"/>
          <w:sz w:val="36"/>
          <w:szCs w:val="36"/>
        </w:rPr>
      </w:pPr>
    </w:p>
    <w:p w:rsidR="00843063" w:rsidRDefault="00843063" w:rsidP="00C72A23">
      <w:pPr>
        <w:pStyle w:val="Sinespaciado"/>
        <w:jc w:val="center"/>
        <w:rPr>
          <w:rFonts w:ascii="Palatino Linotype" w:hAnsi="Palatino Linotype" w:cs="Times New Roman"/>
          <w:sz w:val="36"/>
          <w:szCs w:val="36"/>
        </w:rPr>
      </w:pPr>
    </w:p>
    <w:p w:rsidR="00843063" w:rsidRDefault="00843063" w:rsidP="00C72A23">
      <w:pPr>
        <w:pStyle w:val="Sinespaciado"/>
        <w:jc w:val="center"/>
        <w:rPr>
          <w:rFonts w:ascii="Palatino Linotype" w:hAnsi="Palatino Linotype" w:cs="Times New Roman"/>
          <w:sz w:val="36"/>
          <w:szCs w:val="36"/>
        </w:rPr>
      </w:pPr>
    </w:p>
    <w:p w:rsidR="00843063" w:rsidRDefault="00843063" w:rsidP="00C72A23">
      <w:pPr>
        <w:pStyle w:val="Sinespaciado"/>
        <w:jc w:val="center"/>
        <w:rPr>
          <w:rFonts w:ascii="Palatino Linotype" w:hAnsi="Palatino Linotype" w:cs="Times New Roman"/>
          <w:sz w:val="36"/>
          <w:szCs w:val="36"/>
        </w:rPr>
      </w:pPr>
    </w:p>
    <w:p w:rsidR="00843063" w:rsidRDefault="00843063" w:rsidP="00C72A23">
      <w:pPr>
        <w:pStyle w:val="Sinespaciado"/>
        <w:jc w:val="center"/>
        <w:rPr>
          <w:rFonts w:ascii="Palatino Linotype" w:hAnsi="Palatino Linotype" w:cs="Times New Roman"/>
          <w:sz w:val="36"/>
          <w:szCs w:val="36"/>
        </w:rPr>
      </w:pPr>
    </w:p>
    <w:p w:rsidR="00843063" w:rsidRDefault="00843063" w:rsidP="00C72A23">
      <w:pPr>
        <w:pStyle w:val="Sinespaciado"/>
        <w:jc w:val="center"/>
        <w:rPr>
          <w:rFonts w:ascii="Palatino Linotype" w:hAnsi="Palatino Linotype" w:cs="Times New Roman"/>
          <w:sz w:val="36"/>
          <w:szCs w:val="36"/>
        </w:rPr>
      </w:pPr>
    </w:p>
    <w:p w:rsidR="00843063" w:rsidRDefault="00843063" w:rsidP="00C72A23">
      <w:pPr>
        <w:pStyle w:val="Sinespaciado"/>
        <w:jc w:val="center"/>
        <w:rPr>
          <w:rFonts w:ascii="Palatino Linotype" w:hAnsi="Palatino Linotype" w:cs="Times New Roman"/>
          <w:sz w:val="36"/>
          <w:szCs w:val="36"/>
        </w:rPr>
      </w:pPr>
    </w:p>
    <w:p w:rsidR="00843063" w:rsidRDefault="00843063" w:rsidP="00C72A23">
      <w:pPr>
        <w:pStyle w:val="Sinespaciado"/>
        <w:jc w:val="center"/>
        <w:rPr>
          <w:rFonts w:ascii="Palatino Linotype" w:hAnsi="Palatino Linotype" w:cs="Times New Roman"/>
          <w:sz w:val="36"/>
          <w:szCs w:val="36"/>
        </w:rPr>
      </w:pPr>
    </w:p>
    <w:p w:rsidR="00843063" w:rsidRDefault="00843063" w:rsidP="00C72A23">
      <w:pPr>
        <w:pStyle w:val="Sinespaciado"/>
        <w:jc w:val="center"/>
        <w:rPr>
          <w:rFonts w:ascii="Palatino Linotype" w:hAnsi="Palatino Linotype" w:cs="Times New Roman"/>
          <w:sz w:val="36"/>
          <w:szCs w:val="36"/>
        </w:rPr>
      </w:pPr>
    </w:p>
    <w:p w:rsidR="00843063" w:rsidRDefault="00843063" w:rsidP="00C72A23">
      <w:pPr>
        <w:pStyle w:val="Sinespaciado"/>
        <w:jc w:val="center"/>
        <w:rPr>
          <w:rFonts w:ascii="Palatino Linotype" w:hAnsi="Palatino Linotype" w:cs="Times New Roman"/>
          <w:sz w:val="36"/>
          <w:szCs w:val="36"/>
        </w:rPr>
      </w:pPr>
    </w:p>
    <w:p w:rsidR="00843063" w:rsidRDefault="00843063" w:rsidP="00C72A23">
      <w:pPr>
        <w:pStyle w:val="Sinespaciado"/>
        <w:jc w:val="center"/>
        <w:rPr>
          <w:rFonts w:ascii="Palatino Linotype" w:hAnsi="Palatino Linotype" w:cs="Times New Roman"/>
          <w:sz w:val="36"/>
          <w:szCs w:val="36"/>
        </w:rPr>
      </w:pPr>
    </w:p>
    <w:p w:rsidR="00C72A23" w:rsidRPr="004B3229" w:rsidRDefault="00A22DC1" w:rsidP="00C72A23">
      <w:pPr>
        <w:pStyle w:val="Sinespaciado"/>
        <w:jc w:val="center"/>
        <w:rPr>
          <w:rFonts w:ascii="Palatino Linotype" w:hAnsi="Palatino Linotype" w:cs="Times New Roman"/>
          <w:b/>
          <w:sz w:val="36"/>
          <w:szCs w:val="36"/>
        </w:rPr>
        <w:sectPr w:rsidR="00C72A23" w:rsidRPr="004B3229" w:rsidSect="00FC1DF6">
          <w:type w:val="oddPage"/>
          <w:pgSz w:w="12240" w:h="15840" w:code="1"/>
          <w:pgMar w:top="1667" w:right="851" w:bottom="4253" w:left="3686" w:header="1021" w:footer="3005" w:gutter="0"/>
          <w:cols w:space="708"/>
          <w:titlePg/>
          <w:docGrid w:linePitch="360"/>
        </w:sectPr>
      </w:pPr>
      <w:r w:rsidRPr="004B3229">
        <w:rPr>
          <w:rFonts w:ascii="Palatino Linotype" w:hAnsi="Palatino Linotype" w:cs="Times New Roman"/>
          <w:b/>
          <w:sz w:val="36"/>
          <w:szCs w:val="36"/>
        </w:rPr>
        <w:t>MATERIA CONTENCIOSA-</w:t>
      </w:r>
      <w:r w:rsidR="00C72A23" w:rsidRPr="004B3229">
        <w:rPr>
          <w:rFonts w:ascii="Palatino Linotype" w:hAnsi="Palatino Linotype" w:cs="Times New Roman"/>
          <w:b/>
          <w:sz w:val="36"/>
          <w:szCs w:val="36"/>
        </w:rPr>
        <w:t>A</w:t>
      </w:r>
      <w:r w:rsidRPr="004B3229">
        <w:rPr>
          <w:rFonts w:ascii="Palatino Linotype" w:hAnsi="Palatino Linotype" w:cs="Times New Roman"/>
          <w:b/>
          <w:sz w:val="36"/>
          <w:szCs w:val="36"/>
        </w:rPr>
        <w:t>DMINISTRATIVA Y CONSTITUCIONAL</w:t>
      </w:r>
    </w:p>
    <w:p w:rsidR="00A22DC1" w:rsidRPr="003A7356" w:rsidRDefault="00A22DC1" w:rsidP="00C72A23">
      <w:pPr>
        <w:pStyle w:val="Sinespaciado"/>
        <w:jc w:val="center"/>
        <w:rPr>
          <w:rFonts w:ascii="Palatino Linotype" w:eastAsia="Times New Roman" w:hAnsi="Palatino Linotype"/>
          <w:b/>
          <w:sz w:val="21"/>
          <w:szCs w:val="21"/>
        </w:rPr>
      </w:pPr>
      <w:bookmarkStart w:id="61" w:name="_Hlk479197131"/>
      <w:r w:rsidRPr="003A7356">
        <w:rPr>
          <w:rFonts w:ascii="Palatino Linotype" w:eastAsia="Times New Roman" w:hAnsi="Palatino Linotype"/>
          <w:b/>
          <w:sz w:val="21"/>
          <w:szCs w:val="21"/>
        </w:rPr>
        <w:lastRenderedPageBreak/>
        <w:t xml:space="preserve">ALGUNOS DILEMAS PRÁCTICOS EN LA DINÁMICA PROBATORIA DEL PROCESO CONTENCIOSO ADMINISTRATIVO Y CIVIL DE HACIENDA. </w:t>
      </w:r>
    </w:p>
    <w:p w:rsidR="00A22DC1" w:rsidRPr="00E10347" w:rsidRDefault="00A22DC1" w:rsidP="00E10347">
      <w:pPr>
        <w:jc w:val="center"/>
        <w:rPr>
          <w:rFonts w:ascii="Palatino Linotype" w:eastAsia="Times New Roman" w:hAnsi="Palatino Linotype"/>
          <w:b/>
          <w:i/>
          <w:sz w:val="21"/>
          <w:szCs w:val="21"/>
          <w:lang w:val="es-CR"/>
        </w:rPr>
      </w:pPr>
      <w:r w:rsidRPr="00E10347">
        <w:rPr>
          <w:rFonts w:ascii="Palatino Linotype" w:eastAsia="Times New Roman" w:hAnsi="Palatino Linotype"/>
          <w:b/>
          <w:i/>
          <w:sz w:val="21"/>
          <w:szCs w:val="21"/>
          <w:lang w:val="es-CR"/>
        </w:rPr>
        <w:t xml:space="preserve">Un enfoque crítico. </w:t>
      </w:r>
    </w:p>
    <w:p w:rsidR="00A22DC1" w:rsidRPr="00E10347" w:rsidRDefault="00A22DC1" w:rsidP="00E10347">
      <w:pPr>
        <w:jc w:val="center"/>
        <w:rPr>
          <w:rFonts w:ascii="Palatino Linotype" w:eastAsia="Times New Roman" w:hAnsi="Palatino Linotype"/>
          <w:b/>
          <w:i/>
          <w:sz w:val="21"/>
          <w:szCs w:val="21"/>
          <w:lang w:val="es-CR"/>
        </w:rPr>
      </w:pPr>
      <w:r w:rsidRPr="00E10347">
        <w:rPr>
          <w:rFonts w:ascii="Palatino Linotype" w:eastAsia="Times New Roman" w:hAnsi="Palatino Linotype"/>
          <w:b/>
          <w:i/>
          <w:sz w:val="21"/>
          <w:szCs w:val="21"/>
          <w:lang w:val="es-CR"/>
        </w:rPr>
        <w:t>(José Roberto Garita Navarro, Juez Contencioso Administrativo)</w:t>
      </w:r>
      <w:bookmarkEnd w:id="61"/>
    </w:p>
    <w:p w:rsidR="00A05EF6" w:rsidRDefault="00A05EF6" w:rsidP="00A05EF6">
      <w:pPr>
        <w:jc w:val="both"/>
        <w:rPr>
          <w:rFonts w:ascii="Palatino Linotype" w:eastAsia="Times New Roman" w:hAnsi="Palatino Linotype"/>
          <w:sz w:val="21"/>
          <w:szCs w:val="21"/>
        </w:rPr>
      </w:pPr>
    </w:p>
    <w:p w:rsidR="00A22DC1" w:rsidRPr="00E10347" w:rsidRDefault="00A05EF6" w:rsidP="00A05EF6">
      <w:pPr>
        <w:jc w:val="both"/>
        <w:rPr>
          <w:rFonts w:ascii="Palatino Linotype" w:eastAsia="Times New Roman" w:hAnsi="Palatino Linotype"/>
          <w:b/>
          <w:i/>
          <w:sz w:val="21"/>
          <w:szCs w:val="21"/>
          <w:lang w:val="es-CR"/>
        </w:rPr>
      </w:pPr>
      <w:r w:rsidRPr="00D1279A">
        <w:rPr>
          <w:rFonts w:ascii="Palatino Linotype" w:eastAsia="Times New Roman" w:hAnsi="Palatino Linotype"/>
          <w:sz w:val="21"/>
          <w:szCs w:val="21"/>
        </w:rPr>
        <w:t>SUMARIO</w:t>
      </w:r>
      <w:r w:rsidRPr="00D1279A">
        <w:rPr>
          <w:rFonts w:ascii="Palatino Linotype" w:eastAsia="Times New Roman" w:hAnsi="Palatino Linotype"/>
          <w:i/>
          <w:sz w:val="21"/>
          <w:szCs w:val="21"/>
        </w:rPr>
        <w:t xml:space="preserve">. 1.- </w:t>
      </w:r>
      <w:r w:rsidRPr="00D1279A">
        <w:rPr>
          <w:rFonts w:ascii="Palatino Linotype" w:eastAsia="Times New Roman" w:hAnsi="Palatino Linotype"/>
          <w:color w:val="000000"/>
          <w:spacing w:val="-3"/>
          <w:sz w:val="21"/>
          <w:szCs w:val="21"/>
        </w:rPr>
        <w:t>A modo de introducción y aclaración. 2</w:t>
      </w:r>
      <w:r w:rsidRPr="00D1279A">
        <w:rPr>
          <w:rFonts w:ascii="Palatino Linotype" w:eastAsia="Times New Roman" w:hAnsi="Palatino Linotype"/>
          <w:color w:val="000000"/>
          <w:sz w:val="21"/>
          <w:szCs w:val="21"/>
        </w:rPr>
        <w:t>. Etapas relacionadas a la prueba en el proceso contencioso administrativo. a.- Fase de proposición de la prueba. b. Momentos de admisión de las pruebas. c. Evacuación y valoración de la prueba. 3. Algunas cuestiones (dilemas) relacionados con la prueba en el proceso contencioso administrativo. a. DILEMA 1. La sanción procesal de la contestación afirmativa de los hechos. b. DILEMA 2. La prueba documental "extemporánea". c. DILEMA 3. La divergencia de teoría del caso tramitador-Tribunal. 4. La competencia del juez tramitador prevista en el art. 90.2 CPCA.</w:t>
      </w:r>
    </w:p>
    <w:p w:rsidR="00A22DC1" w:rsidRPr="00E10347" w:rsidRDefault="00A22DC1" w:rsidP="00E10347">
      <w:pPr>
        <w:jc w:val="both"/>
        <w:rPr>
          <w:rFonts w:ascii="Palatino Linotype" w:eastAsia="Times New Roman" w:hAnsi="Palatino Linotype"/>
          <w:b/>
          <w:i/>
          <w:color w:val="000000"/>
          <w:spacing w:val="-3"/>
          <w:sz w:val="21"/>
          <w:szCs w:val="21"/>
          <w:lang w:val="es-CR"/>
        </w:rPr>
      </w:pPr>
    </w:p>
    <w:p w:rsidR="00A22DC1" w:rsidRPr="00E10347" w:rsidRDefault="00A22DC1" w:rsidP="00E10347">
      <w:pPr>
        <w:jc w:val="both"/>
        <w:rPr>
          <w:rFonts w:ascii="Palatino Linotype" w:eastAsia="Times New Roman" w:hAnsi="Palatino Linotype"/>
          <w:b/>
          <w:color w:val="000000"/>
          <w:spacing w:val="-3"/>
          <w:sz w:val="21"/>
          <w:szCs w:val="21"/>
          <w:lang w:val="es-CR"/>
        </w:rPr>
      </w:pPr>
      <w:r w:rsidRPr="00E10347">
        <w:rPr>
          <w:rFonts w:ascii="Palatino Linotype" w:eastAsia="Times New Roman" w:hAnsi="Palatino Linotype"/>
          <w:b/>
          <w:color w:val="000000"/>
          <w:spacing w:val="-3"/>
          <w:sz w:val="21"/>
          <w:szCs w:val="21"/>
          <w:lang w:val="es-CR"/>
        </w:rPr>
        <w:t xml:space="preserve">A. A modo de introducción y aclaración. </w:t>
      </w:r>
    </w:p>
    <w:p w:rsidR="00A22DC1" w:rsidRPr="00E10347" w:rsidRDefault="00A22DC1" w:rsidP="00E10347">
      <w:pPr>
        <w:jc w:val="both"/>
        <w:rPr>
          <w:rFonts w:ascii="Palatino Linotype" w:eastAsia="Times New Roman" w:hAnsi="Palatino Linotype"/>
          <w:color w:val="000000"/>
          <w:spacing w:val="-3"/>
          <w:sz w:val="21"/>
          <w:szCs w:val="21"/>
          <w:lang w:val="es-CR"/>
        </w:rPr>
      </w:pPr>
      <w:r w:rsidRPr="00E10347">
        <w:rPr>
          <w:rFonts w:ascii="Palatino Linotype" w:eastAsia="Times New Roman" w:hAnsi="Palatino Linotype"/>
          <w:color w:val="000000"/>
          <w:spacing w:val="-3"/>
          <w:sz w:val="21"/>
          <w:szCs w:val="21"/>
          <w:lang w:val="es-CR"/>
        </w:rPr>
        <w:tab/>
        <w:t xml:space="preserve">El artículo 49 de la Constitución Política establece la jurisdicción contenciosa, cuyo objeto es ejercer un control plenario de la función administrativa, control que se bifurca en dos dimensiones: una objetiva y una subjetiva.  Desde el punto de vista objetivo ejerce un control de legalidad de la función administrativa, esto es, de cualquier forma de manifestación del ejercicio de la voluntad del poder público; lo que incluye acciones, omisiones, manifestaciones formales o manifestaciones materiales. Se trata entonces de un cotejo con la legalidad  que impone el ordenamiento, a modo de principio, en el artículo 11 de la Carta Magna y que se desarrolla legislativamente en los numerales 11 y 13 de la Ley General de la Administración Pública. Además, tutela la dimensión subjetiva en tanto incorpora, ese artículo 49, el resguardo, al menos, de los derechos subjetivos y de los intereses legítimos de la persona. Esto encuentra eco en el Código Procesal Contencioso Administrativo (CPCA), en cuanto tutela la situación jurídica de la persona. Este complemento de la dimensión objetiva y subjetiva permite establecer un desarrollo legislativo en el caso concreto de la ley número 8508, esto es el Código Procesal Contencioso Administrativo, bajo un sistema de control que permite no solamente el control de la legalidad formal, sino el material y, además, la tutela de situaciones jurídicas que se han visto lesionadas o incididas por el ejercicio (o falta de aquel) de la función administrativa. Desde este plano, esta dinámica impregna por demás el Código Procesal Contencioso Administrativo, que sustenta las bases para la vigencia actual de un sistema de administración de justicia en sede contencioso </w:t>
      </w:r>
      <w:r w:rsidRPr="00E10347">
        <w:rPr>
          <w:rFonts w:ascii="Palatino Linotype" w:eastAsia="Times New Roman" w:hAnsi="Palatino Linotype"/>
          <w:color w:val="000000"/>
          <w:spacing w:val="-3"/>
          <w:sz w:val="21"/>
          <w:szCs w:val="21"/>
          <w:lang w:val="es-CR"/>
        </w:rPr>
        <w:lastRenderedPageBreak/>
        <w:t>administrativa.</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pacing w:val="-3"/>
          <w:sz w:val="21"/>
          <w:szCs w:val="21"/>
          <w:lang w:val="es-CR"/>
        </w:rPr>
        <w:tab/>
        <w:t xml:space="preserve">Este marco de tutela incorpora además procesos en los cuales las pretensiones son eminentemente patrimoniales, o bien, relaciones en las que si bien se encuentra presente un ente público, por su mismo marco de acción, son regidas por el derecho privado. Se trata de los denominados procesos civiles de hacienda, competencia que sin estar ajena a críticas a nivel local, sigue estando afincada en esta jurisdicción. De igual manera, el ordinal 2 inciso e) del CPCA establece como parte de las competencias aludidas, las relaciones regidas por el Derecho Público (entiéndase en su rama de Derecho Administrativo como rama genérica), aun cuando provengan de particulares. Sobre el contenido de esta rama competencial puede verse el voto 662-C-S1-2008, de las diez horas veinte minutos del dos de octubre de dos mil ocho, de la Sala Primera de la Corte Suprema de Justicia. </w:t>
      </w:r>
      <w:r w:rsidRPr="00E10347">
        <w:rPr>
          <w:rFonts w:ascii="Palatino Linotype" w:eastAsia="Times New Roman" w:hAnsi="Palatino Linotype"/>
          <w:color w:val="000000"/>
          <w:sz w:val="21"/>
          <w:szCs w:val="21"/>
          <w:lang w:val="es-CR"/>
        </w:rPr>
        <w:t>Esta decisión señala en lo relevante que: "</w:t>
      </w:r>
      <w:r w:rsidRPr="00E10347">
        <w:rPr>
          <w:rFonts w:ascii="Palatino Linotype" w:eastAsia="Times New Roman" w:hAnsi="Palatino Linotype"/>
          <w:i/>
          <w:color w:val="000000"/>
          <w:sz w:val="21"/>
          <w:szCs w:val="21"/>
          <w:lang w:val="es-CR"/>
        </w:rPr>
        <w:t>... Sin duda, la aplicación de dichos numerales exige una interpretación mesurada del juzgador, ya que las conductas de los sujetos privados serán revisables en sede contencioso administrativa en tanto exista entre estos y los destinatarios del servicio una relación jurídica intersubjetiva regulada en forma directa, que no refleja, por el derecho público. De este modo, se puede establecer que de forma indispensable habrán de mediar en la ejecución del servicio conductas vinculadas con el ejercicio de potestades públicas o fondos públicos, porque es en tales supuestos, donde indefectiblemente existe un interés directo del Estado y de la Administración Pública en general</w:t>
      </w:r>
      <w:r w:rsidRPr="00E10347">
        <w:rPr>
          <w:rFonts w:ascii="Palatino Linotype" w:eastAsia="Times New Roman" w:hAnsi="Palatino Linotype"/>
          <w:color w:val="000000"/>
          <w:sz w:val="21"/>
          <w:szCs w:val="21"/>
          <w:lang w:val="es-CR"/>
        </w:rPr>
        <w:t xml:space="preserve">.". Luego, lo resuelto en ese caso concreto asume que la adecuación de un currículum de una carrera universitaria (en una entidad privada) es un tema que se regula de manera intensa por el Derecho Público, cuando a juicio de quien suscribe parece claro que la prestación de servicios privados de educación universitaria es un tema que no se regula de manera directa e inmediata (como lo exige la misma Sala) por el Derecho Público. Ciertamente las universidades privadas están sujetas a la habilitación y control del CONESUP -Ley de Creación del CONESUP, No. 6693 del 27 de noviembre de 1981-, empero, esa sola circunstancia no hace que exista relación jurídico-administrativa o relación regida por el derecho administrativo.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Sobre este aspecto, de manera reciente en el fallo No. 14-2017-VI, de las quince horas cincuenta minutos del siete de febrero del dos mil diecisiete, el Tribunal Contencioso Administrativo, Sección VI, declaró la incompetencia para resolver un conflicto producido entre un ente universitario privado y un estudiante por la certificación de haber acreditado una materia específica. En ese precedente se señaló: </w:t>
      </w:r>
    </w:p>
    <w:p w:rsidR="00A22DC1" w:rsidRPr="00E10347" w:rsidRDefault="00A22DC1" w:rsidP="00E10347">
      <w:pPr>
        <w:ind w:left="568" w:right="781"/>
        <w:jc w:val="both"/>
        <w:rPr>
          <w:rFonts w:ascii="Palatino Linotype" w:eastAsia="Times New Roman" w:hAnsi="Palatino Linotype"/>
          <w:color w:val="000000"/>
          <w:sz w:val="21"/>
          <w:szCs w:val="21"/>
          <w:lang w:val="es-CR"/>
        </w:rPr>
      </w:pPr>
      <w:r w:rsidRPr="00E10347">
        <w:rPr>
          <w:rFonts w:ascii="Palatino Linotype" w:eastAsia="Times New Roman" w:hAnsi="Palatino Linotype"/>
          <w:i/>
          <w:color w:val="000000"/>
          <w:sz w:val="21"/>
          <w:szCs w:val="21"/>
          <w:lang w:val="es-CR"/>
        </w:rPr>
        <w:lastRenderedPageBreak/>
        <w:t>"... Por el contrario, luego del análisis del presente asunto, se pudo establecer que no existe participación alguna del CONESUP en la producción del daño, siquiera remota, por lo que se reitera y confirma que el presente asunto es, y siempre ha sido, un dilema entre particulares, dentro del cual, la inclusión del Estado se ha generado con la única intención de residenciar la decisión de este conflicto en esta sede contencioso administrativa, sin que concurran los presupuestos para tales efectos. Como se ha señalado, esta jurisdicción tiene por objeto la tutela de las situaciones jurídicas de las personas, en la medida en que se hayan visto impactadas por los efectos, actuales o potenciales de una función administrativa. De ahí que el ordinal 1 del CPCA demarque el objeto de esta jurisdicción en el conocimiento de los diversos aspectos de la relación jurídico administrativa, entendida como el vínculo jurídico-material que se produce entre dos sujetos, uno de los cuales es Administración Pública en ejercicio de función administrativa, regulada por el Derecho Público. Desde ese plano, el análisis de validez de la conducta administrativa (control de legalidad) se realiza en función de la ponderación de la legitimidad o no de la incidencia del comportamiento público en la esfera jurídica de un tercero. De igual modo el CPCA establece la competencia de esta sede, salvo competencia especial asignada a otra jurisdicción, en todo caso en que dentro de la relación jurídica debatida, se encuentre un ente público, aún en ejercicio de su capacidad de derecho privado. De igual manera, se concede la competencia para resolver las contiendas reguladas por el Derecho Público, aun cuando provengan de personas privadas, acorde al ordinal 2 inciso e) del CPCA. Sin embargo, en tales casos, la relación ha de regirse de manera directa e inmediata por el Derecho Público, eliminando de tal hipótesis las relaciones privadas que se regulen exclusivamente por el derecho privado, sin que medie la aplicación de reglas o normas del Derecho Administrativo. De ese modo, la regulación pública debe ser directa e intensa, por lo que, los casos regulados por el Derecho Privado no son resorte de esta jurisdicción (...).”</w:t>
      </w:r>
    </w:p>
    <w:p w:rsidR="00A22DC1" w:rsidRPr="00E10347" w:rsidRDefault="00A22DC1" w:rsidP="00E10347">
      <w:pPr>
        <w:jc w:val="both"/>
        <w:rPr>
          <w:rFonts w:ascii="Palatino Linotype" w:eastAsia="Times New Roman" w:hAnsi="Palatino Linotype"/>
          <w:color w:val="000000"/>
          <w:spacing w:val="-3"/>
          <w:sz w:val="21"/>
          <w:szCs w:val="21"/>
          <w:lang w:val="es-CR"/>
        </w:rPr>
      </w:pP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pacing w:val="-3"/>
          <w:sz w:val="21"/>
          <w:szCs w:val="21"/>
          <w:lang w:val="es-CR"/>
        </w:rPr>
        <w:tab/>
        <w:t xml:space="preserve">Ahora bien, este enfoque aludido, referido a la exigencia de patrocinio letrado dentro de un proceso de índole técnica, permite establecer aspectos relevantes en cuanto a la prueba se refiere en los casos concretos de control de validez, así como en la determinación de existencia o no de una situación patrimonial que deba ser tutelada </w:t>
      </w:r>
      <w:r w:rsidRPr="00E10347">
        <w:rPr>
          <w:rFonts w:ascii="Palatino Linotype" w:eastAsia="Times New Roman" w:hAnsi="Palatino Linotype"/>
          <w:color w:val="000000"/>
          <w:spacing w:val="-3"/>
          <w:sz w:val="21"/>
          <w:szCs w:val="21"/>
          <w:lang w:val="es-CR"/>
        </w:rPr>
        <w:lastRenderedPageBreak/>
        <w:t>en esta sede, pues en ambos casos, por las razones que adelante serán desarrolladas, el tratamiento es diverso. Desde ese plano, el CPCA incorpora un tratamiento en la materia de las probanzas que en las siguientes líneas se pretende abordar desde el plano pragmático, ingresando al análisis crítico de situaciones y dilemas que en ese orden temático se han puesto en evidencia dentro del proceso contencioso.</w:t>
      </w:r>
      <w:r w:rsidRPr="00E10347">
        <w:rPr>
          <w:rFonts w:ascii="Palatino Linotype" w:eastAsia="Times New Roman" w:hAnsi="Palatino Linotype"/>
          <w:color w:val="000000"/>
          <w:sz w:val="21"/>
          <w:szCs w:val="21"/>
          <w:lang w:val="es-CR"/>
        </w:rPr>
        <w:tab/>
        <w:t>Para lo anterior abordaremos de seguido ese examen aprovechando la estructura propia de las fases por las que transcurre los elementos de convicción en el proceso contencioso administrativo, según criterios de clasificación que por aspectos de conveniencia y claridad del tema de fondo tratado en este ensayo, resultan afines a nuestros fines, precisando eso sí, desde ya, que se trata de una tipología estipulativa, que pretende dar mejor orden a las siguientes ideas.</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La reforma establecida por la Ley No. 8508 al régimen procesal contencioso administrativo, incorpora una visión de proceso por etapas, con fases de oralidad; incorporación que tiene, dentro de sus finalidades, no solamente la concentración de una serie de cuestiones que, de otro modo, exigiría la adopción de un número considerable de acciones interlocutorias, sino además, que incluye e impone la máxima de inmediación; lo que lleva a que sea el órgano que va a resolver sobre el fondo del asunto quien deba evacuar las probanzas ofrecidas por las partes como sustento de sus respectivas posturas. No interesa a los propósitos de este ensayo (por su poco espacio), un desarrollo respecto de las diversas implicaciones y posturas en cuanto a las diversas fases que se presentan en un proceso, relativas a los elementos de convicción. Por interesante y apasionante que este tema resulte, por el momento, dedicaremos este espacio a tratar sobre aspectos de aplicaciones prácticas sobre las probanzas, sobre la base de experiencias derivadas de casos concretos y riesgos o aspectos detectados en la jurisdicción contencioso administrativa y civil de hacienda.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Se pretende en consecuencia presentar al lector aspectos concretos, que al antojo del suscrito, constituyen cuestiones de proyección pragmática en el proceso contencioso administrativo, que pueden considerarse polémicas, o como lo sugiere el título de la presente, dilemas que ocurren (o pueden llegar a acontecer) en el curso normal del trámite de este tipo de contiendas judiciales. Para ello, en un primer aparte trataremos de manera ligera y solamente para fines utilitaristas, las etapas que se relacionan con los elementos de prueba dentro del proceso. Luego, atenderemos a las 4 cuestiones seleccionadas de manera subjetiva que se relacionan con problemas o dilemas atinentes a las probanzas, no sin aclarar que lejos se trata </w:t>
      </w:r>
      <w:r w:rsidRPr="00E10347">
        <w:rPr>
          <w:rFonts w:ascii="Palatino Linotype" w:eastAsia="Times New Roman" w:hAnsi="Palatino Linotype"/>
          <w:color w:val="000000"/>
          <w:sz w:val="21"/>
          <w:szCs w:val="21"/>
          <w:lang w:val="es-CR"/>
        </w:rPr>
        <w:lastRenderedPageBreak/>
        <w:t>de una lista que pretenda se exhaustiva; por el contrario, es un primer detalle de algunas cuestiones a considerar sobre esta interesante temática, que sugieren cuestionamientos, reflexiones y propuestas, por demás refutables sobre aquellas circunstancias. A fin de cuentas, la intención es generar análisis crítico sobre este particular.</w:t>
      </w:r>
    </w:p>
    <w:p w:rsidR="0099757E" w:rsidRDefault="0099757E" w:rsidP="00E10347">
      <w:pPr>
        <w:jc w:val="both"/>
        <w:rPr>
          <w:rFonts w:ascii="Palatino Linotype" w:eastAsia="Times New Roman" w:hAnsi="Palatino Linotype"/>
          <w:b/>
          <w:color w:val="000000"/>
          <w:sz w:val="21"/>
          <w:szCs w:val="21"/>
          <w:lang w:val="es-CR"/>
        </w:rPr>
      </w:pPr>
    </w:p>
    <w:p w:rsidR="00A22DC1" w:rsidRPr="00E10347" w:rsidRDefault="00A22DC1" w:rsidP="00E10347">
      <w:pPr>
        <w:jc w:val="both"/>
        <w:rPr>
          <w:rFonts w:ascii="Palatino Linotype" w:eastAsia="Times New Roman" w:hAnsi="Palatino Linotype"/>
          <w:b/>
          <w:color w:val="000000"/>
          <w:sz w:val="21"/>
          <w:szCs w:val="21"/>
          <w:lang w:val="es-CR"/>
        </w:rPr>
      </w:pPr>
      <w:r w:rsidRPr="00E10347">
        <w:rPr>
          <w:rFonts w:ascii="Palatino Linotype" w:eastAsia="Times New Roman" w:hAnsi="Palatino Linotype"/>
          <w:b/>
          <w:color w:val="000000"/>
          <w:sz w:val="21"/>
          <w:szCs w:val="21"/>
          <w:lang w:val="es-CR"/>
        </w:rPr>
        <w:t xml:space="preserve">B. Etapas relacionadas a la prueba en el proceso contencioso administrativo. </w:t>
      </w:r>
    </w:p>
    <w:p w:rsidR="00A22DC1" w:rsidRPr="00E10347" w:rsidRDefault="00A22DC1" w:rsidP="00E10347">
      <w:pPr>
        <w:ind w:firstLine="720"/>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El proceso contencioso administrativo, aún y sus finalidades previstas con claridad en el marco constitucional, sea, control objetivo de validez de la función administrativa y la tutela de corte subjetivo, referida al resguardo de las situación jurídica de las personas, no se encuentra exento de constituirse como una causa judicial que se particulariza por ser una en la que se impone el principio de patrocinio letrado. En ese sentido, a diferencia de otras jurisdicciones de corte social, en las que usualmente concurren situaciones de individuos o grupos en estado de vulnerabilidad o que son parte "débil" de una relación jurídica, aspecto que justifica la exigibilidad de la representación judicial, o bien, que ofrecen vías institucionales para la representación judicial de esa parte, en lo contencioso administrativo, los numerales 16 y 17 del CPCA exigen que la defensa de las partes en conflicto se realice mediante el mandato judicial. En el caso de las Administraciones Públicas, se impone el siguiente detalle de representación:</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r>
      <w:r w:rsidRPr="00E10347">
        <w:rPr>
          <w:rFonts w:ascii="Palatino Linotype" w:eastAsia="Times New Roman" w:hAnsi="Palatino Linotype"/>
          <w:b/>
          <w:sz w:val="21"/>
          <w:szCs w:val="21"/>
          <w:lang w:val="es-CR"/>
        </w:rPr>
        <w:t>a.</w:t>
      </w:r>
      <w:r w:rsidRPr="00E10347">
        <w:rPr>
          <w:rFonts w:ascii="Palatino Linotype" w:eastAsia="Times New Roman" w:hAnsi="Palatino Linotype"/>
          <w:sz w:val="21"/>
          <w:szCs w:val="21"/>
          <w:lang w:val="es-CR"/>
        </w:rPr>
        <w:t xml:space="preserve"> Estado (Gobierno Central, Poderes de la República), Contraloría General de la República en función administrativa interna, Defensoría de los Habitantes en función interna, y el Tribunal Supremo de Elecciones: esa representación corresponde a la Procuraduría General de la República.</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r>
      <w:r w:rsidRPr="00E10347">
        <w:rPr>
          <w:rFonts w:ascii="Palatino Linotype" w:eastAsia="Times New Roman" w:hAnsi="Palatino Linotype"/>
          <w:b/>
          <w:sz w:val="21"/>
          <w:szCs w:val="21"/>
          <w:lang w:val="es-CR"/>
        </w:rPr>
        <w:t>b.</w:t>
      </w:r>
      <w:r w:rsidRPr="00E10347">
        <w:rPr>
          <w:rFonts w:ascii="Palatino Linotype" w:eastAsia="Times New Roman" w:hAnsi="Palatino Linotype"/>
          <w:sz w:val="21"/>
          <w:szCs w:val="21"/>
          <w:lang w:val="es-CR"/>
        </w:rPr>
        <w:t xml:space="preserve"> Contraloría General de la República en ejercicio de legitimación activa, amicus curiae o como legitimada pasiva por el ejercicio de sus competencias constitucionales y legales de fiscalización externa: le corresponde a ella misma su representación judicial. Lo anterior como derivación y precisión (interpretativa) de lo preceptuado por los ordinales 10.3, 12.5, 16, 18 del CPCA, en relación a los ordinales 3, 35 y 36 de la Ley No. 7428, reformados por la norma 218 del CPCA.</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r>
      <w:r w:rsidRPr="00E10347">
        <w:rPr>
          <w:rFonts w:ascii="Palatino Linotype" w:eastAsia="Times New Roman" w:hAnsi="Palatino Linotype"/>
          <w:b/>
          <w:sz w:val="21"/>
          <w:szCs w:val="21"/>
          <w:lang w:val="es-CR"/>
        </w:rPr>
        <w:t>c.</w:t>
      </w:r>
      <w:r w:rsidRPr="00E10347">
        <w:rPr>
          <w:rFonts w:ascii="Palatino Linotype" w:eastAsia="Times New Roman" w:hAnsi="Palatino Linotype"/>
          <w:sz w:val="21"/>
          <w:szCs w:val="21"/>
          <w:lang w:val="es-CR"/>
        </w:rPr>
        <w:t xml:space="preserve"> Defensoría de los Habitantes de la República: En ejercicio de la legitimación activa o pasiva cuando lo cuestionado sea una conducta (u omisión) del ejercicio de sus competencias como instancia de tutela de los habitantes (externo), corresponde su propia representación.</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r>
      <w:r w:rsidRPr="00E10347">
        <w:rPr>
          <w:rFonts w:ascii="Palatino Linotype" w:eastAsia="Times New Roman" w:hAnsi="Palatino Linotype"/>
          <w:b/>
          <w:sz w:val="21"/>
          <w:szCs w:val="21"/>
          <w:lang w:val="es-CR"/>
        </w:rPr>
        <w:t>d.</w:t>
      </w:r>
      <w:r w:rsidRPr="00E10347">
        <w:rPr>
          <w:rFonts w:ascii="Palatino Linotype" w:eastAsia="Times New Roman" w:hAnsi="Palatino Linotype"/>
          <w:sz w:val="21"/>
          <w:szCs w:val="21"/>
          <w:lang w:val="es-CR"/>
        </w:rPr>
        <w:t xml:space="preserve"> Entes públicos menores: acorde al ordinal 17 del CPCA, la representación </w:t>
      </w:r>
      <w:r w:rsidRPr="00E10347">
        <w:rPr>
          <w:rFonts w:ascii="Palatino Linotype" w:eastAsia="Times New Roman" w:hAnsi="Palatino Linotype"/>
          <w:sz w:val="21"/>
          <w:szCs w:val="21"/>
          <w:lang w:val="es-CR"/>
        </w:rPr>
        <w:lastRenderedPageBreak/>
        <w:t>será a las reglas dispuestas en su propia ley constitutiva u orgánica.</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r>
      <w:r w:rsidRPr="00E10347">
        <w:rPr>
          <w:rFonts w:ascii="Palatino Linotype" w:eastAsia="Times New Roman" w:hAnsi="Palatino Linotype"/>
          <w:b/>
          <w:sz w:val="21"/>
          <w:szCs w:val="21"/>
          <w:lang w:val="es-CR"/>
        </w:rPr>
        <w:t>e.</w:t>
      </w:r>
      <w:r w:rsidRPr="00E10347">
        <w:rPr>
          <w:rFonts w:ascii="Palatino Linotype" w:eastAsia="Times New Roman" w:hAnsi="Palatino Linotype"/>
          <w:sz w:val="21"/>
          <w:szCs w:val="21"/>
          <w:lang w:val="es-CR"/>
        </w:rPr>
        <w:t xml:space="preserve"> Órganos Persona: les corresponde su propia representación, aun cuando al socaire del canon 12.2 del CPCA se demandan junto con el ente al que pertenecen, en litisconsorcio pasiva necesaria (aspecto que determina la legitimación ad processum, que no la vinculación con el fondo de la causa, ergo, se trata de una integración formal por criterio orgánico).</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 xml:space="preserve">En un criterio relativamente reciente, la Sala Primera de la Corte Suprema ha señalado que los órganos persona, mencionados en el CPCA únicamente como legitimados pasivos, no como activos, poseen legitimación activa como derivación del reconocimiento que hace el numeral 12.2 del CPCA. Lo anterior en el fallo No. 1453-F-S1-2013, de las nueve horas del treinta y uno de octubre de dos mil trece. El precedente en cuestión merece análisis concreto por las implicaciones procesales que proyecta, empero, por el contenido de este ensayo, </w:t>
      </w:r>
      <w:r w:rsidR="002A76CC">
        <w:rPr>
          <w:rFonts w:ascii="Palatino Linotype" w:eastAsia="Times New Roman" w:hAnsi="Palatino Linotype"/>
          <w:sz w:val="21"/>
          <w:szCs w:val="21"/>
          <w:lang w:val="es-CR"/>
        </w:rPr>
        <w:t xml:space="preserve">solo </w:t>
      </w:r>
      <w:r w:rsidRPr="00E10347">
        <w:rPr>
          <w:rFonts w:ascii="Palatino Linotype" w:eastAsia="Times New Roman" w:hAnsi="Palatino Linotype"/>
          <w:sz w:val="21"/>
          <w:szCs w:val="21"/>
          <w:lang w:val="es-CR"/>
        </w:rPr>
        <w:t>mencionamos el precedente para abordar su análisis crítico en otra oportunidad.</w:t>
      </w:r>
    </w:p>
    <w:p w:rsidR="00A22DC1" w:rsidRPr="00E10347" w:rsidRDefault="00A22DC1" w:rsidP="00E10347">
      <w:pPr>
        <w:ind w:firstLine="720"/>
        <w:jc w:val="both"/>
        <w:rPr>
          <w:rFonts w:ascii="Palatino Linotype" w:eastAsia="Times New Roman" w:hAnsi="Palatino Linotype"/>
          <w:sz w:val="21"/>
          <w:szCs w:val="21"/>
          <w:lang w:val="es-CR"/>
        </w:rPr>
      </w:pPr>
      <w:r w:rsidRPr="00E10347">
        <w:rPr>
          <w:rFonts w:ascii="Palatino Linotype" w:eastAsia="Times New Roman" w:hAnsi="Palatino Linotype"/>
          <w:b/>
          <w:sz w:val="21"/>
          <w:szCs w:val="21"/>
          <w:lang w:val="es-CR"/>
        </w:rPr>
        <w:t>f.</w:t>
      </w:r>
      <w:r w:rsidRPr="00E10347">
        <w:rPr>
          <w:rFonts w:ascii="Palatino Linotype" w:eastAsia="Times New Roman" w:hAnsi="Palatino Linotype"/>
          <w:sz w:val="21"/>
          <w:szCs w:val="21"/>
          <w:lang w:val="es-CR"/>
        </w:rPr>
        <w:t xml:space="preserve"> Particulares: aplican las reglas de representación propias del Código Civil y Código de Comercio en cuanto al contrato de mandato. Cabe destacar que si bien el ordinal 9 del CPCA confiere capacidad procesal a los menores de edad cuando puedan actuar de manera directa sin necesidad de la concurrencia de su representante, así como de los grupos y uniones sin personalidad, o bien, de los patrimonios independientes, ello no es óbice para el patrocinio letrado, el cual, siempre debe ser satisfecho. Vale citar de igual forma el reconocimiento de capacidad jurídica a las personas con discapacidad mental, acorde a la reforma legal realizada en la Ley No. 9379, Ley para la Promoción de la Autonomía Personal de las Personas con Discapacidad.</w:t>
      </w:r>
      <w:r w:rsidRPr="00E10347">
        <w:rPr>
          <w:rFonts w:ascii="Palatino Linotype" w:eastAsia="Times New Roman" w:hAnsi="Palatino Linotype"/>
          <w:sz w:val="21"/>
          <w:szCs w:val="21"/>
          <w:lang w:val="es-CR"/>
        </w:rPr>
        <w:tab/>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 xml:space="preserve">Lo anterior resulta relevante pues constituye la base misma de justificación de que en este sistema procesal (el contencioso administrativo), se impongan esquemas formales para el ejercicio del derecho de acción y de la contestación de la demanda, con serias implicaciones procesales; tratamiento que se extiende a la sinergia probatoria, como adelante se verá. En la medida en que en esta jurisdicción se exige el patrocinio letrado, las exigencias formales, incluida la fase probatoria, han de ponderar ese deber del profesional en derecho y de las partes, de aportar a la causa los hechos y elementos de prueba que permitan luego, al Tribunal de Fondo, establecer la ocurrencia o no de los hechos sobre los cuales se basa la pretensión o defensa, a partir del examen de las pruebas aportadas para esos fines. En su esquema simple, las partes alegan y prueban los hechos, aportan las pruebas </w:t>
      </w:r>
      <w:r w:rsidRPr="00E10347">
        <w:rPr>
          <w:rFonts w:ascii="Palatino Linotype" w:eastAsia="Times New Roman" w:hAnsi="Palatino Linotype"/>
          <w:sz w:val="21"/>
          <w:szCs w:val="21"/>
          <w:lang w:val="es-CR"/>
        </w:rPr>
        <w:lastRenderedPageBreak/>
        <w:t>para acreditar o refutar los hechos que sustentan sus respectivas posturas, invocan y alegan el derecho de fondo y formulan las pretensiones o defensas. Por su parte, el juzgador analiza la acreditación o no de los hechos a partir de la admisión, evacuación y posterior valoración de las probanzas. Analiza el derecho derivado de la causa de pedir, lo que supone que las normas y la solución jurídica se orienta en gran medida por el contenido fáctico de las relaciones jurídicas que componen el conflicto sometido a su conocimiento, a partir de lo cual, se utilizan las fuentes normativas que ante esos hechos (a modo de presupuesto condicionante), y a juicio del juzgador, permiten resolver tal divergencia. No en vano se ha inferido que las partes prueban los hechos y el juez aplica el derecho. Luego, la decisión final, como derivación del análisis fáctico y jurídico, determina la procedencia o improcedencia de las pretensiones y excepciones. Ello pone en evidencia la relevancia de las probanzas en todo proceso, y la rigurosidad que el litigante ha de tener en ese ámbito.</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Sin embargo, aun cuando no sea resorte de este breve ensayo, cabe advertir sobre la insuficiencia (y gran deuda) del sistema procesal contencioso administrativo, en cuanto a la ausencia total de vías institucionales que ofrezcan a personas en estado de vulnerabilidad socio-económica, opciones para poder formular una causa de esta naturaleza. El patrocinio letrado tiene implicaciones económicas que no toda persona puede afrontar, y si se considera que los procesos de esta índole involucran divergencias entre Administraciones y administrados, no se presenta una igualdad de armas en el acceso a la defensa técnica, ya que la Administración cuenta con presupuesto para contratar esa defensa o bien, posee dentro de su personal, profesionales dedicados a la defensa de la entidad administrativa. Esto a diferencia del administrado, que ha de buscar en el mercado profesional privado, el patrocinio en cuestión. Se emprende una lucha de un esquema institucional ya establecido, que posee (usualmente) toda la organización y factibilidad de afrontar un proceso judicial, contra la personas que por el afán de buscar lo que consideran la tutela de sus situaciones jurídicas (tenga la razón o no), deben acudir a esta jurisdicción, a cursar un proceso formal, técnico y complejo por la interacción de las materias tratadas (tributario, aduanero, contratación pública, empleo público, regulaciones diversas, urbanístico, servicios públicos, etc.).</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 xml:space="preserve">Si bien la situación patrimonial de muchas entidades les permite este litigio, en otros supuestos tales como como privados de libertad, pensionados o jubilados, personas con discapacidad, adultos mayores, comunidades indígenas, trabajadores, </w:t>
      </w:r>
      <w:r w:rsidRPr="00E10347">
        <w:rPr>
          <w:rFonts w:ascii="Palatino Linotype" w:eastAsia="Times New Roman" w:hAnsi="Palatino Linotype"/>
          <w:sz w:val="21"/>
          <w:szCs w:val="21"/>
          <w:lang w:val="es-CR"/>
        </w:rPr>
        <w:lastRenderedPageBreak/>
        <w:t>migrantes, mujeres jefas de hogar, menores de edad, víctimas de acoso u hostigamiento tanto laboral como sexual, así como personas en estado económico sensible, para citar algunos ejemplos, es difícil pensar (en muchos casos) en la tenencia de recursos financieros para afrontar este tipo de contiendas judiciales. No existe una opción que les permita el acceso a esquemas de defensa de sus intereses como sí existe en otro tipo de juicios, como es el caso de familia, violencia doméstica, penal, etc. Es un tema que estimamos necesario sea considerado y se inicie la discusión seria de esta realidad, cada día más palpable en la dinámica de la jurisdicción. No corresponde en este momento postular posibilidades de solución a esta circunstancia, sin embargo, existen reglas normativas adoptadas por el Estado de Costa Rica que obligan a tratamientos procesales con algún grado de preferencia o consideración de las condiciones de este grupo de justiciables (dentro de éstas se encuentran las reglas de Brasilia), como medidas de protección a sus intereses; de ahí que la consideración de opciones de defensa técnica ante la demostrada insuficiencia de recursos económicos para afrontar el proceso, es determinante dentro del principio de acceso a la justicia pronta y cumplida, la tutela judicial efectiva, la máxima de igualdad entre las partes, e incluso, es presupuesto del control universal de la función administrativa, pues no basta tener capacidad o legitimación para demandar, si para el ejercicio concreto del derecho de acción, se requiere de un profesional en derecho, que el afectado por una función (disfunción) administrativa, no puede costear. En ese ámbito, el CPCA aporta importantes avances en el conferimiento de capacidad procesal a los menores (art. 9), la regulación de la legitimación supra-individual que permite el ejercicio de la legitimación corporativa, colectiva, difusa y la acción popular. Empero, una cosa es la capacidad procesal y la legitimación activa, y otra es la forma de ejercer el derecho de acción que permite concretar esos presupuestos procesales, la que, se reitera, requiere, impostergablemente, de la representación judicial de esa parte. Opciones hay múltiples, decisiones concretas pocas. De ahí la necesidad de empezar un tratamiento sobre este tema. Dejamos enunciado el aspecto, a sabiendas que será luego que podamos abordarlo, en otro espacio.</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Para los efectos de ese tratamiento, y a fin de dar utilidad a aspectos que infra se abordarán, por el momento, por criterio estipulativo, el proceso contencioso permite identificar diversos momentos o etapas procesales vinculadas con las pruebas, según el siguiente orden lógico por cronología del esquema procesal vigente:</w:t>
      </w:r>
    </w:p>
    <w:p w:rsidR="0099757E" w:rsidRDefault="0099757E" w:rsidP="00E10347">
      <w:pPr>
        <w:jc w:val="both"/>
        <w:rPr>
          <w:rFonts w:ascii="Palatino Linotype" w:eastAsia="Times New Roman" w:hAnsi="Palatino Linotype"/>
          <w:b/>
          <w:sz w:val="21"/>
          <w:szCs w:val="21"/>
          <w:lang w:val="es-CR"/>
        </w:rPr>
      </w:pPr>
    </w:p>
    <w:p w:rsidR="00A22DC1" w:rsidRPr="00E10347" w:rsidRDefault="00A22DC1" w:rsidP="00E10347">
      <w:pPr>
        <w:jc w:val="both"/>
        <w:rPr>
          <w:rFonts w:ascii="Palatino Linotype" w:eastAsia="Times New Roman" w:hAnsi="Palatino Linotype"/>
          <w:b/>
          <w:sz w:val="21"/>
          <w:szCs w:val="21"/>
          <w:lang w:val="es-CR"/>
        </w:rPr>
      </w:pPr>
      <w:r w:rsidRPr="00E10347">
        <w:rPr>
          <w:rFonts w:ascii="Palatino Linotype" w:eastAsia="Times New Roman" w:hAnsi="Palatino Linotype"/>
          <w:b/>
          <w:sz w:val="21"/>
          <w:szCs w:val="21"/>
          <w:lang w:val="es-CR"/>
        </w:rPr>
        <w:t xml:space="preserve">B.1. Fase de proposición de la prueba.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Como todo proceso, el contencioso administrativo establece etapas concretas para el ofrecimiento de pruebas por las partes, bajo un esquema preclusivo que puede resultar más o menos flexible según particularidades que de seguido se analizan. Se refiere a la oportunidad con que cuentan las partes intervinientes en la causa judicial, para ofrecer al Tribunal los elementos probatorios que pretenden amparar los argumentos de hecho sobre los cuales sustentan su teoría del caso, y a partir de ello, la pertinencia o improcedencia de las pretensiones deducidas. Para ello es menester tener claro que en este tipo de contiendas, siguiendo la tónica que impone el ordinal 317 del CPC, así como el precepto 41.1 del Nuevo Código Procesal Civil (en adelante NCPC), la carga de la prueba incumbe a quien formule una pretensión, respecto de los hechos constitutivos de su derecho, o bien, en el caso del accionado, respecto de los hechos impeditivos, modificativos o extintivos del derecho del accionante. Desde luego que el deber probatorio del demandado emerge una vez que el accionante ha podido comprobar mediante sus probanzas, que ostenta el derecho que alega como base de su pretensión, o bien, que se han configurado los hechos constitutivos del derechos cuya tutela o amparo requiere en esta jurisdicción.</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De esa manera, a partir de esa acreditación, es el demandado a quien atañe probar que dicho derecho no puede tutelarse por haber fenecido, ser modificado o exista causal de impedimento para su cobertura. Cabe precisar empero, que el mismo ordinal 41.1 del NCPC destaca que para los efectos de atribuir el deber demostrativo, el órgano jurisdiccional debe considerar la disponibilidad y facilidad probatoria (así como la posibilidad objetiva añadimos) que corresponde a cada una de las partes, a efectos de lo cual es menester considerar la naturaleza de lo debatido. Ese mismo mandato aclara que tal regla opera en la medida en que no exista una regla especial expresa que fije criterios de distribución de la carga de la prueba diversos a los señalados. Sobre este aspecto, cabe traer a colación lo estatuido por la Ley de Biodiversidad, número 7788, fuente legal que en su norma 109 establece el tratamiento de la carga de la prueba en los procesos en que esté de por medio el cuestionamiento de la tutela del ambiente. Dicho mandato señala: “La carga de la prueba, de la ausencia de contaminación, degradación o afectación no permitidas, corresponderá a quien solicite la aprobación, el permiso o acceso a la biodiversidad o a quien se le acuse de haber ocasionado daño ambiental.”</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lastRenderedPageBreak/>
        <w:tab/>
        <w:t>Un aspecto que resulta necesario precisar en este punto es que si bien el ordinal 82 del CPCA señala que el Tribunal practicará todas las diligencias de prueba necesarias para determinar la verdad real de los hechos, ello no implica que sea el Tribunal quien deba postular o procurar los elementos de prueba a favor o en contra de una de las partes. Es menester tener claridad que en este tipo de causas, de orden dispositivo, corresponde a las partes, por tesis de principio, acreditar los hechos sobre los cuales sustentan sus respectivas posturas.</w:t>
      </w:r>
    </w:p>
    <w:p w:rsidR="00A22DC1" w:rsidRPr="00E10347" w:rsidRDefault="00A22DC1" w:rsidP="00E10347">
      <w:pPr>
        <w:jc w:val="both"/>
        <w:rPr>
          <w:rFonts w:ascii="Palatino Linotype" w:eastAsia="Times New Roman" w:hAnsi="Palatino Linotype"/>
          <w:b/>
          <w:color w:val="000000"/>
          <w:sz w:val="21"/>
          <w:szCs w:val="21"/>
          <w:lang w:val="es-CR"/>
        </w:rPr>
      </w:pPr>
      <w:r w:rsidRPr="00E10347">
        <w:rPr>
          <w:rFonts w:ascii="Palatino Linotype" w:eastAsia="Times New Roman" w:hAnsi="Palatino Linotype"/>
          <w:color w:val="000000"/>
          <w:sz w:val="21"/>
          <w:szCs w:val="21"/>
          <w:lang w:val="es-CR"/>
        </w:rPr>
        <w:tab/>
        <w:t>En cuando a las fases de ofrecimiento de las pruebas, se plantean los siguientes:</w:t>
      </w:r>
    </w:p>
    <w:p w:rsidR="00A22DC1" w:rsidRPr="00E10347" w:rsidRDefault="00A22DC1" w:rsidP="00E10347">
      <w:pPr>
        <w:jc w:val="both"/>
        <w:rPr>
          <w:rFonts w:ascii="Palatino Linotype" w:eastAsia="Times New Roman" w:hAnsi="Palatino Linotype"/>
          <w:i/>
          <w:color w:val="000000"/>
          <w:sz w:val="21"/>
          <w:szCs w:val="21"/>
          <w:u w:val="single"/>
          <w:lang w:val="es-CR"/>
        </w:rPr>
      </w:pPr>
    </w:p>
    <w:p w:rsidR="00A22DC1" w:rsidRPr="00E10347" w:rsidRDefault="00A22DC1" w:rsidP="00E10347">
      <w:pPr>
        <w:jc w:val="both"/>
        <w:rPr>
          <w:rFonts w:ascii="Palatino Linotype" w:eastAsia="Times New Roman" w:hAnsi="Palatino Linotype"/>
          <w:b/>
          <w:i/>
          <w:color w:val="000000"/>
          <w:sz w:val="21"/>
          <w:szCs w:val="21"/>
          <w:u w:val="single"/>
          <w:lang w:val="es-CR"/>
        </w:rPr>
      </w:pPr>
      <w:r w:rsidRPr="00E10347">
        <w:rPr>
          <w:rFonts w:ascii="Palatino Linotype" w:eastAsia="Times New Roman" w:hAnsi="Palatino Linotype"/>
          <w:b/>
          <w:i/>
          <w:color w:val="000000"/>
          <w:sz w:val="21"/>
          <w:szCs w:val="21"/>
          <w:u w:val="single"/>
          <w:lang w:val="es-CR"/>
        </w:rPr>
        <w:t>B.1.1. Demanda:</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El primer episodio lógico para la aportación de prueba es precisamente el escrito de demanda. Acorde al ordinal 58 del CPCA, la demanda ha de satisfacer una serie de requisitos elementales, dentro de los cuales, para estos efectos, destacan los detallados en los incisos e) y f). En este último, la norma en cuestión estipula que la demanda debe indicar necesariamente las pruebas sobre las cuales el accionante sustenta su postura. En ese orden, es claro que las pruebas pretenden la acreditación de antecedentes o circunstancias fácticas, que dentro del esquema de argumentación del accionante, resultan determinantes o relevantes para el respaldo de sus pretensiones. Los elementos de convicción, si bien se mira, buscan traer al proceso referencias objetivas para la determinación de los hechos que configuran el derecho que arguye la parte actora. Desde ese plano, la pertinencia de ese marco petitorio exige, en parte, la acreditación de concurrencia de ese panorama fáctico, lo que luego dará cabida al análisis de si frente a esos hechos (como causa de pedir), el derecho aplicable ampara los pedimentos sometidos a escrutinio del órgano jurisdiccional.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Ahora, la regla aludida en cuanto al deber de ofrecimiento probatorio en el escrito de demanda, caso de ser desatendido, habilita al juez de la etapa de trámite para que, de conformidad con el artículo 61.1 del CPCA, conceda al actor un plazo de 3 días hábiles para la respectiva subsanación, bajo advertencia de la declaratoria de inadmisibilidad de la demanda con su correspondiente archivo, por aspectos formales. Desde luego que esa inadmisibilidad, en tanto formal, no imposibilita al actor a formular nuevamente el proceso, pues la causa de su archivo no estriba en decisiones de fondo. Este tratamiento llevaría a que esa decisión de archivo del proceso, tenga recurso de apelación ante el Tribunal de Apelaciones.</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lastRenderedPageBreak/>
        <w:tab/>
        <w:t>En cuanto a la forma de postulación u ofrecimiento de pruebas, si bien es un tema que queda a la liberalidad de cada litigante, cabe destacar que en la medida en que los elementos de convicción pretenden acreditar una circunstancia fáctica en particular (o varias de ellas) que resultan relevantes para postular la procedencia de la aplicación de determinada norma o bien, la procedencia de la pretensión, lo conveniente es que cada probanza aportada incluya una referencia explícita al hecho o aspecto de la demanda al cual se vincula. Es usual encontrar demandas que se limitan, en lo que viene relevante a este ensayo, a elencar los hechos sustento de la acción y luego, en el aparte de las pruebas, exponer una lista de los elementos en los que sustentan las alegaciones fácticas. Sin embargo, en esa generalidad, no se presenta una referencia directa del hecho que cada elemento busca comprobar, lo que puede generar confusiones y complicaciones en el análisis de fondo. Desde el plano práctico, es deseable y útil para el análisis del caso, referir en cada prueba, al hecho que se asocia, así como las razones por las cuales esa probanza en particular tiene la virtud de llegar a determinada inferencia, deducción, conjetura, etc. Una demanda en esos términos no solamente impregna de más orden y solvencia la argumentación, sino que facilita y abona al proceso de admisión de pruebas, en la medida en que, como se verá luego, las probanzas se admiten en función de hechos concretos, a la vez que agiliza el proceso de valoración probatoria. En esta etapa de ofrecimiento de probanzas, propia de la demanda, el cotejo que realiza la instancia de trámite es eminentemente formal, sin que implique, ni por asomo, un juicio valorativo de admisibilidad, lo que queda reservado para otra etapa (la audiencia preliminar).</w:t>
      </w:r>
    </w:p>
    <w:p w:rsidR="00A22DC1" w:rsidRPr="00E10347" w:rsidRDefault="00A22DC1" w:rsidP="00E10347">
      <w:pPr>
        <w:jc w:val="both"/>
        <w:rPr>
          <w:rFonts w:ascii="Palatino Linotype" w:eastAsia="Times New Roman" w:hAnsi="Palatino Linotype"/>
          <w:color w:val="000000"/>
          <w:sz w:val="21"/>
          <w:szCs w:val="21"/>
          <w:lang w:val="es-CR"/>
        </w:rPr>
      </w:pPr>
    </w:p>
    <w:p w:rsidR="00A22DC1" w:rsidRPr="00E10347" w:rsidRDefault="00A22DC1" w:rsidP="00E10347">
      <w:pPr>
        <w:jc w:val="both"/>
        <w:rPr>
          <w:rFonts w:ascii="Palatino Linotype" w:eastAsia="Times New Roman" w:hAnsi="Palatino Linotype"/>
          <w:b/>
          <w:i/>
          <w:color w:val="000000"/>
          <w:sz w:val="21"/>
          <w:szCs w:val="21"/>
          <w:u w:val="single"/>
          <w:lang w:val="es-CR"/>
        </w:rPr>
      </w:pPr>
      <w:r w:rsidRPr="00E10347">
        <w:rPr>
          <w:rFonts w:ascii="Palatino Linotype" w:eastAsia="Times New Roman" w:hAnsi="Palatino Linotype"/>
          <w:b/>
          <w:i/>
          <w:color w:val="000000"/>
          <w:sz w:val="21"/>
          <w:szCs w:val="21"/>
          <w:u w:val="single"/>
          <w:lang w:val="es-CR"/>
        </w:rPr>
        <w:t>B.1.2. Ampliación de la demanda.</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El ordinal 35.6 del NCPC establece que la demanda puede ser ampliada o modificada en cuanto a las partes, hechos, pretensiones y pruebas, antes de la contestación o de que haya vencido el plazo para contestar. De igual manera, acota que dicha ampliación será posible, de común acuerdo de las partes, antes de que concluya la audiencia preliminar. Sin embargo, el CPCA fija supuestos particulares en los cuales, procede la ampliación de la demanda, a saber:</w:t>
      </w:r>
    </w:p>
    <w:p w:rsidR="00A22DC1" w:rsidRPr="00E10347" w:rsidRDefault="00A22DC1" w:rsidP="00E10347">
      <w:pPr>
        <w:ind w:firstLine="720"/>
        <w:jc w:val="both"/>
        <w:rPr>
          <w:rFonts w:ascii="Palatino Linotype" w:eastAsia="Times New Roman" w:hAnsi="Palatino Linotype"/>
          <w:color w:val="000000"/>
          <w:sz w:val="21"/>
          <w:szCs w:val="21"/>
          <w:lang w:val="es-CR"/>
        </w:rPr>
      </w:pPr>
      <w:r w:rsidRPr="00E10347">
        <w:rPr>
          <w:rFonts w:ascii="Palatino Linotype" w:eastAsia="Times New Roman" w:hAnsi="Palatino Linotype"/>
          <w:b/>
          <w:color w:val="000000"/>
          <w:sz w:val="21"/>
          <w:szCs w:val="21"/>
          <w:lang w:val="es-CR"/>
        </w:rPr>
        <w:t>- Hechos o conductas novedosas. (Artículo 46)</w:t>
      </w:r>
      <w:r w:rsidRPr="00E10347">
        <w:rPr>
          <w:rFonts w:ascii="Palatino Linotype" w:eastAsia="Times New Roman" w:hAnsi="Palatino Linotype"/>
          <w:color w:val="000000"/>
          <w:sz w:val="21"/>
          <w:szCs w:val="21"/>
          <w:lang w:val="es-CR"/>
        </w:rPr>
        <w:t xml:space="preserve">: cuando de previo a la celebración de la audiencia preliminar se dicte un acto o se tenga conocimiento de alguna conducta administrativa cuyo conocimiento sea acumulable a la causa ya instruida. Se trata del supuesto genérico de hechos nuevos y sobrevenidos que sean </w:t>
      </w:r>
      <w:r w:rsidRPr="00E10347">
        <w:rPr>
          <w:rFonts w:ascii="Palatino Linotype" w:eastAsia="Times New Roman" w:hAnsi="Palatino Linotype"/>
          <w:color w:val="000000"/>
          <w:sz w:val="21"/>
          <w:szCs w:val="21"/>
          <w:lang w:val="es-CR"/>
        </w:rPr>
        <w:lastRenderedPageBreak/>
        <w:t>atinentes al proceso, lo que en esta jurisdicción exige que se refiera a la misma relación jurídico administrativa o tenga conexidad con esta (art. 43 CPCA). De igual manera, el inciso segundo del artículo 68 regula la ampliación de la demanda por acaecimiento de hechos nuevos con influencia en la pretensión. En tales casos, en la medida en que la ampliación se fundamente en hechos novedosos, esas adiciones fácticas han de ser complementadas con los elementos de prueba que permitan su comprobación.</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r>
      <w:r w:rsidRPr="00E10347">
        <w:rPr>
          <w:rFonts w:ascii="Palatino Linotype" w:eastAsia="Times New Roman" w:hAnsi="Palatino Linotype"/>
          <w:b/>
          <w:color w:val="000000"/>
          <w:sz w:val="21"/>
          <w:szCs w:val="21"/>
          <w:lang w:val="es-CR"/>
        </w:rPr>
        <w:t>- Divergencia sustancial del expediente administrativo. (Artículo 54)</w:t>
      </w:r>
      <w:r w:rsidRPr="00E10347">
        <w:rPr>
          <w:rFonts w:ascii="Palatino Linotype" w:eastAsia="Times New Roman" w:hAnsi="Palatino Linotype"/>
          <w:color w:val="000000"/>
          <w:sz w:val="21"/>
          <w:szCs w:val="21"/>
          <w:lang w:val="es-CR"/>
        </w:rPr>
        <w:t>: cuando el accionante presente con su demanda copia certificada del expediente administrativo, y la aportada por la Administración Pública con la contestación (art. 52.2 CPCA) sea sustancialmente diferente, la parte proponente contará con un plazo máximo de 8 días hábiles, a fin de que amplíe o rectifique la demanda, si a bien lo tiene.</w:t>
      </w:r>
      <w:r w:rsidRPr="00E10347">
        <w:rPr>
          <w:rFonts w:ascii="Palatino Linotype" w:eastAsia="Times New Roman" w:hAnsi="Palatino Linotype"/>
          <w:color w:val="000000"/>
          <w:sz w:val="21"/>
          <w:szCs w:val="21"/>
          <w:lang w:val="es-CR"/>
        </w:rPr>
        <w:tab/>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r>
      <w:r w:rsidRPr="00E10347">
        <w:rPr>
          <w:rFonts w:ascii="Palatino Linotype" w:eastAsia="Times New Roman" w:hAnsi="Palatino Linotype"/>
          <w:b/>
          <w:color w:val="000000"/>
          <w:sz w:val="21"/>
          <w:szCs w:val="21"/>
          <w:lang w:val="es-CR"/>
        </w:rPr>
        <w:t>- Ampliación de demanda no contestada. (Artículo 68):</w:t>
      </w:r>
      <w:r w:rsidRPr="00E10347">
        <w:rPr>
          <w:rFonts w:ascii="Palatino Linotype" w:eastAsia="Times New Roman" w:hAnsi="Palatino Linotype"/>
          <w:color w:val="000000"/>
          <w:sz w:val="21"/>
          <w:szCs w:val="21"/>
          <w:lang w:val="es-CR"/>
        </w:rPr>
        <w:t xml:space="preserve"> esta norma permite la ampliación (y rectificación) de la demanda (o contrademanda), antes de que hayan sido contestadas. Acá surge una diferencia con el tratamiento del NCPC, pues la norma del CPCA no posibilita la modificación antes del vencimiento del plazo cuando la demanda ya fue contestada, regulación que seguía la redacción del ordinal 313 del CPCA que fija la imposibilidad de ampliación cuando la demanda ha sido contestada. Opera en este aparte un vencimiento anticipado del plazo, acorde a la doctrina del canon 257 de la LGAP.</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Cabe advertir que en los casos de ampliación de la demanda sustentada en hechos nuevos, impera igualmente el deber de aportación de pruebas respecto de esos hechos, lo que no sucede necesariamente en los casos de ajuste de pretensiones o ampliación de la demanda solamente en cuanto a argumentos o pedimentos, caso en el cual, en tesis de inicio, esa nueva dirección de la acción no requiere de probanzas adicionales a las ya aportadas al proceso.</w:t>
      </w:r>
    </w:p>
    <w:p w:rsidR="00A22DC1" w:rsidRPr="00E10347" w:rsidRDefault="00A22DC1" w:rsidP="00E10347">
      <w:pPr>
        <w:jc w:val="both"/>
        <w:rPr>
          <w:rFonts w:ascii="Palatino Linotype" w:eastAsia="Times New Roman" w:hAnsi="Palatino Linotype"/>
          <w:color w:val="000000"/>
          <w:sz w:val="21"/>
          <w:szCs w:val="21"/>
          <w:lang w:val="es-CR"/>
        </w:rPr>
      </w:pPr>
    </w:p>
    <w:p w:rsidR="00A22DC1" w:rsidRPr="00E10347" w:rsidRDefault="00A22DC1" w:rsidP="00E10347">
      <w:pPr>
        <w:jc w:val="both"/>
        <w:rPr>
          <w:rFonts w:ascii="Palatino Linotype" w:eastAsia="Times New Roman" w:hAnsi="Palatino Linotype"/>
          <w:b/>
          <w:i/>
          <w:color w:val="000000"/>
          <w:sz w:val="21"/>
          <w:szCs w:val="21"/>
          <w:u w:val="single"/>
          <w:lang w:val="es-CR"/>
        </w:rPr>
      </w:pPr>
      <w:r w:rsidRPr="00E10347">
        <w:rPr>
          <w:rFonts w:ascii="Palatino Linotype" w:eastAsia="Times New Roman" w:hAnsi="Palatino Linotype"/>
          <w:b/>
          <w:i/>
          <w:color w:val="000000"/>
          <w:sz w:val="21"/>
          <w:szCs w:val="21"/>
          <w:u w:val="single"/>
          <w:lang w:val="es-CR"/>
        </w:rPr>
        <w:t>B.1.3.Contestación de la demanda.</w:t>
      </w:r>
    </w:p>
    <w:p w:rsidR="00A22DC1" w:rsidRPr="00E10347" w:rsidRDefault="00A22DC1" w:rsidP="0099757E">
      <w:pPr>
        <w:ind w:firstLine="708"/>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 xml:space="preserve">El canon 64 del CPCA impone exigencias de estructura formal en la contestación de la demanda, que obliga a la accionada a exponer con claridad si acepta o no los hechos, alegar las razones de objeción a la demanda (fundamento de derecho), alegación de excepciones previas y de fondo, así como al ofrecimiento de la prueba respectiva. Al igual que ocurre con la demanda, la desatención de estos parámetros de forma permite el requerimiento de subsanación en el plazo de 5 días </w:t>
      </w:r>
      <w:r w:rsidRPr="00E10347">
        <w:rPr>
          <w:rFonts w:ascii="Palatino Linotype" w:eastAsia="Times New Roman" w:hAnsi="Palatino Linotype"/>
          <w:color w:val="000000"/>
          <w:sz w:val="21"/>
          <w:szCs w:val="21"/>
          <w:lang w:val="es-CR"/>
        </w:rPr>
        <w:lastRenderedPageBreak/>
        <w:t>hábiles, bajo advertencia de tener por contestada afirmativamente la demanda en cuanto a los hechos, acorde al precepto 64.3 del CPCA. Sobre este tema en concreto ser volverá luego. En lo que interesa en este aparte, la contestación configura la oportunidad procesal para que la parte accionada ofrezca las probanzas de descargo. Parece elemental que las deficiencias que dan cabida a la aplicación del ordinal 64.3 del CPCA no incluyen el aporte de prueba, sin embargo, dicha omisión configura un riesgo del accionado omitir el aporte de los elementos que permitan dar respaldo a su postura. Con todo, esa indolencia per ser, no lleva a tener por ciertos los hechos de la demanda, siendo impostergable acreditar la concurrencia de los hechos constitutivos del derecho alegado por el actor, como sustento de sus pedimentos.</w:t>
      </w:r>
    </w:p>
    <w:p w:rsidR="00A22DC1" w:rsidRPr="00E10347" w:rsidRDefault="00A22DC1" w:rsidP="00E10347">
      <w:pPr>
        <w:jc w:val="both"/>
        <w:rPr>
          <w:rFonts w:ascii="Palatino Linotype" w:eastAsia="Times New Roman" w:hAnsi="Palatino Linotype"/>
          <w:color w:val="000000"/>
          <w:sz w:val="21"/>
          <w:szCs w:val="21"/>
          <w:lang w:val="es-CR"/>
        </w:rPr>
      </w:pPr>
    </w:p>
    <w:p w:rsidR="00A22DC1" w:rsidRPr="00E10347" w:rsidRDefault="00A22DC1" w:rsidP="00E10347">
      <w:pPr>
        <w:jc w:val="both"/>
        <w:rPr>
          <w:rFonts w:ascii="Palatino Linotype" w:eastAsia="Times New Roman" w:hAnsi="Palatino Linotype"/>
          <w:b/>
          <w:color w:val="000000"/>
          <w:sz w:val="21"/>
          <w:szCs w:val="21"/>
          <w:lang w:val="es-CR"/>
        </w:rPr>
      </w:pPr>
      <w:r w:rsidRPr="00E10347">
        <w:rPr>
          <w:rFonts w:ascii="Palatino Linotype" w:eastAsia="Times New Roman" w:hAnsi="Palatino Linotype"/>
          <w:b/>
          <w:i/>
          <w:color w:val="000000"/>
          <w:sz w:val="21"/>
          <w:szCs w:val="21"/>
          <w:u w:val="single"/>
          <w:lang w:val="es-CR"/>
        </w:rPr>
        <w:t>B.1.4. Contrademanda.</w:t>
      </w:r>
      <w:r w:rsidRPr="00E10347">
        <w:rPr>
          <w:rFonts w:ascii="Palatino Linotype" w:eastAsia="Times New Roman" w:hAnsi="Palatino Linotype"/>
          <w:b/>
          <w:color w:val="000000"/>
          <w:sz w:val="21"/>
          <w:szCs w:val="21"/>
          <w:lang w:val="es-CR"/>
        </w:rPr>
        <w:t xml:space="preserve">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Con la reconvención es menester cumplir con las mismas exigencias ya señaladas en cuanto a la demanda, por lo cual, las deficiencias de este ejercicio del derecho de acción han de seguir la misma suerte y tratamiento ya expuesto para la demanda. Si bien el CPCA no señala de manera expresa tal postura, pareciera de principio lógico esa derivación, misma que de toda suerte sí precisa el ordinal 38.1 del NCPC.</w:t>
      </w:r>
    </w:p>
    <w:p w:rsidR="00A22DC1" w:rsidRPr="00E10347" w:rsidRDefault="00A22DC1" w:rsidP="00E10347">
      <w:pPr>
        <w:jc w:val="both"/>
        <w:rPr>
          <w:rFonts w:ascii="Palatino Linotype" w:eastAsia="Times New Roman" w:hAnsi="Palatino Linotype"/>
          <w:color w:val="000000"/>
          <w:sz w:val="21"/>
          <w:szCs w:val="21"/>
          <w:lang w:val="es-CR"/>
        </w:rPr>
      </w:pPr>
    </w:p>
    <w:p w:rsidR="00A22DC1" w:rsidRPr="00E10347" w:rsidRDefault="00A22DC1" w:rsidP="00E10347">
      <w:pPr>
        <w:jc w:val="both"/>
        <w:rPr>
          <w:rFonts w:ascii="Palatino Linotype" w:eastAsia="Times New Roman" w:hAnsi="Palatino Linotype"/>
          <w:b/>
          <w:color w:val="000000"/>
          <w:sz w:val="21"/>
          <w:szCs w:val="21"/>
          <w:lang w:val="es-CR"/>
        </w:rPr>
      </w:pPr>
      <w:r w:rsidRPr="00E10347">
        <w:rPr>
          <w:rFonts w:ascii="Palatino Linotype" w:eastAsia="Times New Roman" w:hAnsi="Palatino Linotype"/>
          <w:b/>
          <w:i/>
          <w:color w:val="000000"/>
          <w:sz w:val="21"/>
          <w:szCs w:val="21"/>
          <w:u w:val="single"/>
          <w:lang w:val="es-CR"/>
        </w:rPr>
        <w:t>B.1.5. Audiencia Preliminar.</w:t>
      </w:r>
      <w:r w:rsidRPr="00E10347">
        <w:rPr>
          <w:rFonts w:ascii="Palatino Linotype" w:eastAsia="Times New Roman" w:hAnsi="Palatino Linotype"/>
          <w:b/>
          <w:color w:val="000000"/>
          <w:sz w:val="21"/>
          <w:szCs w:val="21"/>
          <w:lang w:val="es-CR"/>
        </w:rPr>
        <w:t xml:space="preserve">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De conformidad con el artículo 90 del CPCA, dentro de la audiencia preliminar se atienden una serie de cuestiones que buscan sanear, ordenar y abreviar el proceso, a fin de que se pueda ulteriormente realizar el juicio oral y público, o bien, pasar al dictado de la sentencia (caso del proceso de puro derecho que prevé el art. 98.2 CPCA). En su estructura, esa audiencia busca resolver las eventuales nulidades y patologías que pueda tener la causa hasta ese punto, precisa y fija las pretensiones, resuelve sobre las peticiones de coadyuvancia, se pronuncia sobre las defensas previas dispuestas en el artículo 66.1 del CPCA (excepción hecha de la caducidad y prescripción, las que puede reservar para sentencia cuando no las estime evidentes y manifiestas), determina los hechos controvertidos y determina la admisión de pruebas.</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No obstante, pese a que los supuestos anteriores parecieran dar un orden preclusivo en el aporte de probanzas, el mandato 90.2 del CPCA señala que durante la audiencia de trámite, las partes pueden ofrecer otros medios de prueba que, a </w:t>
      </w:r>
      <w:r w:rsidRPr="00E10347">
        <w:rPr>
          <w:rFonts w:ascii="Palatino Linotype" w:eastAsia="Times New Roman" w:hAnsi="Palatino Linotype"/>
          <w:color w:val="000000"/>
          <w:sz w:val="21"/>
          <w:szCs w:val="21"/>
          <w:lang w:val="es-CR"/>
        </w:rPr>
        <w:lastRenderedPageBreak/>
        <w:t>juicio del juez de esa etapa, sean de interés para la resolución del proceso, siempre que se refieran, únicamente, a hechos nuevos o a rectificaciones realizadas en la propia audiencia. Las implicaciones y críticas de este precepto serán tratados adelante, bastando por ahora hacer referencia a esta posibilidad. DILEMA 3.</w:t>
      </w:r>
    </w:p>
    <w:p w:rsidR="00A22DC1" w:rsidRPr="00E10347" w:rsidRDefault="00A22DC1" w:rsidP="00E10347">
      <w:pPr>
        <w:jc w:val="both"/>
        <w:rPr>
          <w:rFonts w:ascii="Palatino Linotype" w:eastAsia="Times New Roman" w:hAnsi="Palatino Linotype"/>
          <w:color w:val="000000"/>
          <w:sz w:val="21"/>
          <w:szCs w:val="21"/>
          <w:highlight w:val="yellow"/>
          <w:shd w:val="clear" w:color="auto" w:fill="FFFF00"/>
          <w:lang w:val="es-CR"/>
        </w:rPr>
      </w:pPr>
    </w:p>
    <w:p w:rsidR="00A22DC1" w:rsidRPr="00E10347" w:rsidRDefault="00A22DC1" w:rsidP="00E10347">
      <w:pPr>
        <w:jc w:val="both"/>
        <w:rPr>
          <w:rFonts w:ascii="Palatino Linotype" w:eastAsia="Times New Roman" w:hAnsi="Palatino Linotype"/>
          <w:b/>
          <w:i/>
          <w:color w:val="000000"/>
          <w:sz w:val="21"/>
          <w:szCs w:val="21"/>
          <w:highlight w:val="white"/>
          <w:u w:val="single"/>
          <w:shd w:val="clear" w:color="auto" w:fill="FFFFFF"/>
          <w:lang w:val="es-CR"/>
        </w:rPr>
      </w:pPr>
      <w:r w:rsidRPr="00E10347">
        <w:rPr>
          <w:rFonts w:ascii="Palatino Linotype" w:eastAsia="Times New Roman" w:hAnsi="Palatino Linotype"/>
          <w:b/>
          <w:i/>
          <w:color w:val="000000"/>
          <w:sz w:val="21"/>
          <w:szCs w:val="21"/>
          <w:highlight w:val="white"/>
          <w:u w:val="single"/>
          <w:shd w:val="clear" w:color="auto" w:fill="FFFFFF"/>
          <w:lang w:val="es-CR"/>
        </w:rPr>
        <w:t>B.1.6. Prueba documental posterior a preliminar.</w:t>
      </w:r>
    </w:p>
    <w:p w:rsidR="00A22DC1" w:rsidRPr="00E10347" w:rsidRDefault="00A22DC1" w:rsidP="00E10347">
      <w:pPr>
        <w:jc w:val="both"/>
        <w:rPr>
          <w:rFonts w:ascii="Palatino Linotype" w:eastAsia="Times New Roman" w:hAnsi="Palatino Linotype"/>
          <w:color w:val="000000"/>
          <w:sz w:val="21"/>
          <w:szCs w:val="21"/>
          <w:highlight w:val="white"/>
          <w:shd w:val="clear" w:color="auto" w:fill="FFFFFF"/>
          <w:lang w:val="es-CR"/>
        </w:rPr>
      </w:pPr>
      <w:r w:rsidRPr="00E10347">
        <w:rPr>
          <w:rFonts w:ascii="Palatino Linotype" w:eastAsia="Times New Roman" w:hAnsi="Palatino Linotype"/>
          <w:color w:val="000000"/>
          <w:sz w:val="21"/>
          <w:szCs w:val="21"/>
          <w:highlight w:val="white"/>
          <w:shd w:val="clear" w:color="auto" w:fill="FFFFFF"/>
          <w:lang w:val="es-CR"/>
        </w:rPr>
        <w:tab/>
        <w:t xml:space="preserve">De manera excepcional, el artículo 50 del CPCA permite el ofrecimiento de pruebas documentales luego de la fase de demanda y contestación, reservando tal hipótesis a supuestos concretos referidos a: 1) documentos de fecha ulterior a la demanda o contestación según corresponda; 2) los que haya sido imposible aportar con antelación por causas no imputables a la interesada; y 3) los que sin haber sido fundamento de la demanda, sirvan para combatir excepciones del demandado o constituyan prueba complementaria. </w:t>
      </w:r>
    </w:p>
    <w:p w:rsidR="00A22DC1" w:rsidRPr="00E10347" w:rsidRDefault="00A22DC1" w:rsidP="00E10347">
      <w:pPr>
        <w:ind w:firstLine="720"/>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 xml:space="preserve">Como se observa, se trata de una posibilidad regulada por motivos tasados, que no de un supuesto de apertura genérica. La norma en cuestión señala que si esos documentos se presentan antes de concluida la audiencia preliminar, sobre su admisibilidad se definirá en sentencia, en tanto que si son aportados después de esa fase (preliminar), </w:t>
      </w:r>
      <w:r w:rsidR="002A76CC">
        <w:rPr>
          <w:rFonts w:ascii="Palatino Linotype" w:eastAsia="Times New Roman" w:hAnsi="Palatino Linotype"/>
          <w:color w:val="000000"/>
          <w:sz w:val="21"/>
          <w:szCs w:val="21"/>
          <w:lang w:val="es-CR"/>
        </w:rPr>
        <w:t xml:space="preserve">solo </w:t>
      </w:r>
      <w:r w:rsidRPr="00E10347">
        <w:rPr>
          <w:rFonts w:ascii="Palatino Linotype" w:eastAsia="Times New Roman" w:hAnsi="Palatino Linotype"/>
          <w:color w:val="000000"/>
          <w:sz w:val="21"/>
          <w:szCs w:val="21"/>
          <w:lang w:val="es-CR"/>
        </w:rPr>
        <w:t>podrán ser valorados por el Tribunal sentenciador como pruebas para mejor resolver. Este tema será resorte de abordaje luego. DILEMA 2.</w:t>
      </w:r>
    </w:p>
    <w:p w:rsidR="00A22DC1" w:rsidRPr="00E10347" w:rsidRDefault="00A22DC1" w:rsidP="00E10347">
      <w:pPr>
        <w:jc w:val="both"/>
        <w:rPr>
          <w:rFonts w:ascii="Palatino Linotype" w:eastAsia="Times New Roman" w:hAnsi="Palatino Linotype"/>
          <w:color w:val="000000"/>
          <w:sz w:val="21"/>
          <w:szCs w:val="21"/>
          <w:highlight w:val="yellow"/>
          <w:shd w:val="clear" w:color="auto" w:fill="FFFF00"/>
          <w:lang w:val="es-CR"/>
        </w:rPr>
      </w:pPr>
    </w:p>
    <w:p w:rsidR="00A22DC1" w:rsidRPr="00E10347" w:rsidRDefault="00A22DC1" w:rsidP="00E10347">
      <w:pPr>
        <w:jc w:val="both"/>
        <w:rPr>
          <w:rFonts w:ascii="Palatino Linotype" w:eastAsia="Times New Roman" w:hAnsi="Palatino Linotype"/>
          <w:b/>
          <w:i/>
          <w:color w:val="000000"/>
          <w:sz w:val="21"/>
          <w:szCs w:val="21"/>
          <w:highlight w:val="white"/>
          <w:u w:val="single"/>
          <w:shd w:val="clear" w:color="auto" w:fill="FFFFFF"/>
          <w:lang w:val="es-CR"/>
        </w:rPr>
      </w:pPr>
      <w:r w:rsidRPr="00E10347">
        <w:rPr>
          <w:rFonts w:ascii="Palatino Linotype" w:eastAsia="Times New Roman" w:hAnsi="Palatino Linotype"/>
          <w:b/>
          <w:i/>
          <w:color w:val="000000"/>
          <w:sz w:val="21"/>
          <w:szCs w:val="21"/>
          <w:highlight w:val="white"/>
          <w:u w:val="single"/>
          <w:shd w:val="clear" w:color="auto" w:fill="FFFFFF"/>
          <w:lang w:val="es-CR"/>
        </w:rPr>
        <w:t>B.1.7. Prueba en juicio oral o fase sentencia.</w:t>
      </w:r>
    </w:p>
    <w:p w:rsidR="00A22DC1" w:rsidRPr="00E10347" w:rsidRDefault="00A22DC1" w:rsidP="00E10347">
      <w:pPr>
        <w:jc w:val="both"/>
        <w:rPr>
          <w:rFonts w:ascii="Palatino Linotype" w:eastAsia="Times New Roman" w:hAnsi="Palatino Linotype"/>
          <w:color w:val="000000"/>
          <w:sz w:val="21"/>
          <w:szCs w:val="21"/>
          <w:highlight w:val="white"/>
          <w:shd w:val="clear" w:color="auto" w:fill="FFFFFF"/>
          <w:lang w:val="es-CR"/>
        </w:rPr>
      </w:pPr>
      <w:r w:rsidRPr="00E10347">
        <w:rPr>
          <w:rFonts w:ascii="Palatino Linotype" w:eastAsia="Times New Roman" w:hAnsi="Palatino Linotype"/>
          <w:color w:val="000000"/>
          <w:sz w:val="21"/>
          <w:szCs w:val="21"/>
          <w:highlight w:val="white"/>
          <w:shd w:val="clear" w:color="auto" w:fill="FFFFFF"/>
          <w:lang w:val="es-CR"/>
        </w:rPr>
        <w:tab/>
        <w:t xml:space="preserve">En tesis de principio, el diseño del proceso contencioso administrativo busca que en la etapa de juicio oral y público se evacué la prueba que fuese ofrecida en las etapas previas y admitidas dentro de la audiencia preliminar. Sin embargo, la práctica ha llevado a que dentro de esta fase complementaria, regulada a partir del canon 99 del CPCA, se hayan dispuesto pretorianamente fases y acciones que buscan, a juicio del Tribunal de Fondo, sanear aspectos patológicos que han sido detectados, como parte (y ejercicio) de las potestades de corrección oficiosa que le concede los ordinales 98 y 197 del Código Procesal Civil (en adelante CPC) (5, 31, 32 y 33 del NCPC). Pero además, en aplicación de la doctrina del canon 82 en relación al 85 del CPCA, es frecuente que el Tribunal de Fondo admita en esa misma audiencia de juicio, pruebas que consideran relevantes para la resolución del caso, sin limitarse al ofrecimiento de prueba para mejor resolver. Es el caso de alegaciones de hechos nuevos que sean determinantes para la decisión del caso, que sean complementadas con probanzas direccionadas a la acreditación de tales elementos </w:t>
      </w:r>
      <w:r w:rsidRPr="00E10347">
        <w:rPr>
          <w:rFonts w:ascii="Palatino Linotype" w:eastAsia="Times New Roman" w:hAnsi="Palatino Linotype"/>
          <w:color w:val="000000"/>
          <w:sz w:val="21"/>
          <w:szCs w:val="21"/>
          <w:highlight w:val="white"/>
          <w:shd w:val="clear" w:color="auto" w:fill="FFFFFF"/>
          <w:lang w:val="es-CR"/>
        </w:rPr>
        <w:lastRenderedPageBreak/>
        <w:t>fácticos. Desde luego que como derivación del debido proceso, en estos casos es menester la suspensión de la audiencia para posibilitar el ejercicio del contradictorio y de defensa material.</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highlight w:val="white"/>
          <w:shd w:val="clear" w:color="auto" w:fill="FFFFFF"/>
          <w:lang w:val="es-CR"/>
        </w:rPr>
        <w:tab/>
        <w:t>Cuando el ofrecimiento de las pruebas sea para mejor resolver, corresponde al Tribunal definir su admisibilidad. En este caso, si opta por su admisión, por equilibrio procesal lo debido es conceder audiencia a las partes obre este elemento admitido u ordenado, lo que no condiciona o limita el criterio que pueda obtenerse de esas pruebas en la fase de valoración y sentencia. Si por el contrario, no estima pertinente la prueba para mejor proveer (en adelante PMP) ofrecida, su rechazo puede hacerse de manera interlocutoria o bien en el fallo final, sin que la omisión de referencia a este elemento, cuando sea rechazado, genere nulidad alguna, tal y como lo ha puesto de manifiesto la Sala Primera de la Corte Suprema de Justicia en reiteradas ocasiones.</w:t>
      </w:r>
      <w:r w:rsidRPr="00E10347">
        <w:rPr>
          <w:rFonts w:ascii="Palatino Linotype" w:eastAsia="Times New Roman" w:hAnsi="Palatino Linotype"/>
          <w:color w:val="000000"/>
          <w:sz w:val="21"/>
          <w:szCs w:val="21"/>
          <w:lang w:val="es-CR"/>
        </w:rPr>
        <w:t xml:space="preserve"> En ese sentido pueden verse, entre muchos los votos 828-F-S1-2015, 286-F-S1-2015, 293-F-S1-2014.</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El CPCA incluye la posibilidad de ofrecimiento de pruebas en trámite de recurso de casación cuando sea de carácter documental que jure no haber conocido con antelación, verse sobre hechos nuevos y posteriores a la sentencia recurrida. Esto viene establecido por el precepto 145.1 del CPCA, empero, sobre este aspecto omitiremos análisis o referencia adicional por lo limitado de este espacio.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 xml:space="preserve">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b/>
          <w:color w:val="000000"/>
          <w:sz w:val="21"/>
          <w:szCs w:val="21"/>
          <w:lang w:val="es-CR"/>
        </w:rPr>
        <w:t>B. 2. Momentos de admisión de las pruebas.</w:t>
      </w:r>
    </w:p>
    <w:p w:rsidR="00A22DC1" w:rsidRPr="00E10347" w:rsidRDefault="00A22DC1" w:rsidP="00E10347">
      <w:pPr>
        <w:jc w:val="both"/>
        <w:rPr>
          <w:rFonts w:ascii="Palatino Linotype" w:eastAsia="Times New Roman" w:hAnsi="Palatino Linotype"/>
          <w:color w:val="000000"/>
          <w:sz w:val="21"/>
          <w:szCs w:val="21"/>
          <w:lang w:val="es-CR"/>
        </w:rPr>
      </w:pPr>
    </w:p>
    <w:p w:rsidR="00A22DC1" w:rsidRPr="00E10347" w:rsidRDefault="00A22DC1" w:rsidP="00E10347">
      <w:pPr>
        <w:rPr>
          <w:rFonts w:ascii="Palatino Linotype" w:eastAsia="Times New Roman" w:hAnsi="Palatino Linotype"/>
          <w:b/>
          <w:i/>
          <w:color w:val="000000"/>
          <w:sz w:val="21"/>
          <w:szCs w:val="21"/>
          <w:u w:val="single"/>
          <w:lang w:val="es-CR"/>
        </w:rPr>
      </w:pPr>
      <w:r w:rsidRPr="00E10347">
        <w:rPr>
          <w:rFonts w:ascii="Palatino Linotype" w:eastAsia="Times New Roman" w:hAnsi="Palatino Linotype"/>
          <w:b/>
          <w:i/>
          <w:color w:val="000000"/>
          <w:sz w:val="21"/>
          <w:szCs w:val="21"/>
          <w:u w:val="single"/>
          <w:lang w:val="es-CR"/>
        </w:rPr>
        <w:t>B.2.1. Preliminar.</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Acorde a lo que se ha mencionado previamente, por diseño -y en tesis de principio-, es dentro de la audiencia preliminar la instancia en la que se definen los hechos objeto de prueba y se admiten o inadmiten los elementos de convicción ofrecidos o propuestos por las partes. En ese orden el artículo 90.3 del CPCA señala con toda claridad que: "También se resolverá la admisión de los elementos probatorios ofrecidos, cuando así proceda, se rechazarán los evidentemente impertinentes o inconducentes, y se dispondrá el señalamiento y diligenciamiento de los que correspondan."</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Por su parte, el ordinal 93 ejusdem expresa pautas o criterios rectores para la decisión de admitir o no las pruebas de las partes. En lo medular, ese mandato establece lo siguiente:</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-No se admitirá prueba respecto de hechos no controvertido, salvo que se </w:t>
      </w:r>
      <w:r w:rsidRPr="00E10347">
        <w:rPr>
          <w:rFonts w:ascii="Palatino Linotype" w:eastAsia="Times New Roman" w:hAnsi="Palatino Linotype"/>
          <w:color w:val="000000"/>
          <w:sz w:val="21"/>
          <w:szCs w:val="21"/>
          <w:lang w:val="es-CR"/>
        </w:rPr>
        <w:lastRenderedPageBreak/>
        <w:t xml:space="preserve">haya dado por rebeldía, en cuyo caso, es menester valorar la procedencia de su admisión, siempre que haya sido ofrecida.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-Como derivación lógica, a contrario sentido, del anterior postulado, cabrá admisión de prueba cuando exista disconformidad en cuanto a los hechos. Sin embargo, esto no debe tomarse como una regla automática, pues la misma norma, sea, el artículo 93.2 CPCA, retoma la lógica del canon 90.3 ibídem y estipula que esa admisión será siempre que esos elementos sean de indudable trascendencia para la resolución del caso. Esto supone que lejos de admitir prueba sin mayor examen, a partir de la controvertibilidad fáctica derivada de la contestación de la demanda, el juez de la etapa de trámite debe analizar si esos elementos resultan relevantes y pertinentes en orden al objeto del proceso y la teoría del caso de ambas partes, pues bien puede existir prueba relacionada con hechos no aceptados, que sea impertinente, abundante o inocuo; o bien, siendo el hecho controvertido, no tiene mayor relevancia o incidencia en la decisión del asunto. Ergo, se impone en este ámbito un análisis de pertinencia y relevancia como criterio de admisión que no puede pasarse por alto, sin incurrir en el riesgo de admitir pruebas de poca o nula utilidad, que retrasan el proceso y complican las audiencia de juicio, obligando al tribunal de fondo a evacuar esas probanzas pese a su futilidad.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-Finalmente el artículo 93 del CPCA, en su inciso tercero, reconoce la potestad oficiosa del juzgador de trámite, para ordenar la recepción de cualquier prueba no ofrecida por las partes. Se trata de la potestad de ordenar prueba para mejor proveer, tema tratado por el canon 331 del CPC y el mandato 41.3 del NCPC.</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Así, en tesis de inicio, se insiste, es dentro de la audiencia preliminar que se establece la admisión de las pruebas. Un aspecto relevante es que la prueba, una vez que se declara admitida, debe ser evacuada cuando corresponda, caso de la que no sea documental. En ese sentido, si dentro de la prueba admitida existe </w:t>
      </w:r>
      <w:r w:rsidR="002A76CC">
        <w:rPr>
          <w:rFonts w:ascii="Palatino Linotype" w:eastAsia="Times New Roman" w:hAnsi="Palatino Linotype"/>
          <w:color w:val="000000"/>
          <w:sz w:val="21"/>
          <w:szCs w:val="21"/>
          <w:lang w:val="es-CR"/>
        </w:rPr>
        <w:t xml:space="preserve">solo </w:t>
      </w:r>
      <w:r w:rsidRPr="00E10347">
        <w:rPr>
          <w:rFonts w:ascii="Palatino Linotype" w:eastAsia="Times New Roman" w:hAnsi="Palatino Linotype"/>
          <w:color w:val="000000"/>
          <w:sz w:val="21"/>
          <w:szCs w:val="21"/>
          <w:lang w:val="es-CR"/>
        </w:rPr>
        <w:t>documental, a tono con el ordinal 98.2 del CPCA, el proceso es declarado como uno de "puro derecho" (mal denominado así), pasando a la fase de emisión de sentencia sin necesidad de juicio oral, pues la finalidad de esta audiencia complementaria es la evacuación de las pruebas. Por el contrario, si dentro de las pruebas admitidas existe alguna que amerite su evacuación, v.gr., pericial, confesión, declaración, testimonial, etc., el juez de trámite advierte a las partes que el asunto pasará a una de las secciones de juicio, a efectos de lo cual, serán citados a la audiencia de rigor, siguiendo el trámite previsto a partir del numeral 99 del CPCA.</w:t>
      </w:r>
    </w:p>
    <w:p w:rsidR="00A22DC1" w:rsidRPr="00E10347" w:rsidRDefault="00A22DC1" w:rsidP="00E10347">
      <w:pPr>
        <w:jc w:val="both"/>
        <w:rPr>
          <w:rFonts w:ascii="Palatino Linotype" w:eastAsia="Times New Roman" w:hAnsi="Palatino Linotype"/>
          <w:b/>
          <w:i/>
          <w:color w:val="000000"/>
          <w:sz w:val="21"/>
          <w:szCs w:val="21"/>
          <w:u w:val="single"/>
          <w:lang w:val="es-CR"/>
        </w:rPr>
      </w:pPr>
      <w:r w:rsidRPr="00E10347">
        <w:rPr>
          <w:rFonts w:ascii="Palatino Linotype" w:eastAsia="Times New Roman" w:hAnsi="Palatino Linotype"/>
          <w:b/>
          <w:i/>
          <w:color w:val="000000"/>
          <w:sz w:val="21"/>
          <w:szCs w:val="21"/>
          <w:u w:val="single"/>
          <w:lang w:val="es-CR"/>
        </w:rPr>
        <w:t>B.2.2. Admisión luego de preliminar.</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lastRenderedPageBreak/>
        <w:tab/>
        <w:t>Como excepción a la generalidad a la que se viene haciendo referencia, el artículo 50.2 del CPCA establece que la prueba documental ofrecida luego de la demanda y su contestación, pero antes de concluida la audiencia preliminar, sobre su admisibilidad de resolverá en sentencia, por lo que, en este supuesto, esa competencia corresponde al Tribunal de Juicio o Sentenciador según corresponda.</w:t>
      </w:r>
      <w:r w:rsidRPr="00E10347">
        <w:rPr>
          <w:rFonts w:ascii="Palatino Linotype" w:eastAsia="Times New Roman" w:hAnsi="Palatino Linotype"/>
          <w:color w:val="000000"/>
          <w:sz w:val="21"/>
          <w:szCs w:val="21"/>
          <w:lang w:val="es-CR"/>
        </w:rPr>
        <w:tab/>
        <w:t xml:space="preserve">Lo mismo ocurre en los casos ya señalados (B.1.6 y B.1.7), en los cuales, por haberse ofrecido las pruebas luego de la audiencia de trámite, es evidente que la admisión corresponde al órgano que conoce del expediente en ese momento procesal. Sobre estos aspectos ya hicimos referencia.  </w:t>
      </w:r>
    </w:p>
    <w:p w:rsidR="00A22DC1" w:rsidRPr="00E10347" w:rsidRDefault="00A22DC1" w:rsidP="00E10347">
      <w:pPr>
        <w:jc w:val="both"/>
        <w:rPr>
          <w:rFonts w:ascii="Palatino Linotype" w:eastAsia="Times New Roman" w:hAnsi="Palatino Linotype"/>
          <w:color w:val="000000"/>
          <w:sz w:val="21"/>
          <w:szCs w:val="21"/>
          <w:lang w:val="es-CR"/>
        </w:rPr>
      </w:pPr>
    </w:p>
    <w:p w:rsidR="00A22DC1" w:rsidRPr="00E10347" w:rsidRDefault="00A22DC1" w:rsidP="00E10347">
      <w:pPr>
        <w:jc w:val="both"/>
        <w:rPr>
          <w:rFonts w:ascii="Palatino Linotype" w:eastAsia="Times New Roman" w:hAnsi="Palatino Linotype"/>
          <w:b/>
          <w:color w:val="000000"/>
          <w:sz w:val="21"/>
          <w:szCs w:val="21"/>
          <w:lang w:val="es-CR"/>
        </w:rPr>
      </w:pPr>
      <w:r w:rsidRPr="00E10347">
        <w:rPr>
          <w:rFonts w:ascii="Palatino Linotype" w:eastAsia="Times New Roman" w:hAnsi="Palatino Linotype"/>
          <w:b/>
          <w:color w:val="000000"/>
          <w:sz w:val="21"/>
          <w:szCs w:val="21"/>
          <w:lang w:val="es-CR"/>
        </w:rPr>
        <w:t xml:space="preserve">B. 3. Evacuación y valoración de la prueba.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Tal y como fue señalado arriba, la evacuación de las pruebas que hubieren sido previamente admitidas, se realiza en la fase de juicio oral y público. El ordinal 41.4 del NCPC establece disposiciones relacionadas a la práctica de la prueba, y que por ende, señalan marcos de acción y orientan (imponen) el proceder del juzgador en cuanto a la manera y principios que debe aplicar para recibir las probanzas. Por su parte, el CPCA en el ordinal 94 fija reglas de trámite en cuanto a la prueba pericial, en tanto que el artículo 104.2 del CPCA establece un orden de recepción (y evacuación) de la prueba, que en modo alguno debe entenderse como inflexible, en la medida en que esa misma norma expresa la posibilidad de que el Tribunal altere ese orden por conveniencia o necesidad. En ese sentido, los numerales 105 al 110 del CPCA sugieren la atención siguiente: - pericial, -testigos o testigos-peritos, iniciando con los del actor, -confesional.</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Una vez evacuada o practicada la prueba, y luego del alegato de conclusiones de las partes, el Tribunal pasa a la fase de deliberación, etapa en la cual es menester analizar el contenido de las probanzas y valorar su capacidad de acreditar los hechos para los cuales fueron ofrecidas y admitidas. De igual manera, debe analizar el efecto de las pruebas en la decisión del caso, coligiendo de ellas los hechos que puedan tenerse por probados o no acreditados y que sean determinantes para la decisión de fondo. El canon 84.2 del CPCA establece que las pruebas deberán ser analizadas de conformidad con las reglas de la sana crítica, norma que sigue el sistema de valoración ya de por sí fijado por el artículo 330 del CPCA. El NCPC es más específico en cuanto a este particular pues establece en su ordinal 41.5 que las pruebas deberán ser analizadas en su totalidad, conforme a los criterios de la lógica, experiencia, ciencia y correcto entendimiento humano, salvo texto legal en </w:t>
      </w:r>
      <w:r w:rsidRPr="00E10347">
        <w:rPr>
          <w:rFonts w:ascii="Palatino Linotype" w:eastAsia="Times New Roman" w:hAnsi="Palatino Linotype"/>
          <w:color w:val="000000"/>
          <w:sz w:val="21"/>
          <w:szCs w:val="21"/>
          <w:lang w:val="es-CR"/>
        </w:rPr>
        <w:lastRenderedPageBreak/>
        <w:t>contrario. Estas referencias no son otra cosa que los componentes primarios de la sana crítica (experiencia humana, psicología, lógica, sociología, ciencia), por lo que es claro que las probanzas han de ser analizadas con arreglo a este mecanismo que se contrapone al sistema de libre convicción o valoración del juzgador.</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Cabe advertir con todo que la sana crítica como mecanismo valorativo probatorio, no excluye la consideración de la denominada prueba tasada, sea, aquella a la que el ordenamiento jurídico asigna un valor probatorio específico, amparado por un grado de presunción probatoria que puede o no admitir prueba en contrario (la diferencia entre ambas presunciones puede verse en el ordinal 415 CPC-iuris et iuris-, 416 CPC -iuris tantum-). En ese orden, pueden verse el artículo 338 del CPC (confesión), 370 del CPCA (documento público), ejemplos ambos de plena prueba. Puede citarse además el caso previsto en el ordinal 10 de la Ley No. 7092 (Ley del Impuesto sobre la Renta), que constituye presunción absoluta en esa materia. En lo relevante, este principio ordena al juzgador a exponer de manera clara las razones y consideraciones que le han llevado a derivar de los elementos de convicción determinados hechos o inferencias fácticas, como sustento de su decisión de fondo. Obliga además a señalar las razones por las cuales resta valor probatorio a determinado elemento o bien, exponer las razones lógicas por las que una determinada probanza no logró acreditar un determinado hecho o circunstancia. Consiste por ende en una garantía de (pseudo) objetividad en el ejercicio de la decisión jurisdiccional derivación del debido proceso y el contradictorio. Desde luego que esta decisión, en cuanto a la ponderación de las pruebas se refiere, puede ser cuestionada mediante el recurso extraordinario de casación (art. 134 CPCA), cumpliendo con las exigencias y rigurosidades que se impone en esa sede.</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Con todo, no es este el momento para abordar este apasionante tema de la valoración probatoria, siendo nuestro objeto hacer un liviano mapeo genérico y superficial de las etapas relacionadas con las pruebas en el proceso contencioso administrativo, como elemento de base y de ubicación, para luego, como fuese anticipado, ingresar a exponer algunas cuestiones críticas en torno al manejo de la prueba.</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Finalmente, en cuanto a este punto, cabe señalar que el mandato 110 del CPCA permite la reapertura del debate cuando el Tribunal estime absolutamente necesario recibir nuevas probanzas o ampliar las incorporadas. Esta norma sería aplicable a los casos en que pese haberse evacuado ya una determinada prueba, el órgano colegiado requiera de la aclaración adicional o precisión de algunos aspectos </w:t>
      </w:r>
      <w:r w:rsidRPr="00E10347">
        <w:rPr>
          <w:rFonts w:ascii="Palatino Linotype" w:eastAsia="Times New Roman" w:hAnsi="Palatino Linotype"/>
          <w:color w:val="000000"/>
          <w:sz w:val="21"/>
          <w:szCs w:val="21"/>
          <w:lang w:val="es-CR"/>
        </w:rPr>
        <w:lastRenderedPageBreak/>
        <w:t>que no fueron abordados, o no lo fueron en la medida que le permita dictar la sentencia. Esto puede ocurrir cuando en el curso de la deliberación surja una duda que no pueda resolverse o contestarse a partir de las pruebas que ya rolan en la causa y fueron evacuadas, como podría ser el caso (para citar un ejemplo) de una consideración financiera o de cálculo derivada de un análisis pericial, o de testigo perito, en un caso de determinaciones fiscales o ajustes tarifarios o fijaciones de precios. De igual manera, puede darse el caso de que en el curso de la discusión el Tribunal requiera ya no de una ampliación de la prueba evacuada, sino de una nueva probanza, que en ese orden, sería requerida como prueba para mejor resolver.</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En ambos casos, el ordinal comentado permite la reapertura del debate, pero única y exclusivamente para el examen, evacuación y discusión de los nuevos elementos de apreciación, lo que implica, practicar esas pruebas y conceder espacio a los litigantes para expresar sus conclusiones y alegaciones en torno al impacto en el objeto del proceso de esos nuevos elementos o el complemento de los ya evacuados. Cuando estas nuevas pruebas sean requeridas, cabe cuestionarse si ese requerimiento genera una suspensión o interrupción del plazo para el dictado de la sentencia. El efecto es determinante pues el ordinal 111 del CPCA impone un plazo de cinco días hábiles luego de concluido el juicio oral, para la emisión del fallo, salvo que se declare la complejidad del caso, en cuyo supuesto, el plazo se extiende a quince días hábiles. La infracción a esos plazos produce un vicio casacional de forma a tono con el artículo 137 inciso g) del CPCA, que al tenor del numeral 150 ejusdem produce la nulidad de la sentencia como acto procesal, con el correspondiente reenvió del expediente para que se emita la sentencia nuevamente o bien, por tutela del principio de inmediación, que se realice de nuevo el juicio y se proceda a fallar por el fondo dentro del plazo correspondiente. Esta misma aplicación es precisada por el ordinal 111.2. del CPCA, advirtiendo además sobre las responsabilidades correspondientes. El CPCA no expresa razón alguna sobre este tema y el efecto que dentro del citado plazo produce la reapertura del debate por el supuesto bajo examen.</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El ordinal 330 párrafo penúltimo del CPCA señala que la PMP no interrumpirá el plazo para fallar, sino que producirá un efecto suspensivo. Empero, si bien el ordinal 220 CPCA establece que en lo no regulado de manera expresa, aplicarán las reglas del Derecho Público y el Derecho Procesal en general, lo que llevaría, eventualmente, a utilizar las normas del CPC. Sin embargo, a juicio de quien suscribe, las particularidades propias del proceso contencioso administrativo, </w:t>
      </w:r>
      <w:r w:rsidRPr="00E10347">
        <w:rPr>
          <w:rFonts w:ascii="Palatino Linotype" w:eastAsia="Times New Roman" w:hAnsi="Palatino Linotype"/>
          <w:color w:val="000000"/>
          <w:sz w:val="21"/>
          <w:szCs w:val="21"/>
          <w:lang w:val="es-CR"/>
        </w:rPr>
        <w:lastRenderedPageBreak/>
        <w:t xml:space="preserve">que incorpora audiencias orales, hace que las reaperturas del debate para los efectos ya señalados (evacuación de nuevas pruebas), generen un efecto interruptor del plazo para sentenciar, y no uno suspensivo. En efecto, desde el plano práctico, es frecuente que esas reaperturas introduzcan elementos y hallazgos determinantes en la teoría del caso y que lleven a una nueva discusión o al replanteamiento de lo ya debatido. Si bien puede indicarse que la PMP debe recaer sobre cuestiones puntuales que emergen en el proceso de deliberación para aclarar extremos concretos, el mismo deber de análisis unitario de la prueba exige una ponderación holística del efecto que esas nuevas probanzas puedan producir en el caso analizado. </w:t>
      </w:r>
      <w:r w:rsidRPr="00E10347">
        <w:rPr>
          <w:rFonts w:ascii="Palatino Linotype" w:eastAsia="Times New Roman" w:hAnsi="Palatino Linotype"/>
          <w:color w:val="000000"/>
          <w:sz w:val="21"/>
          <w:szCs w:val="21"/>
          <w:lang w:val="es-CR"/>
        </w:rPr>
        <w:tab/>
      </w:r>
      <w:r w:rsidRPr="00E10347">
        <w:rPr>
          <w:rFonts w:ascii="Palatino Linotype" w:eastAsia="Times New Roman" w:hAnsi="Palatino Linotype"/>
          <w:color w:val="000000"/>
          <w:sz w:val="21"/>
          <w:szCs w:val="21"/>
          <w:lang w:val="es-CR"/>
        </w:rPr>
        <w:tab/>
      </w:r>
    </w:p>
    <w:p w:rsidR="00A22DC1" w:rsidRPr="00E10347" w:rsidRDefault="00A22DC1" w:rsidP="0099757E">
      <w:pPr>
        <w:ind w:firstLine="708"/>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Como principio lógico, la aplicación del derecho al caso concreto es posible una vez que se determinan y esclarecen los hechos determinantes y de trascendencia para el objeto del proceso, en la medida en que constituyen el presupuesto condicionante del marco jurídico a aplicar. Incluso, la estructura misma de la sentencia que postula el ordinal 155 del CPC en su inciso 3, numeral ch), pone de manifiesto la relevancia de los hechos probados e indemostrados como sustento de la decisión. Igual relevancia sustancial pone en evidencia el canon 61.2.2 del NCPC, norma la cual añade el deber de referirse a los medios de aprueba que sostienen la conclusión fáctica, así como los criterios de apreciación de esos elementos. Se encuentra fuera de toda duda la relevancia de los hechos probados en la decisión de un litigio, pues, se insiste, sobre la base de esos hechos, se aplica el derecho en una relación de presupuesto condicionante-efecto condicionado. La prescripción liberatoria solo puede declararse (en tanto alegada) una vez que se ha colegido de las probanzas la inercia del titular en el ejercicio de un derecho, por el plazo fijado legalmente. De ese modo, la consecuencia jurídica (extinción del derecho), solo puede asumirse a partir de presupuestos de hecho (inercia) que necesariamente derivan del análisis de las probanzas. Desde luego que en determinados casos la reapertura puede estribar en aspectos muy puntuales que complementan y aclaran la deliberación, sin embargo, en muchos otros casos, esos debates novedosos o complementarios, dan un giro radical en el análisis ya adelantado por el Tribunal. De ahí que la definición de la práctica de la prueba sea determinante para la discusión del caso y la redacción de la sentencia, por lo que no aceptar el efecto interruptor genera pocas bondades a fallos debidamente justificados, razonados y debatidos.</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Por otra parte, el mandato 111 del CPCA establece en su inciso primero que </w:t>
      </w:r>
      <w:r w:rsidRPr="00E10347">
        <w:rPr>
          <w:rFonts w:ascii="Palatino Linotype" w:eastAsia="Times New Roman" w:hAnsi="Palatino Linotype"/>
          <w:color w:val="000000"/>
          <w:sz w:val="21"/>
          <w:szCs w:val="21"/>
          <w:lang w:val="es-CR"/>
        </w:rPr>
        <w:lastRenderedPageBreak/>
        <w:t>transcurrida la audiencia, el Tribunal procederá a deliberar y emitir sentencia, norma que debe complementarse con el canon 110.1 del CPCA que permite la reapertura del debate. Nótese que los supuestos comentados no se refieren a una nueva audiencia, sino a la reapertura del debate, es decir, se trata de una eventual fase adicional (excepcional) de la audiencia complementaria, por lo que, para todos los efectos del plazo para fallar, la audiencia de juicio debe tenerse por concluida de manera definitiva, y a partir de ello, corre el plazo para fallar, desde que culmina esa eventual reapertura. Claro está que esa reapertura no es una potestad irrestricta que pueda utilizarse para eludir el deber de sentenciar en el plazo previsto de cinco días, o de quince días en casos complejos así declarados. Tal potestad ha de ser ejercitada de previo a que ese plazo aludido haya fenecido, sin que se observe posible ordenar PMP o dictar reapertura del debate una vez que la sentencia no ha sido emitida dentro de esos plazos, pues en tal sentido, acorde al 111.2 del CPCA, al haber expirado ese plazo, de naturaleza perentoria, las decisiones ulteriores son nulas.</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Con todo cabe indicar que si bien esta postura nos parece la más acertada para el proceso contencioso administrativo si se entiende que esas probanzas nuevas pueden incidir sustancialmente en la deliberación y resolución del caso, existe el riesgo inherente de un abuso procesal de parte del Tribunal. En efecto, es necesario que esta herramienta se utilice solamente en los casos que sea absolutamente necesario, tal y como lo destaca la misma literalidad del artículo 110 del CPCA, ergo, no debe ser utilizada como estratagema para ampliar los plazos para emitir sentencia más allá de los regulados por la normativa procesal. Desde esta óptica, nos parece que el ejercicio indebido de esta potestad puede ser objeto de control tanto mediante el ejercicio del recurso ordinario de revocatoria contra el auto que ordene o disponga el requerimiento de PMP o reapertura del debate, como mediante el recurso de casación, concretamente por los vicios procesales previstos en los inciso g) del artículo 137 del CPCA, pues el ejercicio arbitrario e injustificado de esta cuestión, supone, a no dudarlo, una inobservancia, por abuso de las formas, a las reglas previstas por el CPCA para el plazo de dictado de la sentencia. Corresponderá a la Sala Primera por ende, ponderar en cada caso si el ejercicio aludido tiene respaldo en el mérito de los autos o no. Para ello, debe recordarse que en la emisión del fallo es menester exponer con claridad las razones lógicas que llevaron al Tribunal a la determinación de los hechos probados o no probados, así como al análisis de los elementos de prueba. Esto lleva a que la sentencia tenga que </w:t>
      </w:r>
      <w:r w:rsidRPr="00E10347">
        <w:rPr>
          <w:rFonts w:ascii="Palatino Linotype" w:eastAsia="Times New Roman" w:hAnsi="Palatino Linotype"/>
          <w:color w:val="000000"/>
          <w:sz w:val="21"/>
          <w:szCs w:val="21"/>
          <w:lang w:val="es-CR"/>
        </w:rPr>
        <w:lastRenderedPageBreak/>
        <w:t>poner en evidencia la pertinencia y necesidad de la PMP o la reapertura del debate, criterio a partir del cual la Sala Casacional podrá ejercer el control aludido.</w:t>
      </w:r>
    </w:p>
    <w:p w:rsidR="00A22DC1" w:rsidRPr="00E10347" w:rsidRDefault="00A22DC1" w:rsidP="00E10347">
      <w:pPr>
        <w:jc w:val="both"/>
        <w:rPr>
          <w:rFonts w:ascii="Palatino Linotype" w:eastAsia="Times New Roman" w:hAnsi="Palatino Linotype"/>
          <w:color w:val="000000"/>
          <w:sz w:val="21"/>
          <w:szCs w:val="21"/>
          <w:lang w:val="es-CR"/>
        </w:rPr>
      </w:pP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b/>
          <w:color w:val="000000"/>
          <w:sz w:val="21"/>
          <w:szCs w:val="21"/>
          <w:lang w:val="es-CR"/>
        </w:rPr>
        <w:t xml:space="preserve">C. Algunas cuestiones (dilemas) relacionados con la prueba en el proceso contencioso administrativo.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Sentadas las pautas y estructura general respecto de las diversas fases que guardan relación con la prueba (proposición, admisión, práctica y valoración), de seguido presentamos cinco cuestiones relativas al tratamiento procesal o implicaciones sustantivas de normas y situaciones del CPCA que precisan la temática probatoria.</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 xml:space="preserve">C.1. La sanción procesal de la contestación afirmativa de los hechos.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C.2. La prueba documental extemporánea.</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C.3. La divergencia de teoría del caso tramitador-Tribunal</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C.4. La competencia del juez tramitador prevista en el art. 90.2</w:t>
      </w:r>
    </w:p>
    <w:p w:rsidR="00A22DC1" w:rsidRPr="00E10347" w:rsidRDefault="00A22DC1" w:rsidP="00E10347">
      <w:pPr>
        <w:jc w:val="both"/>
        <w:rPr>
          <w:rFonts w:ascii="Palatino Linotype" w:eastAsia="Times New Roman" w:hAnsi="Palatino Linotype"/>
          <w:color w:val="000000"/>
          <w:sz w:val="21"/>
          <w:szCs w:val="21"/>
          <w:lang w:val="es-CR"/>
        </w:rPr>
      </w:pPr>
    </w:p>
    <w:p w:rsidR="00A22DC1" w:rsidRPr="00E10347" w:rsidRDefault="00A22DC1" w:rsidP="00E10347">
      <w:pPr>
        <w:rPr>
          <w:rFonts w:ascii="Palatino Linotype" w:eastAsia="Times New Roman" w:hAnsi="Palatino Linotype"/>
          <w:color w:val="000000"/>
          <w:sz w:val="21"/>
          <w:szCs w:val="21"/>
          <w:lang w:val="es-CR"/>
        </w:rPr>
      </w:pPr>
      <w:r w:rsidRPr="00E10347">
        <w:rPr>
          <w:rFonts w:ascii="Palatino Linotype" w:eastAsia="Times New Roman" w:hAnsi="Palatino Linotype"/>
          <w:b/>
          <w:color w:val="000000"/>
          <w:sz w:val="21"/>
          <w:szCs w:val="21"/>
          <w:lang w:val="es-CR"/>
        </w:rPr>
        <w:t xml:space="preserve">C.1. DILEMA 1. La sanción procesal de la contestación afirmativa de los hechos.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De conformidad con el ordinal 63 del CPCA, una vez que se ha presentado la demanda, siempre que se hayan satisfecho los requerimientos formales que le impone el ordinal 58 del CPCA, norma a la que debe añadirse el deber de aportar copias para las partes de los documentos ofrecidos, acorde al numeral 49 del CPCA, y en el caso de la Administración Pública, cuando corresponda, el aporte de la certificación del expediente administrativo, al tenor del canon 52 del CPCA, el juez de trámite procede a otorgar el traslado de la demanda por el plazo previsto en aquella primera ordenanza legal. Cabe señalar que la norma de comentario (art. 63, en su inciso 2) establece que si con la demanda la parte actora aportó copia de expediente administrativo, debidamente certificada, el plazo de contestación será de 15 días hábiles, en tanto que si no fue aportada, el plazo es de 30 días hábiles. Es necesario precisar que la norma de comentario, permite acortar el plazo a 15 días, solamente cuando el accionante administrado aporte el expediente. No se considera que este precepto sea aplicable a los casos en que la Administración Pública sea accionante, pues al tenor del canon 52 del CPCA, la Administración siempre debe aportar el expediente administrativo, sea que se constituya como accionante (art. 52.1) o como demandanda (52.2). Desde esa arista, si el aporte de ese legajo se constituye en un requisito de ingreso de la demanda (pues la norma 52.1 señala que sin tal carpeta no se le dará curso), es por ende una obligación, ante la cual, no puede </w:t>
      </w:r>
      <w:r w:rsidRPr="00E10347">
        <w:rPr>
          <w:rFonts w:ascii="Palatino Linotype" w:eastAsia="Times New Roman" w:hAnsi="Palatino Linotype"/>
          <w:color w:val="000000"/>
          <w:sz w:val="21"/>
          <w:szCs w:val="21"/>
          <w:lang w:val="es-CR"/>
        </w:rPr>
        <w:lastRenderedPageBreak/>
        <w:t xml:space="preserve">darse un tratamiento preferente a las Administraciones por cumplir con un requisito que de toda suerte es un presupuesto sine qua non de la demanda. De lo contrario, en todo proceso en que un ente público sea accionante, el traslado de la demanda sería de 15 días y nunca de 30, introduciendo una desigualdad evidente. La lógica de la norma se direcciona a agilizar el proceso, en la fase de traslado de la demanda, cuando el actor administrado aporte el expediente, lo que facilita a la Administración la contestación respectiva.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Ahora bien, para los efectos del cómputo de dicho plazo de 15 o 30 días hábiles, debe considerarse lo regulado por los ordinales 31 incisos 3) y 4) del CPCA, cuando el objeto del proceso sea una conducta formal respecto de la cual el agotamiento de la vía administrativa sea facultativo. Sobre este tema cabe indicar que mediante el fallo 3669-2006 la Sala Constitucional mantuvo la preceptividad del agotamiento de la vía administrativa para la materia de la contratación administrativa, siempre que los recursos administrativos respectivos, o actos de control, deban ser ejercidos por la Contraloría General de la República. De igual manera, es obligatorio tal agotamiento en la impugnación de decisiones municipales, siempre que corresponda a la Sección III del Tribunal Contencioso Administrativo, fungir como jerarca impropio bifásico, sea, le corresponda resolver en alzada los recursos de apelación, así como cuando esa medida de impugnación vertical deba ser atendida por el Juzgado de Trabajo, en cuestiones de empleo público local, al tenor del artículo 150 inciso e) del Código Municipal). PUes bien, cuando el citado agotamiento sea facultativo y se haya optado por acudir directamente al proceso judicial, opera el instituto procesal denominado "cuasi-agotamiento", que supone, en el caso de la demanda contra el Estado, el otorgamiento de 8 días hábiles previos al traslado de la demanda, para que el jerarca máximo de la Administración accionada determine si confirma, modifica, anula, revoca o hace cesar la conducta impugnada, a favor del administrado. Cuando la demanda sea contra un ente público, esos 8 días serán dentro del plazo del emplazamiento, salvo que el ente público sea demandado junto con el Estado, en cuyo caso el plazo aludido opera antes del emplazamiento (Inciso 4).  Por su parte, si lo cuestionado es una omisión administrativa, el artículo 35 del CPCA exige que el juzgador conceda un plazo de 15 días hábiles a la Administración para que cumplimente la conducta debida (omitida). Vencido ese lapso sin satisfacer la prestación requerida, corre el plazo de contestación. De ahí que el cómputo del plazo de 15 o 30 días deba considerar ambas figuras referidas. </w:t>
      </w:r>
    </w:p>
    <w:p w:rsidR="0099757E" w:rsidRDefault="0099757E" w:rsidP="00E10347">
      <w:pPr>
        <w:jc w:val="both"/>
        <w:rPr>
          <w:rFonts w:ascii="Palatino Linotype" w:eastAsia="Times New Roman" w:hAnsi="Palatino Linotype"/>
          <w:color w:val="000000"/>
          <w:sz w:val="21"/>
          <w:szCs w:val="21"/>
          <w:lang w:val="es-CR"/>
        </w:rPr>
      </w:pPr>
    </w:p>
    <w:p w:rsidR="00A22DC1" w:rsidRPr="00E10347" w:rsidRDefault="00A22DC1" w:rsidP="00E10347">
      <w:pPr>
        <w:jc w:val="both"/>
        <w:rPr>
          <w:rFonts w:ascii="Palatino Linotype" w:eastAsia="Times New Roman" w:hAnsi="Palatino Linotype"/>
          <w:b/>
          <w:color w:val="000000"/>
          <w:sz w:val="21"/>
          <w:szCs w:val="21"/>
          <w:lang w:val="es-CR"/>
        </w:rPr>
      </w:pPr>
      <w:r w:rsidRPr="00E10347">
        <w:rPr>
          <w:rFonts w:ascii="Palatino Linotype" w:eastAsia="Times New Roman" w:hAnsi="Palatino Linotype"/>
          <w:b/>
          <w:color w:val="000000"/>
          <w:sz w:val="21"/>
          <w:szCs w:val="21"/>
          <w:lang w:val="es-CR"/>
        </w:rPr>
        <w:t xml:space="preserve">La rebeldía y sus efectos en la prueba de los hechos.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Ahora bien, en lo que nos resulta relevante, si una vez fenecido el plazo del emplazamiento, la parte accionada no contesta la demanda, o bien, si lo hace de manera inoportuna (extemporánea), el ordinal 65 del CPCA establece la figura de la rebeldía, la que a diferencia del régimen procesal contencioso administrativo previo a la Ley No. 8508, no requiere de gestión de parte para ser declarada. En tal caso, el efecto procesal de la rebeldía que asigna el CPCA es que se tendrá por contestada afirmativamente la demanda en cuanto a los hechos. Es precisamente esta sanción procesal la que da cabida a nuestro primer dilema: ¿Qué se entiende, y cuál es el efecto procesal probatorio de tener por contestada afirmativamente la demanda en cuanto a los hechos?</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Ese tratamiento no es privativo o exclusivo de la rebeldía, pues el CPCA regula otros dos supuestos en los que se aplica la misma sanción procesal. Veamos. </w:t>
      </w:r>
    </w:p>
    <w:p w:rsidR="00A22DC1" w:rsidRPr="00E10347" w:rsidRDefault="00A22DC1" w:rsidP="00E10347">
      <w:pPr>
        <w:jc w:val="both"/>
        <w:rPr>
          <w:rFonts w:ascii="Palatino Linotype" w:eastAsia="Times New Roman" w:hAnsi="Palatino Linotype"/>
          <w:b/>
          <w:color w:val="000000"/>
          <w:sz w:val="21"/>
          <w:szCs w:val="21"/>
          <w:lang w:val="es-CR"/>
        </w:rPr>
      </w:pPr>
      <w:r w:rsidRPr="00E10347">
        <w:rPr>
          <w:rFonts w:ascii="Palatino Linotype" w:eastAsia="Times New Roman" w:hAnsi="Palatino Linotype"/>
          <w:b/>
          <w:color w:val="000000"/>
          <w:sz w:val="21"/>
          <w:szCs w:val="21"/>
          <w:lang w:val="es-CR"/>
        </w:rPr>
        <w:tab/>
        <w:t>a) No aporte del expediente administrativo con la contestación.</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Por un lado, el ordinal 63.3 del CPCA reitera el deber de la Administración de aportar con la contestación de la demanda la copia certificada del expediente administrativo, exigencia que impone de previo el canon 52.2 ejusdem. En ese sentido, la primer norma aludida estipula que si una vez vencido el plazo para contestar la demanda, no se ha recibido la certificación del citado legajo administrativo, el juez de trámite tendrá por ciertos los hechos expuestos en la demanda en lo que corresponde a la Administración remisa, salvo que la omisión se motive en fuerza mayor, la que deberá demostrarse al juez antes del vencimiento del plazo concedido para la respectiva contestación.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Al tenor de esta norma en comentario, si la Administración accionada no cumple con la carga aludida, los hechos de la demanda se tendrán por ciertos, con independencia de que se haya presentado prueba con el escrito de contestación. Nótese que la norma no establece como presupuesto de la sanción cosa diversa a la no presentación de la copia certificada del expediente administrativo, por lo que es dicha omisión la que produce la sanción procesal.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r>
    </w:p>
    <w:p w:rsidR="00A22DC1" w:rsidRPr="00E10347" w:rsidRDefault="00A22DC1" w:rsidP="00E10347">
      <w:pPr>
        <w:jc w:val="both"/>
        <w:rPr>
          <w:rFonts w:ascii="Palatino Linotype" w:eastAsia="Times New Roman" w:hAnsi="Palatino Linotype"/>
          <w:b/>
          <w:color w:val="000000"/>
          <w:sz w:val="21"/>
          <w:szCs w:val="21"/>
          <w:lang w:val="es-CR"/>
        </w:rPr>
      </w:pPr>
      <w:r w:rsidRPr="00E10347">
        <w:rPr>
          <w:rFonts w:ascii="Palatino Linotype" w:eastAsia="Times New Roman" w:hAnsi="Palatino Linotype"/>
          <w:b/>
          <w:color w:val="000000"/>
          <w:sz w:val="21"/>
          <w:szCs w:val="21"/>
          <w:lang w:val="es-CR"/>
        </w:rPr>
        <w:tab/>
        <w:t xml:space="preserve">b) No subsanación de la contestación de la demanda.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La otra norma que regula una consecuencia procesal similar (idéntica) a la expuesta para la rebeldía y el no aporte del expediente administrativo con la contestación, se encuentra prevista en el canon 64.3 del CPCA. El mandato en </w:t>
      </w:r>
      <w:r w:rsidRPr="00E10347">
        <w:rPr>
          <w:rFonts w:ascii="Palatino Linotype" w:eastAsia="Times New Roman" w:hAnsi="Palatino Linotype"/>
          <w:color w:val="000000"/>
          <w:sz w:val="21"/>
          <w:szCs w:val="21"/>
          <w:lang w:val="es-CR"/>
        </w:rPr>
        <w:lastRenderedPageBreak/>
        <w:t>cuestión regula las exigencias formales que debe llenar el escrito de contestación de la demanda. En el inciso 3) de ese precepto legal se señala en su marco literal: "</w:t>
      </w:r>
      <w:r w:rsidRPr="00E10347">
        <w:rPr>
          <w:rFonts w:ascii="Palatino Linotype" w:eastAsia="Times New Roman" w:hAnsi="Palatino Linotype"/>
          <w:i/>
          <w:color w:val="000000"/>
          <w:sz w:val="21"/>
          <w:szCs w:val="21"/>
          <w:lang w:val="es-CR"/>
        </w:rPr>
        <w:t>3) De advertirse defectos en la contestación de la demanda, el juez tramitador prevendrá al demandado su corrección dentro del quinto día hábil, bajo la advertencia de que, si no lo hace, l</w:t>
      </w:r>
      <w:r w:rsidRPr="00E10347">
        <w:rPr>
          <w:rFonts w:ascii="Palatino Linotype" w:eastAsia="Times New Roman" w:hAnsi="Palatino Linotype"/>
          <w:b/>
          <w:i/>
          <w:color w:val="000000"/>
          <w:sz w:val="21"/>
          <w:szCs w:val="21"/>
          <w:lang w:val="es-CR"/>
        </w:rPr>
        <w:t>os hechos se tendrán por admitidos.</w:t>
      </w:r>
      <w:r w:rsidRPr="00E10347">
        <w:rPr>
          <w:rFonts w:ascii="Palatino Linotype" w:eastAsia="Times New Roman" w:hAnsi="Palatino Linotype"/>
          <w:color w:val="000000"/>
          <w:sz w:val="21"/>
          <w:szCs w:val="21"/>
          <w:lang w:val="es-CR"/>
        </w:rPr>
        <w:t>" (El resaltado es propio).</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En el contexto de dicho precepto, la causa de aplicación de la sanción procesal objeto de comentario, es la no subsanación de la demanda, de nuevo, con independencia de que la parte accionada haya presentado sus probanzas o incluso, haya alegado defensas previas. </w:t>
      </w:r>
    </w:p>
    <w:p w:rsidR="00A22DC1" w:rsidRPr="00E10347" w:rsidRDefault="00A22DC1" w:rsidP="00E10347">
      <w:pPr>
        <w:jc w:val="both"/>
        <w:rPr>
          <w:rFonts w:ascii="Palatino Linotype" w:eastAsia="Times New Roman" w:hAnsi="Palatino Linotype"/>
          <w:color w:val="000000"/>
          <w:sz w:val="21"/>
          <w:szCs w:val="21"/>
          <w:lang w:val="es-CR"/>
        </w:rPr>
      </w:pPr>
    </w:p>
    <w:p w:rsidR="00A22DC1" w:rsidRPr="00E10347" w:rsidRDefault="00A22DC1" w:rsidP="00E10347">
      <w:pPr>
        <w:jc w:val="both"/>
        <w:rPr>
          <w:rFonts w:ascii="Palatino Linotype" w:eastAsia="Times New Roman" w:hAnsi="Palatino Linotype"/>
          <w:b/>
          <w:color w:val="000000"/>
          <w:sz w:val="21"/>
          <w:szCs w:val="21"/>
          <w:lang w:val="es-CR"/>
        </w:rPr>
      </w:pPr>
      <w:r w:rsidRPr="00E10347">
        <w:rPr>
          <w:rFonts w:ascii="Palatino Linotype" w:eastAsia="Times New Roman" w:hAnsi="Palatino Linotype"/>
          <w:b/>
          <w:color w:val="000000"/>
          <w:sz w:val="21"/>
          <w:szCs w:val="21"/>
          <w:lang w:val="es-CR"/>
        </w:rPr>
        <w:t xml:space="preserve">Análisis crítico de las implicaciones de estos supuestos.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Como se ha señalado, las tres figuras precedentes establecen que ante la inercia o desatención de la parte accionada en los diversos deberes que esas normas imponen (contestar la demanda, aportar copia certificada del expediente o subsanar los defectos formales de la contestación), en cada uno de esos supuestos, se produzca una consecuencia procesal, que en tesis de principio, podría considerarse homogénea, pese a lo cual, es menester precisar los términos que cada supuesto establece a fin de establecer si se refieren a la misma consecuencia procesal.</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r>
    </w:p>
    <w:p w:rsidR="00A22DC1" w:rsidRPr="00E10347" w:rsidRDefault="00A22DC1" w:rsidP="00E10347">
      <w:pPr>
        <w:jc w:val="both"/>
        <w:rPr>
          <w:rFonts w:ascii="Palatino Linotype" w:eastAsia="Times New Roman" w:hAnsi="Palatino Linotype"/>
          <w:b/>
          <w:color w:val="000000"/>
          <w:sz w:val="21"/>
          <w:szCs w:val="21"/>
          <w:u w:val="single"/>
          <w:lang w:val="es-CR"/>
        </w:rPr>
      </w:pPr>
      <w:r w:rsidRPr="00E10347">
        <w:rPr>
          <w:rFonts w:ascii="Palatino Linotype" w:eastAsia="Times New Roman" w:hAnsi="Palatino Linotype"/>
          <w:b/>
          <w:color w:val="000000"/>
          <w:sz w:val="21"/>
          <w:szCs w:val="21"/>
          <w:u w:val="single"/>
          <w:lang w:val="es-CR"/>
        </w:rPr>
        <w:t>Los casos de los arts. 64.3 y 65 del CPCA.</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Por un lado, el artículo 65, en cuanto a la rebeldía, señala que ante la no contestación de la demanda, "</w:t>
      </w:r>
      <w:r w:rsidRPr="00E10347">
        <w:rPr>
          <w:rFonts w:ascii="Palatino Linotype" w:eastAsia="Times New Roman" w:hAnsi="Palatino Linotype"/>
          <w:i/>
          <w:color w:val="000000"/>
          <w:sz w:val="21"/>
          <w:szCs w:val="21"/>
          <w:lang w:val="es-CR"/>
        </w:rPr>
        <w:t>...se tendrá por contestada afirmativamente la demanda en cuanto a los hechos...</w:t>
      </w:r>
      <w:r w:rsidRPr="00E10347">
        <w:rPr>
          <w:rFonts w:ascii="Palatino Linotype" w:eastAsia="Times New Roman" w:hAnsi="Palatino Linotype"/>
          <w:color w:val="000000"/>
          <w:sz w:val="21"/>
          <w:szCs w:val="21"/>
          <w:lang w:val="es-CR"/>
        </w:rPr>
        <w:t>". Consecuencia similar estatuye el ordinal 64.3 del CPCA en cuanto a la subsanación de la contestación, siendo que dicho precepto establece como efecto condicionado de esa indolencia de corrección, "</w:t>
      </w:r>
      <w:r w:rsidRPr="00E10347">
        <w:rPr>
          <w:rFonts w:ascii="Palatino Linotype" w:eastAsia="Times New Roman" w:hAnsi="Palatino Linotype"/>
          <w:i/>
          <w:color w:val="000000"/>
          <w:sz w:val="21"/>
          <w:szCs w:val="21"/>
          <w:lang w:val="es-CR"/>
        </w:rPr>
        <w:t>...la advertencia de que, si no lo hace, los hechos se tendrán por admitidos.</w:t>
      </w:r>
      <w:r w:rsidRPr="00E10347">
        <w:rPr>
          <w:rFonts w:ascii="Palatino Linotype" w:eastAsia="Times New Roman" w:hAnsi="Palatino Linotype"/>
          <w:color w:val="000000"/>
          <w:sz w:val="21"/>
          <w:szCs w:val="21"/>
          <w:lang w:val="es-CR"/>
        </w:rPr>
        <w:t xml:space="preserve">" En ambos casos, el CPCA estipula que la omisión o inercia del accionado produce una suerte de admisión o contestación afirmativa de los hechos, sea, una suerte de consentimiento tácito del elenco fáctico de la demanda. Sin embargo, lejos de lo que pudiera considerarse, ese tratamiento jurídico no implica ni lleva, ni por asomo, entender que esos hechos de la acción deban tenerse por probados, o bien, por aceptado de manera expresa, al punto de tenerles como aceptados y a partir de ello, al ser no controvertidos, no admitir prueba sobre esos hechos. Veamos.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En estos dos supuestos, es claro que la parte accionada no ha aceptado los hechos, siendo que respecto de este elemento, lo que ocurre es una sanción procesal </w:t>
      </w:r>
      <w:r w:rsidRPr="00E10347">
        <w:rPr>
          <w:rFonts w:ascii="Palatino Linotype" w:eastAsia="Times New Roman" w:hAnsi="Palatino Linotype"/>
          <w:color w:val="000000"/>
          <w:sz w:val="21"/>
          <w:szCs w:val="21"/>
          <w:lang w:val="es-CR"/>
        </w:rPr>
        <w:lastRenderedPageBreak/>
        <w:t xml:space="preserve">que busca avanzar en la causa, pero que en modo alguno supone una anuencia expresa de los demandados al planteamiento fáctico del promovente. En rigor, con la contestación de los hechos puede darse dos tipos de calificaciones, atendiendo a si el hecho fue aceptado o no. En ese sentido, cuando el hecho fue admitido por el demandado, se entiende que es un </w:t>
      </w:r>
      <w:r w:rsidRPr="00E10347">
        <w:rPr>
          <w:rFonts w:ascii="Palatino Linotype" w:eastAsia="Times New Roman" w:hAnsi="Palatino Linotype"/>
          <w:b/>
          <w:color w:val="000000"/>
          <w:sz w:val="21"/>
          <w:szCs w:val="21"/>
          <w:lang w:val="es-CR"/>
        </w:rPr>
        <w:t>hecho no controvertido</w:t>
      </w:r>
      <w:r w:rsidRPr="00E10347">
        <w:rPr>
          <w:rFonts w:ascii="Palatino Linotype" w:eastAsia="Times New Roman" w:hAnsi="Palatino Linotype"/>
          <w:color w:val="000000"/>
          <w:sz w:val="21"/>
          <w:szCs w:val="21"/>
          <w:lang w:val="es-CR"/>
        </w:rPr>
        <w:t xml:space="preserve">; por el contrario, cuando en la contestación conste la oposición del demandado al cuadro fáctico, </w:t>
      </w:r>
      <w:r w:rsidRPr="00E10347">
        <w:rPr>
          <w:rFonts w:ascii="Palatino Linotype" w:eastAsia="Times New Roman" w:hAnsi="Palatino Linotype"/>
          <w:b/>
          <w:color w:val="000000"/>
          <w:sz w:val="21"/>
          <w:szCs w:val="21"/>
          <w:lang w:val="es-CR"/>
        </w:rPr>
        <w:t>el hecho se tendrá por controvertido</w:t>
      </w:r>
      <w:r w:rsidRPr="00E10347">
        <w:rPr>
          <w:rFonts w:ascii="Palatino Linotype" w:eastAsia="Times New Roman" w:hAnsi="Palatino Linotype"/>
          <w:color w:val="000000"/>
          <w:sz w:val="21"/>
          <w:szCs w:val="21"/>
          <w:lang w:val="es-CR"/>
        </w:rPr>
        <w:t xml:space="preserve">. En ese sentido, el ordinal 93.1 del CPCA, señala que la improcedencia de admisión de probanzas respecto de hechos sobre los cuales haya existido conformidad (no controvertidos). Este aspecto tiene sus excepciones, pues aún en casos de incontrovertibilidad fáctica, en ocasiones, la prueba resulta relevante al ser necesario contar con ese elemento para poder establecer la concurrencia real del derecho alegado, o bien, el contenido o proyección del hecho en sí mismo, tal y como lo justifica la doctrina del ordinal 82 del CPCA. Por ejemplo, la aceptación expresa del recuento de lo acontecido dentro de un procedimiento administrativo, no supone declinar de la admisión del expediente administrativo, pues esta pieza constituye el reflejo formal y material de esas actuaciones, elemental para que el juzgador analice la conformidad jurídica de ese curso de la Administración. </w:t>
      </w:r>
    </w:p>
    <w:p w:rsidR="00A22DC1" w:rsidRPr="00E10347" w:rsidRDefault="00A22DC1" w:rsidP="0099757E">
      <w:pPr>
        <w:ind w:firstLine="708"/>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Desde luego que es en cada caso que el juez de la etapa de admisión de prueba debe realizar esta ponderación de utilidad, relevancia y necesidad de la prueba, labor en la cual la definición de hecho controvertido es determinante, pero no el único elemento de delimitación de la admisión. Incluso, el ordinal 90.1 inciso e) del CPCA, establece que dentro de la audiencia preliminar debe resolverse sobre: "</w:t>
      </w:r>
      <w:r w:rsidRPr="00E10347">
        <w:rPr>
          <w:rFonts w:ascii="Palatino Linotype" w:eastAsia="Times New Roman" w:hAnsi="Palatino Linotype"/>
          <w:i/>
          <w:color w:val="000000"/>
          <w:sz w:val="21"/>
          <w:szCs w:val="21"/>
          <w:lang w:val="es-CR"/>
        </w:rPr>
        <w:t>e) La determinación de los hechos controvertidos y con trascendencia para la resolución del caso y que deban ser objeto de prueba.</w:t>
      </w:r>
      <w:r w:rsidRPr="00E10347">
        <w:rPr>
          <w:rFonts w:ascii="Palatino Linotype" w:eastAsia="Times New Roman" w:hAnsi="Palatino Linotype"/>
          <w:color w:val="000000"/>
          <w:sz w:val="21"/>
          <w:szCs w:val="21"/>
          <w:lang w:val="es-CR"/>
        </w:rPr>
        <w:t xml:space="preserve">" Este planteamiento engarza con lo expuesto en la norma 93.1 del CPCA en cuanto al principio de no admisión de prueba frente a hechos no controvertidos (conformes), el que, se insiste, tiene sus excepciones en los términos señalados. </w:t>
      </w:r>
    </w:p>
    <w:p w:rsidR="00A22DC1" w:rsidRPr="00E10347" w:rsidRDefault="0099757E" w:rsidP="00E10347">
      <w:pPr>
        <w:jc w:val="both"/>
        <w:rPr>
          <w:rFonts w:ascii="Palatino Linotype" w:eastAsia="Times New Roman" w:hAnsi="Palatino Linotype"/>
          <w:color w:val="000000"/>
          <w:sz w:val="21"/>
          <w:szCs w:val="21"/>
          <w:lang w:val="es-CR"/>
        </w:rPr>
      </w:pPr>
      <w:r>
        <w:rPr>
          <w:rFonts w:ascii="Palatino Linotype" w:eastAsia="Times New Roman" w:hAnsi="Palatino Linotype"/>
          <w:color w:val="000000"/>
          <w:sz w:val="21"/>
          <w:szCs w:val="21"/>
          <w:lang w:val="es-CR"/>
        </w:rPr>
        <w:tab/>
        <w:t>Por otro</w:t>
      </w:r>
      <w:r w:rsidR="00A22DC1" w:rsidRPr="00E10347">
        <w:rPr>
          <w:rFonts w:ascii="Palatino Linotype" w:eastAsia="Times New Roman" w:hAnsi="Palatino Linotype"/>
          <w:color w:val="000000"/>
          <w:sz w:val="21"/>
          <w:szCs w:val="21"/>
          <w:lang w:val="es-CR"/>
        </w:rPr>
        <w:t xml:space="preserve"> lado, cuando la parte demandada se hubiere opuesto al hecho (o hechos), éste se tendrá por controvertido, caso en el cual, a la luz del ordinal 93.2 del CPCA, cabrá la admisión de probanzas en torno a este elemento, en la medida en que sean de trascendencia para la resolución del caso. Este análisis de trascendencia es fundamental para dar paso a la admisión de pruebas que no resultan relevantes al proceso y que en alguna medida, en ocasiones, pueden llevar a complicar el proceso y generar su retraso. En términos simples, el CPCA parece establecer la </w:t>
      </w:r>
      <w:r w:rsidR="00A22DC1" w:rsidRPr="00E10347">
        <w:rPr>
          <w:rFonts w:ascii="Palatino Linotype" w:eastAsia="Times New Roman" w:hAnsi="Palatino Linotype"/>
          <w:color w:val="000000"/>
          <w:sz w:val="21"/>
          <w:szCs w:val="21"/>
          <w:lang w:val="es-CR"/>
        </w:rPr>
        <w:lastRenderedPageBreak/>
        <w:t xml:space="preserve">siguiente regla: se admitirá la prueba únicamente respecto de los hechos controvertidos trascendentes para el objeto de la causa, en tanto que aquellos sobre los cuales exista conformidad (no controvertidos), en tesis de principio, no es necesaria la admisión de pruebas.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Empero, ese tratamiento expuesto parte de la base de la contestación expresa de la demanda en cuanto a los hechos, siendo que cuando esa conformidad o aceptación de los hechos de la demanda derive no su contestación expresa, sino de una sanción procesal, no estimamos que pueda aplicarse la sinergia de admisión de prueba recién comentada. </w:t>
      </w:r>
      <w:r w:rsidRPr="00E10347">
        <w:rPr>
          <w:rFonts w:ascii="Palatino Linotype" w:eastAsia="Times New Roman" w:hAnsi="Palatino Linotype"/>
          <w:b/>
          <w:color w:val="000000"/>
          <w:sz w:val="21"/>
          <w:szCs w:val="21"/>
          <w:u w:val="single"/>
          <w:lang w:val="es-CR"/>
        </w:rPr>
        <w:t>Más simple, esas reglas no son aplicables a los casos en que los hechos se tengan por admitidos o conformes, no porque se hayan contestado de esa manera, sino porque la aplicación de las sanciones previstas en los ordinales 65 y 64.3 del CPCA, casos en los cuales cabe la admisión de prueba pese a la calificación de hecho no controvertido que esas normas imponen.</w:t>
      </w:r>
      <w:r w:rsidRPr="00E10347">
        <w:rPr>
          <w:rFonts w:ascii="Palatino Linotype" w:eastAsia="Times New Roman" w:hAnsi="Palatino Linotype"/>
          <w:color w:val="000000"/>
          <w:sz w:val="21"/>
          <w:szCs w:val="21"/>
          <w:lang w:val="es-CR"/>
        </w:rPr>
        <w:t xml:space="preserve"> En efecto, nótese que en el caso concreto de la rebeldía, el mismo ordinal 93.1 del CPCA advierte que en dicho caso el juez puede admitir u ordenar la prueba que estime necesaria. Para claridad es necesario la transcripción de la norma: "</w:t>
      </w:r>
      <w:r w:rsidRPr="00E10347">
        <w:rPr>
          <w:rFonts w:ascii="Palatino Linotype" w:eastAsia="Times New Roman" w:hAnsi="Palatino Linotype"/>
          <w:i/>
          <w:color w:val="000000"/>
          <w:sz w:val="21"/>
          <w:szCs w:val="21"/>
          <w:lang w:val="es-CR"/>
        </w:rPr>
        <w:t xml:space="preserve">1) No se admitirá la prueba cuando exista conformidad acerca de los hechos, </w:t>
      </w:r>
      <w:r w:rsidRPr="00E10347">
        <w:rPr>
          <w:rFonts w:ascii="Palatino Linotype" w:eastAsia="Times New Roman" w:hAnsi="Palatino Linotype"/>
          <w:b/>
          <w:i/>
          <w:color w:val="000000"/>
          <w:sz w:val="21"/>
          <w:szCs w:val="21"/>
          <w:lang w:val="es-CR"/>
        </w:rPr>
        <w:t>salvo que se haya dado por rebeldía del demandado; en cuyo caso, la juez o el juez, previa valoración de las circunstancias, podrá admitir u ordenar la que estime necesaria.</w:t>
      </w:r>
      <w:r w:rsidRPr="00E10347">
        <w:rPr>
          <w:rFonts w:ascii="Palatino Linotype" w:eastAsia="Times New Roman" w:hAnsi="Palatino Linotype"/>
          <w:color w:val="000000"/>
          <w:sz w:val="21"/>
          <w:szCs w:val="21"/>
          <w:lang w:val="es-CR"/>
        </w:rPr>
        <w:t>" (El resaltado es suplido).</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Esta norma aludida aporta dos elementos a considerar en esta discusión. Un primer elemento, es que entiende que la rebeldía supone y conlleva una conformidad acerca de los hechos, conclusión que resulta riesgosa sino se discrimina entre la contestación expresa y la que adelante comentaremos (ficta). Segundo, la precisión de que pese a la rebeldía, el juez puede admitir u ordenar probanzas. Este tratamiento en la medida en que no refiere solamente al términos "ordenar", sino que incluye "admitir", permite inferir que no se refiere únicamente al ejercicio de la potestad de requerir PMP, pues bien posibilita que dentro de la fase de audiencia preliminar, en determinadas condiciones, pueda admitirse prueba ofrecida por el rebelde, con los condicionamientos y limitaciones que luego serán tratados. Así, en este caso, pese a que se produce la sanción procesal de tener por contestada afirmativamente la demanda en cuanto a los hechos, es factible la admisión de prueba.</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Lo mismo entonces debe entenderse en cuanto a lo previsto por el ordinal 64.3 del CPCA. La norma sanciona la no subsanación de la contestación de la </w:t>
      </w:r>
      <w:r w:rsidRPr="00E10347">
        <w:rPr>
          <w:rFonts w:ascii="Palatino Linotype" w:eastAsia="Times New Roman" w:hAnsi="Palatino Linotype"/>
          <w:color w:val="000000"/>
          <w:sz w:val="21"/>
          <w:szCs w:val="21"/>
          <w:lang w:val="es-CR"/>
        </w:rPr>
        <w:lastRenderedPageBreak/>
        <w:t xml:space="preserve">demanda con la admisión de los hechos. En este supuesto, es aún más evidente la improcedencia de negar la admisión de pruebas sobre la pre-concepción de que se trata de un hecho no controvertido. Esto ya que en este caso, a diferencia de la rebeldía (figura en la que la demanda no fue contestada de manera definitiva, o bien, lo fue de forma inoportuna -fuera de plazo-), la demanda si fue contestada. Bien puede decirse que al no ser corregida o subsanada, no debe tenerse por válida. Empero, es una conclusión que nos parece, resulta infundada.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Puede darse el caso que la contestación se refiere de manera correcta (en forma) en cuanto a los hechos, ofrezca probanzas, formule defensas previas y de fondo, pero yerre en cuanto al argumento de derecho de oposición o alguna otra cuestión formal como sería el no aporte de copias para las partes, que impone el ordinal 49 del CPCA. Hecha la prevención de subsanación, el demandado no satisface las exigencias del juez, sea por omisión o por deficiencia, producto de lo cual, aplica la advertencia del ordinal 64.3 del CPCA. En esta eventualidad, es dudoso concluir que los hechos se tienen por aceptados y que como derivación de ello, no se admitirá la prueba ofrecida en la contestación. Tal automatismo, al no dudarlo, implicaría una severa lesión a la máxima del debido proceso, el contradictorio y la defensa material. Desde ese plano, se postula, cuando se aplique la sanción procesal objeto de comentario, los hechos de la demanda serán objeto de admisión de prueba, sin que pueda colegirse que al no ser controvertidos, tal admisión probatoria es inaceptable conforme al ordinal 93 del CPCA. Por el contrario, por paridad de razón, si es factible la admisión de pruebas para el rebelde, con mucha mayor razón y lógica ha de analizarse la admisión de pruebas en estos supuestos en que la demanda fue contestada oportunamente y la razón de la sanción aludida es la desatención de alguna corrección formal. De nuevo, la razón de esa propuesta es que el hecho no ha sido aceptado de manera expresa, por lo que su incontrovertibilidad viene de la aplicación de una norma procesal, más no por la conformidad de la accionada. </w:t>
      </w:r>
    </w:p>
    <w:p w:rsidR="00A22DC1" w:rsidRPr="00E10347" w:rsidRDefault="00A22DC1" w:rsidP="00E10347">
      <w:pPr>
        <w:jc w:val="both"/>
        <w:rPr>
          <w:rFonts w:ascii="Palatino Linotype" w:eastAsia="Times New Roman" w:hAnsi="Palatino Linotype"/>
          <w:color w:val="000000"/>
          <w:sz w:val="21"/>
          <w:szCs w:val="21"/>
          <w:lang w:val="es-CR"/>
        </w:rPr>
      </w:pPr>
    </w:p>
    <w:p w:rsidR="00A22DC1" w:rsidRPr="00E10347" w:rsidRDefault="00A22DC1" w:rsidP="00E10347">
      <w:pPr>
        <w:jc w:val="both"/>
        <w:rPr>
          <w:rFonts w:ascii="Palatino Linotype" w:eastAsia="Times New Roman" w:hAnsi="Palatino Linotype"/>
          <w:b/>
          <w:i/>
          <w:color w:val="000000"/>
          <w:sz w:val="21"/>
          <w:szCs w:val="21"/>
          <w:u w:val="single"/>
          <w:lang w:val="es-CR"/>
        </w:rPr>
      </w:pPr>
      <w:r w:rsidRPr="00E10347">
        <w:rPr>
          <w:rFonts w:ascii="Palatino Linotype" w:eastAsia="Times New Roman" w:hAnsi="Palatino Linotype"/>
          <w:b/>
          <w:i/>
          <w:color w:val="000000"/>
          <w:sz w:val="21"/>
          <w:szCs w:val="21"/>
          <w:u w:val="single"/>
          <w:lang w:val="es-CR"/>
        </w:rPr>
        <w:t>El caso del ordinal 63.3 CPCA.</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Redacción diversa a las normas anteriores presenta el caso previsto en el artículo 63.3 del CPCA. A diferencia de los mandatos recién aludidos, esta norma señala que: "</w:t>
      </w:r>
      <w:r w:rsidRPr="00E10347">
        <w:rPr>
          <w:rFonts w:ascii="Palatino Linotype" w:eastAsia="Times New Roman" w:hAnsi="Palatino Linotype"/>
          <w:i/>
          <w:color w:val="000000"/>
          <w:sz w:val="21"/>
          <w:szCs w:val="21"/>
          <w:lang w:val="es-CR"/>
        </w:rPr>
        <w:t xml:space="preserve">3) Si, una vez vencido el plazo para la contestación de la demanda, la juez o el juez tramitador no ha recibido copia certificada del expediente administrativo, </w:t>
      </w:r>
      <w:r w:rsidRPr="00E10347">
        <w:rPr>
          <w:rFonts w:ascii="Palatino Linotype" w:eastAsia="Times New Roman" w:hAnsi="Palatino Linotype"/>
          <w:b/>
          <w:i/>
          <w:color w:val="000000"/>
          <w:sz w:val="21"/>
          <w:szCs w:val="21"/>
          <w:lang w:val="es-CR"/>
        </w:rPr>
        <w:t>se tendrán por ciertos los hechos expuestos en la demanda,</w:t>
      </w:r>
      <w:r w:rsidRPr="00E10347">
        <w:rPr>
          <w:rFonts w:ascii="Palatino Linotype" w:eastAsia="Times New Roman" w:hAnsi="Palatino Linotype"/>
          <w:i/>
          <w:color w:val="000000"/>
          <w:sz w:val="21"/>
          <w:szCs w:val="21"/>
          <w:lang w:val="es-CR"/>
        </w:rPr>
        <w:t xml:space="preserve"> en lo que corresponde a la </w:t>
      </w:r>
      <w:r w:rsidRPr="00E10347">
        <w:rPr>
          <w:rFonts w:ascii="Palatino Linotype" w:eastAsia="Times New Roman" w:hAnsi="Palatino Linotype"/>
          <w:i/>
          <w:color w:val="000000"/>
          <w:sz w:val="21"/>
          <w:szCs w:val="21"/>
          <w:lang w:val="es-CR"/>
        </w:rPr>
        <w:lastRenderedPageBreak/>
        <w:t>Administración remisa, salvo si la omisión ha sido motivada por fuerza mayor (...)</w:t>
      </w:r>
      <w:r w:rsidRPr="00E10347">
        <w:rPr>
          <w:rFonts w:ascii="Palatino Linotype" w:eastAsia="Times New Roman" w:hAnsi="Palatino Linotype"/>
          <w:color w:val="000000"/>
          <w:sz w:val="21"/>
          <w:szCs w:val="21"/>
          <w:lang w:val="es-CR"/>
        </w:rPr>
        <w:t>". (El destacado no es del original).</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Nótese que los supuestos previos refieren a tener por contestada afirmativamente la demanda en cuanto a los hechos, o bien, a tener por admitidos los hechos, mientras que en el artículo 63.3 del CPCA, se utiliza la fórmula gramatical "</w:t>
      </w:r>
      <w:r w:rsidRPr="00E10347">
        <w:rPr>
          <w:rFonts w:ascii="Palatino Linotype" w:eastAsia="Times New Roman" w:hAnsi="Palatino Linotype"/>
          <w:i/>
          <w:color w:val="000000"/>
          <w:sz w:val="21"/>
          <w:szCs w:val="21"/>
          <w:lang w:val="es-CR"/>
        </w:rPr>
        <w:t>se tendrán por ciertos los hechos</w:t>
      </w:r>
      <w:r w:rsidRPr="00E10347">
        <w:rPr>
          <w:rFonts w:ascii="Palatino Linotype" w:eastAsia="Times New Roman" w:hAnsi="Palatino Linotype"/>
          <w:color w:val="000000"/>
          <w:sz w:val="21"/>
          <w:szCs w:val="21"/>
          <w:lang w:val="es-CR"/>
        </w:rPr>
        <w:t xml:space="preserve">". Esta referencia puede llevar a considerar que en tales casos, al tenerse por ciertos los hechos, no es necesario admitir prueba sobre ellos. Véase que no se trata de tener los hechos por no controvertidos, como se desprendería de los ordinales 64.3 y 65, ambos del CPCA, sino de tenerlos como ciertos. De ese modo, si un hecho es cierto, no cabe admitir prueba pues debe tenerse como probado. Sin embargo, esta lectura de la norma nos parece, nuevamente atentatoría contra el debido proceso, la defensa material, el contradictorio y la búsqueda de la verdad real (formal) que postulan los ordinales 82 y 85 del CPCA. Consideramos en demasía peligroso que esta norma pueda entenderse gramaticalmente, pues en el fondo supone que a partir del no aporte del expediente administrativo, por consecuencia automática, y sin mayor análisis de prueba, se tengan por ciertos (probados) los hechos. Desde esa arista, nos parece que la lógica de la norma descansa en que ante esta indolencia de aporte del expediente por parte de la Administración, supone como sanción procesal, al igual que en los otros supuestos ya comentados, la presunción (legal) de tener por aceptados los hechos, más no por que la Administración ha externado su conformidad, sino por una sanción procesal. Es decir, la inteligencia de este mandato no conduce a tener esos hechos por probados y como consecuencia, a no admitir prueba sobre ellos, sino que al igual que sus normas homólogas, supone que los hechos se tengan por aceptados o admitidos, pero no de manera expresa, sino por la aplicación de una sanción procesal.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Esto implica que en estos casos, igualmente es menester analizar en la audiencia preliminar la admisión de las pruebas que den soporte y sustento a los hechos sobre los cuales el actor sustenta el derecho cuya tutela reclama. Nuevamente, si al rebelde -que no contestó la demanda- se le concede esta garantía de equidad procesal, con mayor lógica ha de concederse a quienes habiendo contestado la demanda en tiempo, desatendieron alguna exigencia formal. En la particularidad del artículo 63.3 del CPCA, la demanda ha sido contestada, empero, no se aportó la copia certificada del expediente de manera injustificada. Ello lleva a que es posible que la Administración se haya referido a los hechos, señalando </w:t>
      </w:r>
      <w:r w:rsidRPr="00E10347">
        <w:rPr>
          <w:rFonts w:ascii="Palatino Linotype" w:eastAsia="Times New Roman" w:hAnsi="Palatino Linotype"/>
          <w:color w:val="000000"/>
          <w:sz w:val="21"/>
          <w:szCs w:val="21"/>
          <w:lang w:val="es-CR"/>
        </w:rPr>
        <w:lastRenderedPageBreak/>
        <w:t xml:space="preserve">expresamente que no los aceptaba, formuló defensas y aportó pruebas. Así, desconocer esas alegaciones de negación de hechos u ofrecimiento de pruebas, a nuestra considerar, sería una seria vulneración a la técnica procesal y al debido proceso. Caso de entender que esa norma permite tener por probado el hecho, de manera directa, se observa un vicio de inconstitucionalidad por lesión de los principios ya apuntados.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Puede pensarse en un caso en que se alega en los hechos que una persona es titular de una concesión que no posee, o bien, titular de un derecho que no demuestra tener, pero la Administración no aporta el expediente administrativo en tiempo. Luego, en el curso del proceso, aporta el expediente, pues al margen de que no lo ofrezca con la contestación, siempre ha de ser requerido por su relevancia probatoria dentro del proceso. Pues bien, si se tiene el hecho por cierto, ¿debe el juez negar ese expediente? Es claro que esa pieza debe ser aceptada. Ahora, en el ejemplo de marras, el análisis del expediente permite colegir que la parte reclamante no ostenta la concesión o el derecho reclamado, o bien, que uno de los hechos determinantes de su postura no es cierto. En tal caso, ¿el hecho debe tenerse por probado a partir de lo que indica el ordinal 63.3 del CPCA? Es allí donde encontramos que no podría resolverse a favor del hecho si las pruebas reflejan cosa distinta. </w:t>
      </w:r>
    </w:p>
    <w:p w:rsidR="0099757E" w:rsidRDefault="0099757E" w:rsidP="00E10347">
      <w:pPr>
        <w:jc w:val="both"/>
        <w:rPr>
          <w:rFonts w:ascii="Palatino Linotype" w:eastAsia="Times New Roman" w:hAnsi="Palatino Linotype"/>
          <w:color w:val="000000"/>
          <w:sz w:val="21"/>
          <w:szCs w:val="21"/>
          <w:lang w:val="es-CR"/>
        </w:rPr>
      </w:pP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b/>
          <w:color w:val="000000"/>
          <w:sz w:val="21"/>
          <w:szCs w:val="21"/>
          <w:lang w:val="es-CR"/>
        </w:rPr>
        <w:t>Propuesta. La distinción entre hechos no controvertidos.</w:t>
      </w:r>
      <w:r w:rsidRPr="00E10347">
        <w:rPr>
          <w:rFonts w:ascii="Palatino Linotype" w:eastAsia="Times New Roman" w:hAnsi="Palatino Linotype"/>
          <w:color w:val="000000"/>
          <w:sz w:val="21"/>
          <w:szCs w:val="21"/>
          <w:lang w:val="es-CR"/>
        </w:rPr>
        <w:t xml:space="preserve">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A partir de la presentación de ese dilema que puede desprenderse de la calificación procesal de tener por contestada afirmativamente la demanda en cuanto a los hechos (65), tener los hechos por ciertos (63.3) o admitidos (64.3), no nos parece correcto asumir que como derivación de esas regulaciones, los hechos pasan a ser no controvertidos y por ende, respecto de los mismos no debe admitirse pruebas. En los tres supuestos, el hecho es no controvertido por la aplicación de reglas legales, no así por la conformidad de la parte accionada. La dispensa inicial de admisión probatoria para los hechos no controvertidos tiene sentido en los casos en que la parte demandada, de manera expresa, acorde al ordinal 64.1 del CPCA, muestre su no oposición a los hechos. Pero no así en los casos en que esa incontrovertibilidad se desprende de una sanción legal. Incluso en el primer supuesto, cabe señalar que el objeto de la jurisdicción contencioso administrativa, desde el plano objetivo, se refiere al análisis y control de validez de la función administrativa, por lo que, incluso en los casos en que no exista reparo de la </w:t>
      </w:r>
      <w:r w:rsidRPr="00E10347">
        <w:rPr>
          <w:rFonts w:ascii="Palatino Linotype" w:eastAsia="Times New Roman" w:hAnsi="Palatino Linotype"/>
          <w:color w:val="000000"/>
          <w:sz w:val="21"/>
          <w:szCs w:val="21"/>
          <w:lang w:val="es-CR"/>
        </w:rPr>
        <w:lastRenderedPageBreak/>
        <w:t xml:space="preserve">Administración en cuanto a los hechos, el juez bien podría admitir prueba respecto de esas circunstancias, a fin de que el Tribunal de fondo pueda hacer una valoración sustancial respecto de la conformidad jurídica de lo peticionado.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Pues bien, cuando se apliquen las sanciones previstas en esas normas aludidas, consideramos que es deber del juez definir la admisión de los elementos de prueba ofrecidos por las partes, sin que pueda presuponer que al no ser hechos controvertidos, no debe admitirse prueba. En este punto, es donde consideramos necesario distinguir los hechos no controvertidos expresos (aceptados por la parte), de los que denominamos (por criterio de utilidad), </w:t>
      </w:r>
      <w:r w:rsidRPr="00E10347">
        <w:rPr>
          <w:rFonts w:ascii="Palatino Linotype" w:eastAsia="Times New Roman" w:hAnsi="Palatino Linotype"/>
          <w:b/>
          <w:color w:val="000000"/>
          <w:sz w:val="21"/>
          <w:szCs w:val="21"/>
          <w:lang w:val="es-CR"/>
        </w:rPr>
        <w:t>hechos no controvertidos "fictos"</w:t>
      </w:r>
      <w:r w:rsidRPr="00E10347">
        <w:rPr>
          <w:rFonts w:ascii="Palatino Linotype" w:eastAsia="Times New Roman" w:hAnsi="Palatino Linotype"/>
          <w:color w:val="000000"/>
          <w:sz w:val="21"/>
          <w:szCs w:val="21"/>
          <w:lang w:val="es-CR"/>
        </w:rPr>
        <w:t xml:space="preserve">, que son aquellos que se entienden por admitidos como consecuencia de la aplicación de una sanción legal-procesal. La denominación se desprende de que su admisión parte no un criterio de realidad ni de presunción, sino de una ficción legal. No se da una presunción de admisión o conformidad del hecho, pues en los casos de los ordinales 63.3 y 64.3 del CPCA, puede darse la particularidad de que los demandados contestaran negativamente la acción, como se ha expuesto. De esa manera, en estos hechos no controvertidos fictos, se insiste, la admisión probatoria es totalmente factible y posible, sin que le sean extensibles las cuestiones comentadas para los no controvertidos expresos.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Cabe acotar además, que resulta fundamental distinguir entre el efecto procesal de un hecho no controvertido y un hecho probado. Los hechos no controvertidos expresos, en la mayoría de las ocasiones, pueden llegar a ser tenidos como hechos probados, dada la aceptación externada por el obligado demandado. Aún en este supuesto, el Tribunal podría colegir del estudio del expediente realidades diversas, atendiendo al control objetivo que le confía el ordinal 49 de la Carta Magna. Por el contrario, los hechos no controvertidos fictos, no pueden ser tenidos, en todos los casos como un hecho probado, pues ese estado dependería de que luego de la valoración de las pruebas, el Tribunal concluya que determinada circunstancia fáctica encuentra respaldo en el mérito de los autos. La definición de hecho controvertido o no controvertido depende de la manera en como la parte accionada se refiera a esos hechos, en tanto que la calificación de hecho probado o no demostrado dependen de un proceso más complejo, que supone práctica de la prueba, valoración y las conclusiones que de este análisis pueda obtener el órgano sentenciador. Que la calificación de probado pueda derivar de la anuencia de una parte respecto de la formulación fáctica, no supone que esa calificación corresponda a las partes, pues esa definición es tarea del juez, como parte de su decisión. De esa </w:t>
      </w:r>
      <w:r w:rsidRPr="00E10347">
        <w:rPr>
          <w:rFonts w:ascii="Palatino Linotype" w:eastAsia="Times New Roman" w:hAnsi="Palatino Linotype"/>
          <w:color w:val="000000"/>
          <w:sz w:val="21"/>
          <w:szCs w:val="21"/>
          <w:lang w:val="es-CR"/>
        </w:rPr>
        <w:lastRenderedPageBreak/>
        <w:t xml:space="preserve">manera, no todo hecho no controvertido es hecho probado; puede llegar a serlo, pero en definitiva, esa condición </w:t>
      </w:r>
      <w:r w:rsidR="002A76CC">
        <w:rPr>
          <w:rFonts w:ascii="Palatino Linotype" w:eastAsia="Times New Roman" w:hAnsi="Palatino Linotype"/>
          <w:color w:val="000000"/>
          <w:sz w:val="21"/>
          <w:szCs w:val="21"/>
          <w:lang w:val="es-CR"/>
        </w:rPr>
        <w:t xml:space="preserve">solo </w:t>
      </w:r>
      <w:r w:rsidRPr="00E10347">
        <w:rPr>
          <w:rFonts w:ascii="Palatino Linotype" w:eastAsia="Times New Roman" w:hAnsi="Palatino Linotype"/>
          <w:color w:val="000000"/>
          <w:sz w:val="21"/>
          <w:szCs w:val="21"/>
          <w:lang w:val="es-CR"/>
        </w:rPr>
        <w:t xml:space="preserve">puede desprenderse del ejercicio deliberativo de las pruebas aportadas al caso, dentro de las cuales se incluyen las presunciones legales. Desde luego que si la parte accionada no acredita los hechos interruptores, impeditivos o liberatorios de los derechos acreditados por el actor, siendo que le atañe esa carga, la decisión judicial probablemente no puede tener por probados esas circunstancias, empero, cuando ha aportado elementos de prueba (caso de los ordinales 63.3 y 64.3 del CPCA), o bien, cuando pese a la aplicación de esas sanciones procesales comentadas, el accionante no haya acreditado los hechos constitutivos de su derecho (el alegado), no puede tenerse por probado un hecho por la sola aplicación de esas normas.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Existe una diferencia sustancial del proceso contencioso administrativo respecto del civil en cuanto a este punto, pues el contenido eminentemente patrimonial y disponible de las relaciones privadas, regidas por el derecho civil o comercial, hacen posible y justifican sanciones como las comentadas; sin embargo, en el contencioso administrativo, el control de validez de la función administrativa exige e impone que al proceso se incorporen las pruebas que permitan establecer la procedencia o no de una determinada pretensión, pues son insumos determinantes para el análisis de las implicaciones y contenido de la relación jurídico administrativa debatida. Se insiste en el ejemplo dado, no puede darse por probado que un administrado cuenta con un derecho o título habilitante por la vía de la no controversia fáctica derivada de las normas comentadas. Ello produce el riesgo de conceder una situación jurídica de manera ilegítima, mediante una sentencia con autoridad de cosa juzgada material, con la ilegitimidad que ello supone. Aún esas diferencias, en el artículo 39 del NCPC se establece que ante la falta de contestación de la demanda, se permitirá tener por acreditados los hechos, en cuanto no resulten contradichos con la prueba que conste en el expediente. Esta norma pone en evidencia que aún ante la rebeldía, no se produce el automatismo deductivo de hecho probado a partir de la no controversia ficta que se ha expuesto, pues en todo caso, es deber del juzgador analizar la concurrencia de los hechos base del derecho llamado a tutelar. Esto sucede debido a que en el análisis de la prueba se impone el análisis unitario, con arreglo a la sana crítica racional, o como lo indica el ordinal 41.5 del NCPC, acorde a la apreciación en su totalidad, conforme a los criterios de la lógica, experiencia, ciencia y correcto entendimiento humano. No consideramos que las reglas de los mandatos 63.3, 64.3 y 65 del CPCA, constituyan una norma que </w:t>
      </w:r>
      <w:r w:rsidRPr="00E10347">
        <w:rPr>
          <w:rFonts w:ascii="Palatino Linotype" w:eastAsia="Times New Roman" w:hAnsi="Palatino Linotype"/>
          <w:color w:val="000000"/>
          <w:sz w:val="21"/>
          <w:szCs w:val="21"/>
          <w:lang w:val="es-CR"/>
        </w:rPr>
        <w:lastRenderedPageBreak/>
        <w:t xml:space="preserve">permita fijar una regla de apreciación diversa, por las razones apuntadas.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Cabe destacar, cuando la decisión judicial se sustente en la aplicación de estas figuras para construir los hechos probados, y por ende, en la negación de prueba ofrecida para rebatir los hechos en que luego dieron la razón al accionante, nos parece que ello implicaría un conjunto de vicios tutelables en sede casacional. Por un lado, se evidencia una infracción al debido proceso (art. 137.1 inciso b), que constituye un vicio procesal que llevaría a la anulación del proceso a partir de la fase de denegación de esa probanza. No vemos que puedan producirse los vicios propios del error de hecho, violación indirecta o directa, reflejados en el ordinal 138 ejusdem, pues para que operen, la prueba debe haber sido admitida, y el dilema en estos casos es precisamente la inadmisión de los elementos de convicción. En definitiva, por la lesión al debido proceso derivado de la indefensión a que se somete a la parte afectada, se produce el vicio procesal, cuyo efecto se puede ver en el ordinal 150 del CPCA.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El tema queda expuesto, por tanto, sujeto al debate de rigor. </w:t>
      </w:r>
    </w:p>
    <w:p w:rsidR="00A22DC1" w:rsidRPr="00E10347" w:rsidRDefault="00A22DC1" w:rsidP="00E10347">
      <w:pPr>
        <w:jc w:val="both"/>
        <w:rPr>
          <w:rFonts w:ascii="Palatino Linotype" w:eastAsia="Times New Roman" w:hAnsi="Palatino Linotype"/>
          <w:color w:val="000000"/>
          <w:sz w:val="21"/>
          <w:szCs w:val="21"/>
          <w:lang w:val="es-CR"/>
        </w:rPr>
      </w:pPr>
    </w:p>
    <w:p w:rsidR="00A22DC1" w:rsidRPr="00E10347" w:rsidRDefault="00A22DC1" w:rsidP="00E10347">
      <w:pPr>
        <w:jc w:val="both"/>
        <w:rPr>
          <w:rFonts w:ascii="Palatino Linotype" w:eastAsia="Times New Roman" w:hAnsi="Palatino Linotype"/>
          <w:b/>
          <w:color w:val="000000"/>
          <w:sz w:val="21"/>
          <w:szCs w:val="21"/>
          <w:lang w:val="es-CR"/>
        </w:rPr>
      </w:pPr>
      <w:r w:rsidRPr="00E10347">
        <w:rPr>
          <w:rFonts w:ascii="Palatino Linotype" w:eastAsia="Times New Roman" w:hAnsi="Palatino Linotype"/>
          <w:b/>
          <w:color w:val="000000"/>
          <w:sz w:val="21"/>
          <w:szCs w:val="21"/>
          <w:lang w:val="es-CR"/>
        </w:rPr>
        <w:t>C.2. DILEMA 2. La prueba documental extemporánea.</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Un segundo aspecto que nos parece digno de tocar en este ensayo, se refiere a un tema ya anticipado, atinente a la prueba documental que sea ofrecida luego de la demanda y la contestación. A tono con lo preceptuado por el ordinal 58 y el 64, es con la demanda y la contestación que las partes, inicialmente, deben presentar sus respectivas probanzas. Si bien el CPCA fija otros episodios o momentos en los que puede proponerse prueba (tema ya analizado), para los efectos de este punto en particular, partiremos de la base idealista que propugna el ordenamiento procesal de esta jurisdicción, en cuanto a que fuera de esas excepcionalidades, las pruebas han de ser presentadas u ofrecidas en la demanda y su contestación, así como en la contrademanda y su respectiva respuesta.</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Precisamente, el ordinal 50 del CPCA establece la inadmisibilidad de la prueba documental ofrecida luego de esas etapas procesales. Sin embargo, esa misma ordenanza señala los supuestos de excepción en lo que se da cabida a la proposición y correspondiente admisión de prueba documental luego de aquellas fases. Esta norma sigue la doctrina ya de por sí contenida en el numeral 293 del CPC, que en lo medular, precisa los mismos supuestos a los que de seguido se exponen. En ese sentido, la norma aludida (art. 50 CPCA) señala los siguientes motivos o supuestos:</w:t>
      </w:r>
    </w:p>
    <w:p w:rsidR="00A22DC1" w:rsidRPr="00E10347" w:rsidRDefault="00A22DC1" w:rsidP="00E10347">
      <w:pPr>
        <w:jc w:val="both"/>
        <w:rPr>
          <w:rFonts w:ascii="Palatino Linotype" w:eastAsia="Times New Roman" w:hAnsi="Palatino Linotype"/>
          <w:color w:val="000000"/>
          <w:sz w:val="21"/>
          <w:szCs w:val="21"/>
          <w:lang w:val="es-CR"/>
        </w:rPr>
      </w:pP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r>
      <w:r w:rsidRPr="00E10347">
        <w:rPr>
          <w:rFonts w:ascii="Palatino Linotype" w:eastAsia="Times New Roman" w:hAnsi="Palatino Linotype"/>
          <w:b/>
          <w:color w:val="000000"/>
          <w:sz w:val="21"/>
          <w:szCs w:val="21"/>
          <w:u w:val="single"/>
          <w:lang w:val="es-CR"/>
        </w:rPr>
        <w:t>a) Los de fecha posterior a dichos escritos</w:t>
      </w:r>
      <w:r w:rsidRPr="00E10347">
        <w:rPr>
          <w:rFonts w:ascii="Palatino Linotype" w:eastAsia="Times New Roman" w:hAnsi="Palatino Linotype"/>
          <w:b/>
          <w:color w:val="000000"/>
          <w:sz w:val="21"/>
          <w:szCs w:val="21"/>
          <w:lang w:val="es-CR"/>
        </w:rPr>
        <w:t>:</w:t>
      </w:r>
      <w:r w:rsidRPr="00E10347">
        <w:rPr>
          <w:rFonts w:ascii="Palatino Linotype" w:eastAsia="Times New Roman" w:hAnsi="Palatino Linotype"/>
          <w:color w:val="000000"/>
          <w:sz w:val="21"/>
          <w:szCs w:val="21"/>
          <w:lang w:val="es-CR"/>
        </w:rPr>
        <w:t xml:space="preserve"> En esta particularidad, se encontraría todo aquel documento cuya data de emisión sea ulterior a la fecha de presentación de la demanda o su contestación, según corresponda. De igual manera, en el caso de los actos administrativos y sus antecedentes, se entienden en este supuesto los documentos que al margen de que hayan sido emitidos en una fecha previa a la demanda o su contestación, hubieren sido notificados por el ente público después de esos momentos. En tales casos, aún de estimar que la literalidad de la norma impediría dar cabida al documento que fue notificado luego de aquellas fases, es claro que se estaría en el supuesto siguiente, referido a la imposibilidad no imputable a la parte proponente, de aportarlos previamente. Con todo, al tenor de los ordinales 140 y 141 de la Ley General de la Administración Pública, es la fecha de notificación la que determina no solo el despliegue de efectos del acto administrativo, sino su puesta en conocimiento al administrado, por lo que la fecha de comunicación sería determinante para dar cabida a la prueba documental relacionada con este tipo de actos.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Resulta evidente que la lógica de este inciso descansa en la posibilidad de incluir dentro del acervo probatorio elementos documentales que siendo de relevancia para el caso por guardar relación con el objeto del proceso, hubieren sido emitidos después de esas etapas, de suerte que no podría alegarse una suerte de preclusión en su ofrecimiento, dada la imposibilidad material de su aporte. No obstante es menester señalar que la admisión de este tipo de pruebas debe examinarse en cada caso concreto, pues es deber ponderar la fecha de emisión y la fecha de ofrecimiento, de modo que si aún siendo posteriores a la demanda o contestación, si se ofrecen en etapas avanzadas del proceso, con un margen de tiempo desproporcionado al instante en que el documento fue adquirido o puesto en conocimiento, se evidenciaría una deslealtad procesal, pretendiendo incluir elementos ya no de manera novedosa, sino sorpresiva. Se impone en consecuencia el análisis del juzgador para evitar los abusos de derecho en estas cuestiones. </w:t>
      </w:r>
    </w:p>
    <w:p w:rsidR="00A22DC1" w:rsidRPr="00E10347" w:rsidRDefault="00A22DC1" w:rsidP="00E10347">
      <w:pPr>
        <w:jc w:val="both"/>
        <w:rPr>
          <w:rFonts w:ascii="Palatino Linotype" w:eastAsia="Times New Roman" w:hAnsi="Palatino Linotype"/>
          <w:color w:val="000000"/>
          <w:sz w:val="21"/>
          <w:szCs w:val="21"/>
          <w:lang w:val="es-CR"/>
        </w:rPr>
      </w:pP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r>
      <w:r w:rsidRPr="00E10347">
        <w:rPr>
          <w:rFonts w:ascii="Palatino Linotype" w:eastAsia="Times New Roman" w:hAnsi="Palatino Linotype"/>
          <w:b/>
          <w:color w:val="000000"/>
          <w:sz w:val="21"/>
          <w:szCs w:val="21"/>
          <w:lang w:val="es-CR"/>
        </w:rPr>
        <w:t xml:space="preserve">b) </w:t>
      </w:r>
      <w:r w:rsidRPr="00E10347">
        <w:rPr>
          <w:rFonts w:ascii="Palatino Linotype" w:eastAsia="Times New Roman" w:hAnsi="Palatino Linotype"/>
          <w:b/>
          <w:color w:val="000000"/>
          <w:sz w:val="21"/>
          <w:szCs w:val="21"/>
          <w:u w:val="single"/>
          <w:lang w:val="es-CR"/>
        </w:rPr>
        <w:t>Los que no haya sido posible aportar con anterioridad, por causas que no sean imputables a la parte interesada</w:t>
      </w:r>
      <w:r w:rsidRPr="00E10347">
        <w:rPr>
          <w:rFonts w:ascii="Palatino Linotype" w:eastAsia="Times New Roman" w:hAnsi="Palatino Linotype"/>
          <w:b/>
          <w:color w:val="000000"/>
          <w:sz w:val="21"/>
          <w:szCs w:val="21"/>
          <w:lang w:val="es-CR"/>
        </w:rPr>
        <w:t>:</w:t>
      </w:r>
      <w:r w:rsidRPr="00E10347">
        <w:rPr>
          <w:rFonts w:ascii="Palatino Linotype" w:eastAsia="Times New Roman" w:hAnsi="Palatino Linotype"/>
          <w:color w:val="000000"/>
          <w:sz w:val="21"/>
          <w:szCs w:val="21"/>
          <w:lang w:val="es-CR"/>
        </w:rPr>
        <w:t xml:space="preserve"> Esta opción permite a la parte aportar a la causa judicial elementos de convicción de naturaleza documental que con independencia de la fecha de su emisión, no estaba en posibilidad objetiva de aportar u ofrecer. No se trata solamente de un desconocimiento de la prueba, sino </w:t>
      </w:r>
      <w:r w:rsidRPr="00E10347">
        <w:rPr>
          <w:rFonts w:ascii="Palatino Linotype" w:eastAsia="Times New Roman" w:hAnsi="Palatino Linotype"/>
          <w:color w:val="000000"/>
          <w:sz w:val="21"/>
          <w:szCs w:val="21"/>
          <w:lang w:val="es-CR"/>
        </w:rPr>
        <w:lastRenderedPageBreak/>
        <w:t xml:space="preserve">de una imposibilidad material de haberla aportado. En tales casos, es menester que el proponente de esas pruebas acredite (o al menos alegue de manera solvente) la citada imposibilidad objetiva de su ofrecimiento en un momento procesal previo, así como que la causa que incorpora esa imposibilidad material, le resulte ajena o no imputable. En ese sentido, la imposibilidad material no podría sustentarse en descuidos, negligencia, impericia o dejadez de la proponente (o que le sean imputables), como podría ser la alegación de que no había logrado encontrar un determinado documento por traslado de oficina, cambio de sistema de archivo, etc. En tales escenarios no existiría ajeneidad a la imposibilidad, ante lo cual, no cabría la aplicación de la norma de comentario. Por el contrario, cuando la prueba requiera de la participación de un tercero para su expedición o bien su formalización, son las conductas de este tercero las que deben ponderarse de cara a establecer si la imposibilidad de aporte previo es atribuible a ese tercero o al proponente. Podría citarse el caso de la nacionalización o consularización de algún documento, cuyo trámite impida su aporte, sin poner en riesgo temas de caducidad o prescripción. Desde luego que en estos casos debe analizarse la dilación normal de los trámites, a fin de inferir si la imposibilidad se puede endilgar a quien ofrece la prueba, por no haber anticipado con la diligencia debida, los plazos usuales de estas gestiones, por tesis de inicio, previsto en el ordinal 262 de la Ley No. 6227. </w:t>
      </w:r>
    </w:p>
    <w:p w:rsidR="00A22DC1" w:rsidRPr="00E10347" w:rsidRDefault="00A22DC1" w:rsidP="00E10347">
      <w:pPr>
        <w:jc w:val="both"/>
        <w:rPr>
          <w:rFonts w:ascii="Palatino Linotype" w:eastAsia="Times New Roman" w:hAnsi="Palatino Linotype"/>
          <w:color w:val="000000"/>
          <w:sz w:val="21"/>
          <w:szCs w:val="21"/>
          <w:lang w:val="es-CR"/>
        </w:rPr>
      </w:pP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Lo determinante, en consecuencia, es la acreditación de la no imputabilidad de la causa de impedimento de aporte de la prueba, lo que, se reitera, corresponde alegar y probar a la parte, y ponderar el juzgador. </w:t>
      </w:r>
    </w:p>
    <w:p w:rsidR="00A22DC1" w:rsidRPr="00E10347" w:rsidRDefault="00A22DC1" w:rsidP="00E10347">
      <w:pPr>
        <w:jc w:val="both"/>
        <w:rPr>
          <w:rFonts w:ascii="Palatino Linotype" w:eastAsia="Times New Roman" w:hAnsi="Palatino Linotype"/>
          <w:color w:val="000000"/>
          <w:sz w:val="21"/>
          <w:szCs w:val="21"/>
          <w:lang w:val="es-CR"/>
        </w:rPr>
      </w:pP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r>
      <w:r w:rsidRPr="00E10347">
        <w:rPr>
          <w:rFonts w:ascii="Palatino Linotype" w:eastAsia="Times New Roman" w:hAnsi="Palatino Linotype"/>
          <w:b/>
          <w:color w:val="000000"/>
          <w:sz w:val="21"/>
          <w:szCs w:val="21"/>
          <w:u w:val="single"/>
          <w:lang w:val="es-CR"/>
        </w:rPr>
        <w:t>c. Prueba complementaria.</w:t>
      </w:r>
      <w:r w:rsidRPr="00E10347">
        <w:rPr>
          <w:rFonts w:ascii="Palatino Linotype" w:eastAsia="Times New Roman" w:hAnsi="Palatino Linotype"/>
          <w:color w:val="000000"/>
          <w:sz w:val="21"/>
          <w:szCs w:val="21"/>
          <w:lang w:val="es-CR"/>
        </w:rPr>
        <w:t xml:space="preserve"> Finalmente, el inciso c) de la norma comentada señala la posibilidad de aportar este tipo de pruebas cuando, sin haber sido fundamento de la demanda, sirvan para combatir excepciones del demandado o constituyan prueba complementaria. El primer supuesto se refiere a los documentos que sean ofrecidos para oponerse a las defensas previas o de fondo formuladas por el accionado. En ese sentido, el ordinal 70 del CPCA señala que una vez contestada la demanda, se concederá traslado a la parte actora por el espacio de 3 días, para que se refiera a la contestación y de ser el caso, ofrezca la contraprueba. Esta norma por tanto fija la posibilidad del actor de presentar esta documental con esa finalidad en el espacio de réplica. Sin embargo, esa posibilidad no se concreta con exclusividad a dicho supuesto. El ordinal 67 del CPCA (siguiendo la línea del canon </w:t>
      </w:r>
      <w:r w:rsidRPr="00E10347">
        <w:rPr>
          <w:rFonts w:ascii="Palatino Linotype" w:eastAsia="Times New Roman" w:hAnsi="Palatino Linotype"/>
          <w:color w:val="000000"/>
          <w:sz w:val="21"/>
          <w:szCs w:val="21"/>
          <w:lang w:val="es-CR"/>
        </w:rPr>
        <w:lastRenderedPageBreak/>
        <w:t xml:space="preserve">307 del CPC), fija las denominadas defensas privilegiadas (perpetuas para algunos), de transacción, cosa juzgada, prescripción y caducidad, reguladas en el artículo 66.1 incisos i), j) y k), respectivamente. Esta denominación estriba en que a diferencia de las demás defensas, que han de ser formuladas en el escrito de contestación, se pueden formular en cualquier momento hasta antes de concluido el juicio oral y público o bien, en el caso del puro derecho, antes de que se dé por terminada la audiencia de trámite con la formulación de las conclusiones orales, sea, cuando el proceso se encuentre listo para el dictado de sentencia. En tales supuestos, resulta notorio que estas defensas podrían plantearse en la audiencia preliminar e incluso en la audiencia complementaria o juicio. En tales casos, como derivación del principio de contradictorio y debido proceso, ha de otorgarse audiencia a la parte accionante para la defensa de sus intereses, ante lo cual, bien puede ofrecer prueba que no había señalado anteriormente, y que tiene por finalidad, combatir dichas defensas.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En la práctica, algunos juzgadores de trámite permiten que dentro de la audiencia preliminar se formulen defensas previas que no habían sido planteadas con la contestación de la demanda, invocando la supuesta permisibilidad que para esos efectos regula el ordinal 90.1 inciso d) del CPCA. Al margen de que nos parezca que tal práctica vulnera la preclusión procesal, por lo que debería estar referida únicamente para las defensas privilegiadas, o bien, para las defensas referidas a la ampliación de la demanda; lo cierto del caso es que en ese supuesto, debe seguirse la misma regla de oportunidad de defensa a la parte actora para que si lo estima pertinente, pueda ofrecer no solamente sus alegatos de descargo, sino además las pruebas de respaldo a su postura.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En cuanto a la prueba complementaria debe advertirse que esta no daría cabida a documentos que pudieron aportarse en su momento procesal oportuno, pues en tal caso, daría carta abierta a estrategias de ocultamiento de prueba, generando ofrecimientos sorpresivos que pueden alterar el balance procesal. La complementaria en consecuencia se refiere a la que sirve para rebatir los argumentos del accionado, como complemento o sumatoria de la que fue aportada con antelación, pero en modo alguno constituye una nueva oportunidad para el ofrecimiento de prueba que debió haberse aportado con la demanda. Dejamos este tema de lado para concentrarnos en el punto central del dilema. </w:t>
      </w:r>
    </w:p>
    <w:p w:rsidR="0099757E" w:rsidRDefault="0099757E" w:rsidP="00E10347">
      <w:pPr>
        <w:jc w:val="both"/>
        <w:rPr>
          <w:rFonts w:ascii="Palatino Linotype" w:eastAsia="Times New Roman" w:hAnsi="Palatino Linotype"/>
          <w:color w:val="000000"/>
          <w:sz w:val="21"/>
          <w:szCs w:val="21"/>
          <w:lang w:val="es-CR"/>
        </w:rPr>
      </w:pPr>
    </w:p>
    <w:p w:rsidR="00A22DC1" w:rsidRPr="00E10347" w:rsidRDefault="00A22DC1" w:rsidP="00E10347">
      <w:pPr>
        <w:jc w:val="both"/>
        <w:rPr>
          <w:rFonts w:ascii="Palatino Linotype" w:eastAsia="Times New Roman" w:hAnsi="Palatino Linotype"/>
          <w:b/>
          <w:color w:val="000000"/>
          <w:sz w:val="21"/>
          <w:szCs w:val="21"/>
          <w:lang w:val="es-CR"/>
        </w:rPr>
      </w:pPr>
      <w:r w:rsidRPr="00E10347">
        <w:rPr>
          <w:rFonts w:ascii="Palatino Linotype" w:eastAsia="Times New Roman" w:hAnsi="Palatino Linotype"/>
          <w:b/>
          <w:color w:val="000000"/>
          <w:sz w:val="21"/>
          <w:szCs w:val="21"/>
          <w:lang w:val="es-CR"/>
        </w:rPr>
        <w:t>¿Admisión en sentencia de la prueba documental?</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lastRenderedPageBreak/>
        <w:tab/>
        <w:t xml:space="preserve">Ahora bien, fijadas las particularidades de la prueba que puede ser ofrecida luego de la demanda y la contestación, cabe destacar el foco del dilema analizado. El inciso 2 de ese precepto 50 del CPCA estipula en su tenor gramatical: </w:t>
      </w:r>
    </w:p>
    <w:p w:rsidR="00A22DC1" w:rsidRPr="00E10347" w:rsidRDefault="00A22DC1" w:rsidP="00E10347">
      <w:pPr>
        <w:ind w:left="850" w:right="850"/>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w:t>
      </w:r>
      <w:r w:rsidRPr="00E10347">
        <w:rPr>
          <w:rFonts w:ascii="Palatino Linotype" w:eastAsia="Times New Roman" w:hAnsi="Palatino Linotype"/>
          <w:i/>
          <w:color w:val="000000"/>
          <w:sz w:val="21"/>
          <w:szCs w:val="21"/>
          <w:lang w:val="es-CR"/>
        </w:rPr>
        <w:t>2) De los documentos presentados después de la demanda y la contestación, y antes de concluida la audiencia preliminar, se dictará traslado a la contraparte, por un plazo de tres días hábiles; sobre su admisibilidad se resolverá en sentencia. Los que se presenten después de dicha audiencia solo podrán ser valorados por el órgano jurisdiccional, en caso de ser admitidos como prueba para mejor resolver.</w:t>
      </w:r>
      <w:r w:rsidRPr="00E10347">
        <w:rPr>
          <w:rFonts w:ascii="Palatino Linotype" w:eastAsia="Times New Roman" w:hAnsi="Palatino Linotype"/>
          <w:color w:val="000000"/>
          <w:sz w:val="21"/>
          <w:szCs w:val="21"/>
          <w:lang w:val="es-CR"/>
        </w:rPr>
        <w:t>"</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La norma en cuestión fija dos tratamientos diversos según el momento en que las pruebas documentales sean ofrecidas: </w:t>
      </w:r>
    </w:p>
    <w:p w:rsidR="00A22DC1" w:rsidRPr="00E10347" w:rsidRDefault="00A22DC1" w:rsidP="00E10347">
      <w:pPr>
        <w:jc w:val="both"/>
        <w:rPr>
          <w:rFonts w:ascii="Palatino Linotype" w:eastAsia="Times New Roman" w:hAnsi="Palatino Linotype"/>
          <w:color w:val="000000"/>
          <w:sz w:val="21"/>
          <w:szCs w:val="21"/>
          <w:lang w:val="es-CR"/>
        </w:rPr>
      </w:pP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b/>
          <w:color w:val="000000"/>
          <w:sz w:val="21"/>
          <w:szCs w:val="21"/>
          <w:u w:val="single"/>
          <w:lang w:val="es-CR"/>
        </w:rPr>
        <w:t>a) Prueba antes de terminar fase preliminar:</w:t>
      </w:r>
      <w:r w:rsidRPr="00E10347">
        <w:rPr>
          <w:rFonts w:ascii="Palatino Linotype" w:eastAsia="Times New Roman" w:hAnsi="Palatino Linotype"/>
          <w:color w:val="000000"/>
          <w:sz w:val="21"/>
          <w:szCs w:val="21"/>
          <w:lang w:val="es-CR"/>
        </w:rPr>
        <w:t xml:space="preserve"> Por un lado, se refiere a las probanzas documentales que sean propuestas por las partes luego de la demanda y la contestación, pero antes de que concluya la audiencia preliminar. En este sentido, se establece un traslado por el plazo de tres días hábiles a la contraparte. Surge entonces un primer aspecto que se refiere a la posibilidad de la parte contraria de presentar pruebas que busquen desvirtuar el efecto o circunstancia que la nueva prueba ofrecida pretende. Un primer tratamiento o postura sería que esa audiencia sería únicamente para referirse al contenido de esa prueba. La otra posibilidad, que nos parece la adecuada, es que además de esa referencia al contenido de la prueba, la contraparte cuenta con una posibilidad adicional de aportar probanzas para combatir las ofrecidas por su contrincante en ejercicio de las facultades que confiere el citado ordinal 50 del CPCA. La tutela del contradictorio sustenta esta última línea, pues en todo caso, podría considerarse como prueba complementaria de la ya aportada.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Cubierto este traslado, habiendo sido ofrecida la prueba y habiéndose referido la contraparte, surge el dilema de si esa prueba documental puede ser utilizada en el marco de las alegaciones de las partes, pues la misma norma señala que en esos casos, sea, cuando se haya aportado antes de la culminación de la audiencia preliminar, la definición de la admisibilidad o no de esas probanzas, </w:t>
      </w:r>
      <w:r w:rsidRPr="00E10347">
        <w:rPr>
          <w:rFonts w:ascii="Palatino Linotype" w:eastAsia="Times New Roman" w:hAnsi="Palatino Linotype"/>
          <w:b/>
          <w:color w:val="000000"/>
          <w:sz w:val="21"/>
          <w:szCs w:val="21"/>
          <w:lang w:val="es-CR"/>
        </w:rPr>
        <w:t>debe realizarse en la fase de sentencia (!!!)</w:t>
      </w:r>
      <w:r w:rsidRPr="00E10347">
        <w:rPr>
          <w:rFonts w:ascii="Palatino Linotype" w:eastAsia="Times New Roman" w:hAnsi="Palatino Linotype"/>
          <w:color w:val="000000"/>
          <w:sz w:val="21"/>
          <w:szCs w:val="21"/>
          <w:lang w:val="es-CR"/>
        </w:rPr>
        <w:t xml:space="preserve">.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Como se ha expuesto, en un orden lógico, luego de ofrecida la prueba, pasa a un análisis de admisibilidad acorde a las reglas y pautas dadas por los mandatos 90.2 y 93 del CPC, tema que en tesis de principio, se realiza y concreta en la fase de </w:t>
      </w:r>
      <w:r w:rsidRPr="00E10347">
        <w:rPr>
          <w:rFonts w:ascii="Palatino Linotype" w:eastAsia="Times New Roman" w:hAnsi="Palatino Linotype"/>
          <w:color w:val="000000"/>
          <w:sz w:val="21"/>
          <w:szCs w:val="21"/>
          <w:lang w:val="es-CR"/>
        </w:rPr>
        <w:lastRenderedPageBreak/>
        <w:t xml:space="preserve">audiencia preliminar, según se colige del canon 90 inciso 3) del CPCA. La finalidad misma de la audiencia de trámite justifica que sea dentro de esta fase que se defina la admisión de las pruebas, según el diseño del proceso contencioso administrativo, pese a que este tratamiento constituye uno de los dilemas que nos ocupará más adelante. La preliminar tiene una ratio de saneamiento, abreviación y ordenación del proceso, de suerte que siendo la admisión de las pruebas un tema que incluso define la tipología procesal a seguir, pues de admitirse únicamente prueba documental, al tenor del numeral 98.2 del CPCA, el proceso pasa dictado de sentencia en el denominado "Proceso de Puro Derecho", o bien, de admitirse prueba evacuable (no documental), se cita a audiencia de juicio oral y público (art. 98.1 ibídem), resultaría lógico señalar que se justifica por demás que la admisibilidad de las probanzas sea un asunto que se defina en esa audiencia preliminar.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La lógica de resolver sobre la admisibilidad de las pruebas de previo a las etapas posteriores que se asocian a la dinámica probatoria (que en la documental suprime la evacuación por razones más que evidentes y que por tales, no exigen precisión), es generar la certidumbre en las partes respecto de los elementos de convicción que cada una de ellas ha aportado y por haber sido aceptadas, deben ser utilizados por el tribunal para la decisión del caso, so pena de vicio de preterición (ver art. 138 inciso a) del CPCA). De igual modo, esa certeza de las pruebas que han sido admitidas, genera un referente de indudable relevancia para la estructura de sus argumentos, pues no su discurso debe considerar los efectos probatorios de determinados elementos, su potencia o insuficiencia para probar, la refutación de su contenido, entre múltiples aristas que pueden ser abordadas respecto de la prueba y los hechos. Luego, contrario a esta lógica, en estos casos comentados, el CPCA señala que la admisión de esas pruebas se define en sentencia, introduciendo a la causa, en lo que se refiere a las partes, un estado de duda e inseguridad del resultado de sus ofrecimientos probatorios en ejercicio de esta norma.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Continuando con el orden lógico, al admitirse la prueba, puede utilizarse como parte de los argumentos, conjeturas y refutaciones del caso, lo que es dudoso ante el tratamiento que impone el canon 50.2 del CPCA. Cabe cuestionarse si al dictar sentencia, si el Tribunal estima que la prueba es admisible, debe dar un espacio a las partes para que alegue sobre el contenido y efectos de esas probanzas. Desde luego que semejante derivación sería absoluta y abiertamente contraproducente a la dinámica misma de la eficiencia que busca todo proceso jurisdiccional.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lastRenderedPageBreak/>
        <w:tab/>
        <w:t xml:space="preserve">A nuestro juicio, la norma de comentario presenta un tratamiento insostenible y desconoce la estructura misma del proceso contencioso administrativo y la finalidad de sus etapas. Es dentro de la audiencia preliminar que se define la admisión de las pruebas y si estas son ofrecidas de previo a que esta etapa termine, no vemos bondad alguna en dilatar el juicio de admisibilidad de esos elementos para la sentencia. Por el contrario, esta valoración debe realizarse, incluso en tales casos, dentro de la fase preliminar. En la práctica, se ha optado por aclarar a las partes que en el ejercicio de esta circunstancia regulada por el ordinal 50 del CPCA, ofrecidas las pruebas, pueden ser utilizadas por las partes en sus argumentos, con el señalamiento de que será el Tribunal de Fondo el que en sentencia defina si fueron o no admitidos. Se trata de una corrección pretoriana, sobre la marcha de la experiencia del proceso, que busca evitar esas dilaciones que la norma potencia, permitiendo a las partes el uso de la documental para que luego, caso de que el Tribunal la admita, no sea necesario conferir audiencias adicionales o dilatar la causa. No vemos explicación de cómo una sentencia define la admisión de una prueba; la sentencia debe valorar la prueba ya admitida y decidir sobre la base de los hechos probados que dimanan de esa ponderación, y el derecho aplicable al caso.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En suma, se insiste, en la praxis, el juez de la etapa de trámite recibe esas pruebas, advierte a las partes que pueden utilizarla y advierte que su admisión se determina en sentencia, señalando eso sí, que las partes pueden utilizar esta documental en sus respectivos argumentos. </w:t>
      </w:r>
    </w:p>
    <w:p w:rsidR="0099757E" w:rsidRDefault="0099757E" w:rsidP="00E10347">
      <w:pPr>
        <w:jc w:val="both"/>
        <w:rPr>
          <w:rFonts w:ascii="Palatino Linotype" w:eastAsia="Times New Roman" w:hAnsi="Palatino Linotype"/>
          <w:color w:val="000000"/>
          <w:sz w:val="21"/>
          <w:szCs w:val="21"/>
          <w:lang w:val="es-CR"/>
        </w:rPr>
      </w:pP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b/>
          <w:color w:val="000000"/>
          <w:sz w:val="21"/>
          <w:szCs w:val="21"/>
          <w:u w:val="single"/>
          <w:lang w:val="es-CR"/>
        </w:rPr>
        <w:t>b) Prueba luego de preliminar:</w:t>
      </w:r>
      <w:r w:rsidRPr="00E10347">
        <w:rPr>
          <w:rFonts w:ascii="Palatino Linotype" w:eastAsia="Times New Roman" w:hAnsi="Palatino Linotype"/>
          <w:color w:val="000000"/>
          <w:sz w:val="21"/>
          <w:szCs w:val="21"/>
          <w:lang w:val="es-CR"/>
        </w:rPr>
        <w:t xml:space="preserve"> La segunda hipótesis que trata el ordinal 50.2 del CPCA, se refiere a las probanzas documentales ofrecidas después de la demanda y la contestación, pero además, sean presentados luego de la audiencia preliminar. En tal caso, la norma señala que </w:t>
      </w:r>
      <w:r w:rsidR="002A76CC">
        <w:rPr>
          <w:rFonts w:ascii="Palatino Linotype" w:eastAsia="Times New Roman" w:hAnsi="Palatino Linotype"/>
          <w:color w:val="000000"/>
          <w:sz w:val="21"/>
          <w:szCs w:val="21"/>
          <w:lang w:val="es-CR"/>
        </w:rPr>
        <w:t xml:space="preserve">solo </w:t>
      </w:r>
      <w:r w:rsidRPr="00E10347">
        <w:rPr>
          <w:rFonts w:ascii="Palatino Linotype" w:eastAsia="Times New Roman" w:hAnsi="Palatino Linotype"/>
          <w:color w:val="000000"/>
          <w:sz w:val="21"/>
          <w:szCs w:val="21"/>
          <w:lang w:val="es-CR"/>
        </w:rPr>
        <w:t xml:space="preserve">podrán ser valorados por el órgano jurisdiccional, en caso de ser admitidos como prueba para mejor resolver.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La norma no presenta claridad respecto de si la admisión de esas probanza se produce en sentencia, o si bien puede tenerse por admitida en etapas previas. Tampoco precisa el trámite a otorgar a ese ofrecimiento de prueba. No obstante, parece evidente que por la tutela al contradictorio y al debido proceso, es menester conceder la audiencia que la misma norma establece, por un espacio de tres días hábiles, a efectos de que se puedan expresar las alegaciones pertinentes, así como, eventualmente, ofrecer pruebas para rebatir esos nuevos documentos. De igual </w:t>
      </w:r>
      <w:r w:rsidRPr="00E10347">
        <w:rPr>
          <w:rFonts w:ascii="Palatino Linotype" w:eastAsia="Times New Roman" w:hAnsi="Palatino Linotype"/>
          <w:color w:val="000000"/>
          <w:sz w:val="21"/>
          <w:szCs w:val="21"/>
          <w:lang w:val="es-CR"/>
        </w:rPr>
        <w:lastRenderedPageBreak/>
        <w:t>manera, por paridad de razón, en la integralidad de la norma, pareciera que la definición de la admisión de la documental comentada, ha se correr el mismo tratamiento del supuesto previamente analizado, en virtud de lo cual, sería en la fase de emisión de sentencia que se define la admisibilidad de aquella, por lo que a fin de no ingresar en redundancias, se remite en cuanto a este punto a lo ya señalado sobre ese particular en el ítem precedente.</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Ahora bien, la norma señala que en esos casos, la prueba ofrecida por las partes, caso de ser admitida, solamente podrá ser valorada como prueba para mejor resolver. Acorde a los precedentes de la Sala Primera de la Corte Suprema de Justicia ha señalado de manera reiterada que la PMP es prueba del Tribunal, quien la puede requerir, incluso de oficio, cuando luego de la evacuación y valoración de la prueba ofrecida por las partes, requiera de elementos probatorios que estime necesarios e indispensables para la decisión del asunto, sin que esa facultad permita suplir la deficiencia de las partes en la prueba de los hechos base de sus respectivas posturas. Entre múltiples precedentes ha señalado: </w:t>
      </w:r>
    </w:p>
    <w:p w:rsidR="00A22DC1" w:rsidRPr="00E10347" w:rsidRDefault="00A22DC1" w:rsidP="00E10347">
      <w:pPr>
        <w:ind w:left="850" w:right="852"/>
        <w:jc w:val="both"/>
        <w:rPr>
          <w:rFonts w:ascii="Palatino Linotype" w:eastAsia="Times New Roman" w:hAnsi="Palatino Linotype"/>
          <w:sz w:val="21"/>
          <w:szCs w:val="21"/>
        </w:rPr>
      </w:pPr>
      <w:r w:rsidRPr="00E10347">
        <w:rPr>
          <w:rFonts w:ascii="Palatino Linotype" w:eastAsia="Times New Roman" w:hAnsi="Palatino Linotype"/>
          <w:sz w:val="21"/>
          <w:szCs w:val="21"/>
        </w:rPr>
        <w:t>“</w:t>
      </w:r>
      <w:r w:rsidRPr="00E10347">
        <w:rPr>
          <w:rFonts w:ascii="Palatino Linotype" w:eastAsia="Times New Roman" w:hAnsi="Palatino Linotype"/>
          <w:b/>
          <w:i/>
          <w:sz w:val="21"/>
          <w:szCs w:val="21"/>
        </w:rPr>
        <w:t>II.-</w:t>
      </w:r>
      <w:r w:rsidRPr="00E10347">
        <w:rPr>
          <w:rFonts w:ascii="Palatino Linotype" w:eastAsia="Times New Roman" w:hAnsi="Palatino Linotype"/>
          <w:b/>
          <w:i/>
          <w:sz w:val="21"/>
          <w:szCs w:val="21"/>
          <w:lang w:val="es-CR"/>
        </w:rPr>
        <w:t xml:space="preserve"> </w:t>
      </w:r>
      <w:r w:rsidRPr="00E10347">
        <w:rPr>
          <w:rFonts w:ascii="Palatino Linotype" w:eastAsia="Times New Roman" w:hAnsi="Palatino Linotype"/>
          <w:i/>
          <w:sz w:val="21"/>
          <w:szCs w:val="21"/>
        </w:rPr>
        <w:t>... la prueba para mejor resolver es un instituto concebido para que el Juez, una vez evacuada la prueba ordinaria, solicite aquella que, aún siendo relevante para el proceso, no fue ofrecida por las partes, o bien que habiéndolo sido, fue declarada inevacuable, nula, rechazada por extemporánea o inadmisible, e incluso se refiera a hechos tenidos por ciertos en rebeldía del demandado. Por tratarse de una facultad del Tribunal y no de las partes, no puede ser utilizada por éstas para subsanar sus omisiones respecto de la prueba que pudieron haber ofrecido en el momento procesal oportuno y no lo hicieron. Por lo demás, y siempre como consecuencia de ser un instrumento concebido para el Tribunal, es que puede prescindirse de ella sin necesidad de resolución expresa que así lo haga ver... ". (Sentencia de casación número 94 de las 15 horas 45 minutos del 9 de noviembre de 1994. En este mismo sentido, y en lo de interés, pueden consultarse, entre muchas otras, las resoluciones de casación números 880 de las 8 horas 25 minutos del 14 de diciembre de 2007, 114 de las 8 horas 40 minutos del 22 de enero de 2010, 197 de las 9 horas 25 minutos del 16 de febrero de 2012, 1559 de las 11 horas 40 minutos del 14 de noviembre de 2013 y 823 de las 14 horas 5 minutos del 25 de junio de 2014).</w:t>
      </w:r>
      <w:r w:rsidRPr="00E10347">
        <w:rPr>
          <w:rFonts w:ascii="Palatino Linotype" w:eastAsia="Times New Roman" w:hAnsi="Palatino Linotype"/>
          <w:sz w:val="21"/>
          <w:szCs w:val="21"/>
          <w:lang w:val="es-CR"/>
        </w:rPr>
        <w:t xml:space="preserve">" Esto fue citado en el fallo No. 828-F-S1-2015 del 23 de julio del 2015.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lastRenderedPageBreak/>
        <w:tab/>
        <w:t>Las condiciones y características fijadas por la doctrina y la jurisprudencia sobre la PMP, han llevado a entender que el Tribunal puede disponer su rechazo, cuando haya sido peticionada por las partes, sin que ello ocasione nulidad o estado de indefensión alguno. A modo de referencia, dicha Sala ha señalado:</w:t>
      </w:r>
    </w:p>
    <w:p w:rsidR="00A22DC1" w:rsidRPr="00E10347" w:rsidRDefault="00A22DC1" w:rsidP="00E10347">
      <w:pPr>
        <w:ind w:left="850" w:right="852"/>
        <w:jc w:val="both"/>
        <w:rPr>
          <w:rFonts w:ascii="Palatino Linotype" w:eastAsia="Times New Roman" w:hAnsi="Palatino Linotype"/>
          <w:i/>
          <w:sz w:val="21"/>
          <w:szCs w:val="21"/>
        </w:rPr>
      </w:pPr>
      <w:r w:rsidRPr="00E10347">
        <w:rPr>
          <w:rFonts w:ascii="Palatino Linotype" w:eastAsia="Times New Roman" w:hAnsi="Palatino Linotype"/>
          <w:b/>
          <w:i/>
          <w:sz w:val="21"/>
          <w:szCs w:val="21"/>
        </w:rPr>
        <w:t>“IV.</w:t>
      </w:r>
      <w:r w:rsidRPr="00E10347">
        <w:rPr>
          <w:rFonts w:ascii="Palatino Linotype" w:eastAsia="Times New Roman" w:hAnsi="Palatino Linotype"/>
          <w:i/>
          <w:sz w:val="21"/>
          <w:szCs w:val="21"/>
        </w:rPr>
        <w:t xml:space="preserve"> En lo pertinente a la prueba para mejor resolver, cuyo rechazo objeta el casacionista, en el fallo 383-2008 de las 15 horas 50 minutos del 6 de junio de 2008, este Órgano expresó: “En relación, esta Sala ha señalado de forma reiterada que la prueba para mejor resolver es del juez y no de las partes, siendo él quien decide su conveniencia y necesidad. Se trata de una facultad que le permite incorporar luego de la fase probatoria, cuando el asunto se encuentra listo para dictar el fallo, elementos demostrativos que considere relevantes para la correcta resolución del proceso, lo que puede suceder incluso en instancia de apelación (artículo 575 del Código de cita) –cuando corresponda- y eventualmente, en casación (609 ibídem). En este sentido, resulta claro que no se trata de corregir las omisiones, negligencias o descuidos de las partes en cuanto a la carga probatoria que les incumbe o bien subsanar deficiencias en las técnicas de defensa, dado que en esta hipótesis se vería seriamente lesionada la igualdad entre los litigantes y comprometería la imparcialidad del juzgador. De ahí que al ordenarla, deba respetarse la garantía de defensa en juicio de cada uno de los involucrados en el litigio. Sobre el tema, de esta Sala, véase sentencia no. 703 de las 10 horas 30 minutos del 27 de septiembre del 2007. Desde este plano, si bien permite incorporar probanzas que fueron rechazadas en el proceso, declaradas inadmisibles, nulas o inevacuables, ciertamente, la decisión de recabarla es facultativa del órgano jurisdiccional, ergo, corresponde a una valoración discrecional del juzgador, quien puede prescindir de ella sin necesidad de resolución expresa. En torno a los parámetros que determinan su aplicación, de este órgano colegiado, véase resolución no. 268 de las 16 horas 10 minutos del 3 de abril del 2002”. (Consúltense en sentido similar las sentencias no. 728 de las 10 horas 5 minutos del 4 de octubre de 2007, no. 555 de las 9 horas con 50 minutos del 6 de mayo de 2010, y no. 622-2011 de las 9 horas 25 minutos del 26 de mayo de 2011). </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i/>
          <w:sz w:val="21"/>
          <w:szCs w:val="21"/>
          <w:lang w:val="es-CR"/>
        </w:rPr>
        <w:tab/>
      </w:r>
      <w:r w:rsidRPr="00E10347">
        <w:rPr>
          <w:rFonts w:ascii="Palatino Linotype" w:eastAsia="Times New Roman" w:hAnsi="Palatino Linotype"/>
          <w:sz w:val="21"/>
          <w:szCs w:val="21"/>
          <w:lang w:val="es-CR"/>
        </w:rPr>
        <w:t xml:space="preserve">Nos interesa solamente resaltar el carácter prueba para el Tribunal que </w:t>
      </w:r>
      <w:r w:rsidRPr="00E10347">
        <w:rPr>
          <w:rFonts w:ascii="Palatino Linotype" w:eastAsia="Times New Roman" w:hAnsi="Palatino Linotype"/>
          <w:sz w:val="21"/>
          <w:szCs w:val="21"/>
          <w:lang w:val="es-CR"/>
        </w:rPr>
        <w:lastRenderedPageBreak/>
        <w:t xml:space="preserve">ostenta la PMP, así como las potestades discrecionales que han sido reconocidas en cuanto a esta modalidad, en términos de su admisión y necesidad, resaltando que no sirve para suplir las deficiencias de las partes. Un mayor abordaje del tema, pese a ser deseado, sería inoportuno e imposible en este ensayo, por razones de espacio. Sin embargo, a diferencia de esas condiciones propias del sistema de PMP, en el ámbito del artículo 50 del CPCA que nos ocupa, un primer aspecto a señalar, es que a la prueba documental aludida no es una prueba que se ofrezca al Tribunal bajo la condición de mejor proveer, sino que en rigor, es una prueba de parte que se ofrece ante circunstancias especiales que el mismo CPCA permite y legitima. Es decir, si se entiende que la PMP es prueba del Tribunal Decisor y es éste quien define su conveniencia o necesidad, de suerte que no hay indefensión cuando habiendo sido ofrecida (bajo ese carácter) se rechaza o incluso, la sentencia no disponga nada en cuanto a ese ofrecimiento, estas particularidades no parecen concurrir en las pruebas documentales "extemporáneas" a las que hacemos referencia. Véase que la jurisprudencia citada señala que la PMP se requiere luego de la fase de proposición y evacuación de prueba, empero, en la documental del artículo 50 CPCA, esa fase no necesariamente ha culminado, ni siquiera cuando se ofrezca luego de la audiencia preliminar. </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Ya hemos señalado que en la práctica del proceso contencioso administrativo, la instancia de juicio ha establecido la posibilidad de ofrecer pruebas que abonen al debate. Desde ese plano, la prueba en cuestión se ofrece, en la mayoría de ocasiones, cuando la fase de evacuación de los elementos de convicción no se ha culminado. Ciertamente, al ser prueba documental no existe lógica en que sea evacuada, pues basta su admisión para que el Tribunal pueda (deba) valorarla (so pena de preterición), empero, la diferencia que pretendemos evidenciar es que este tipo de prueba, atendiendo a los supuestos que le dan cabida, solamente puede ser ofrecida en esos momentos procesales, sin que pueda considerarse que pierde el carácter de prueba ofrecida por las partes, mas no como una prueba para mejor resolver, sino como prueba ordinaria. La diferencia resulta relevante, pues la PMP, se insiste, es discrecionalidad del Tribunal, en tanto que la de parte, debe ser analizada su admisión y luego valorada. Entender que la prueba en cuestión se transforma en una suerte de modalidad especial de PMP, llevaría a que si se admite el documento pero no se analiza, no existía nulidad alguna, o indefensión, por las condiciones mismas que la jurisprudencia ha conferido a esas probanzas.</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 xml:space="preserve">Si se analizan los supuestos del artículo 50 comentado, precisamente la </w:t>
      </w:r>
      <w:r w:rsidRPr="00E10347">
        <w:rPr>
          <w:rFonts w:ascii="Palatino Linotype" w:eastAsia="Times New Roman" w:hAnsi="Palatino Linotype"/>
          <w:sz w:val="21"/>
          <w:szCs w:val="21"/>
          <w:lang w:val="es-CR"/>
        </w:rPr>
        <w:lastRenderedPageBreak/>
        <w:t>lógica de la norma es posibilitar que la parte aporte nuevos elementos documentales, que al momento de presentar la demanda o contestación, no habían sido emitidos o bien, no pudo aportar con antelación por causas que no le son imputables, como sería su desconocimiento, la imposibilidad de acceso, entre otros. Así, no vemos la razón para señalar que por la sola razón de que esas pruebas sean aportadas luego de la audiencia preliminar, de ser admitidas serán analizadas como PMP. Puede darse el caso de que hasta en la fase de juicio se emita el documento aportado, o bien, que hasta ese instante se tenga posibilidad objetiva de ofrecerlo y la parte acredite debidamente la inimputabilidad de la causa de impedimento de haber ofrecido el documento previamente. En tales casos, estimamos, no puede desvalorarse la prueba ofrecida por la parte, pues se reitera, fue hasta ese momento que se pudo aportar, en la medida en que si se acredita que pese a ser de fecha posterior a la demanda o contestación, pudo haber sido ofrecida en etapas previas del proceso, bien podría denegarse su aporte luego de esa audiencia de trámite. Sin embargo, en el caso que se examina, no se produce ese abuso de la parte, sino que el documento se ofrece cuando está en posibilidad objetiva de proponerlo. Desde ese plano, de nuevo, ¿qué razón justifica que esa prueba deba ser valorada como PMP?</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 xml:space="preserve">Las causales que le dan cabida, las condiciones en que se ofrece, la utilidad y efecto que busca producir para las partes y los hechos, y la fuente misma de ofrecimiento, hacen que no pueda valorarse esa prueba como una para mejor resolver, sino que debe considerarse como una prueba más del acervo probatorio, que, por ende, debe ser analizada por el Tribunal; de suerte que esa omisión produce vicios tutelables en sede casacional, a diferencia de si fuese tenida como una PMP. No vemos que las condiciones normativas que dan cabida a la PMP, fijadas por el ordinal 331 del CPC, 41.3 del NCPC, se evidencien o concreten en los casos del artículo 50 del CPCA. Son probanzas que derivan de supuestos diversos, de lógicas totalmente diferentes, de modo que no consideramos adecuado un tratamiento paritario a situaciones diversas. Dicha prueba (la documental), debe definirse su admisión cuando sea aportada, no en sentencia, y su valoración no corresponde abordarla como PMP, sino como prueba de parte, con los deberes e implicaciones procesales que ello supone, ergo, la falta de definición sobre su admisibilidad, constituye una denegación de prueba admisible, que lesiona el debido proceso y derecho de defensa, casable mediante el vicio previsto en el ordinal 137.1 inciso b) del CPCA. Luego, en tanto se admita y no sea valorada, se produce una violación </w:t>
      </w:r>
      <w:r w:rsidRPr="00E10347">
        <w:rPr>
          <w:rFonts w:ascii="Palatino Linotype" w:eastAsia="Times New Roman" w:hAnsi="Palatino Linotype"/>
          <w:sz w:val="21"/>
          <w:szCs w:val="21"/>
          <w:lang w:val="es-CR"/>
        </w:rPr>
        <w:lastRenderedPageBreak/>
        <w:t xml:space="preserve">de fondo, indirecta, por el vicio de preterición que establece el canon 138 a) ejusdem. </w:t>
      </w:r>
    </w:p>
    <w:p w:rsidR="00A22DC1" w:rsidRPr="00E10347" w:rsidRDefault="00A22DC1" w:rsidP="00E10347">
      <w:pPr>
        <w:jc w:val="both"/>
        <w:rPr>
          <w:rFonts w:ascii="Palatino Linotype" w:eastAsia="Times New Roman" w:hAnsi="Palatino Linotype"/>
          <w:sz w:val="21"/>
          <w:szCs w:val="21"/>
          <w:lang w:val="es-CR"/>
        </w:rPr>
      </w:pP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b/>
          <w:sz w:val="21"/>
          <w:szCs w:val="21"/>
          <w:lang w:val="es-CR"/>
        </w:rPr>
        <w:t xml:space="preserve">C.3. DILEMA 3. </w:t>
      </w:r>
      <w:r w:rsidRPr="00E10347">
        <w:rPr>
          <w:rFonts w:ascii="Palatino Linotype" w:eastAsia="Times New Roman" w:hAnsi="Palatino Linotype"/>
          <w:b/>
          <w:color w:val="000000"/>
          <w:sz w:val="21"/>
          <w:szCs w:val="21"/>
          <w:lang w:val="es-CR"/>
        </w:rPr>
        <w:t xml:space="preserve">La divergencia de teoría del caso tramitador-Tribunal. </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Ya se ha explicado que dentro del esquema procesal contencioso administrativo, en su trámite normal y ordinario, la admisión de las pruebas ocurre, salvos las excepciones y eventualidades ya señaladas (punto B.2), en la audiencia preliminar. Es dentro de esa etapa que, acorde a los parámetros dados por los ordinales 90 y 93 del CPCA, el juzgador (a) competente, define si la prueba propuesta por las partes es admitida o no. Desde este plano, en secuencia lógica, esa admisión determina si el proceso se conduce a un "puro derecho", caso en el cual, al tenor del canon 98.2 del CPCA, declarado bajo esa modalidad, las partes rinden conclusiones, posterior a lo cual, el expediente ser remite a la sección de fondo competente para el dictado del fallo respectivo. En esta modalidad procesal, no existe gran dilema que tratar, pues la prueba admitida es de carácter documental, por lo que el Tribunal se aboca a decidir sobre el fondo acorde a los elementos de prueba ofrecidos por las partes y admitidos por el juzgador de la etapa de trámite, así como los alegatos formulados por las partes, tanto en la fase escrita (demanda-contestación-réplica), como en las conclusiones, en principio orales, pero posibles por medios escritos siempre que el juez de esa etapa así lo establezca.</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 xml:space="preserve">Sin embargo, no es poco frecuente que en la práctica, las secciones de fondo que se dedican a atender y resolver los procesos de puro derecho, tengan la necesidad de utilizar documentos que en su oportunidad fuesen ofrecidos por las partes, pese a que por diversas razones, no hubieren sido admitidos por el juez de trámite. Esto sucede en la mayoría de los casos en los documentos que rolan en el expediente administrativo, dentro de los cuales, se da el caso que en la minuta de la preliminar se deje consigna de la admisión de folios específicos de ese legajo, dentro de los cuales no se encuentra alguno o algunos que el Tribunal estima necesarios de ser referidos para el dictado de la sentencia. En tales casos, se ha optado por utilizar esas piezas, sin necesidad de dar audiencia a las partes sobre esas probanzas, considerando que no se trata de una prueba o elemento novedoso que por ende, desconocieran con antelación. Por el contrario, el expediente administrativo, una vez aportado, es puesto en conocimiento del administrado, sea accionante o demandado. En el primer caso (actor), contestada la demanda se pone en conocimiento el expediente para que pueda ampliar o precisar la demanda acorde al ordinal 54 del CPCA, o bien, si estima que está incompleto, requerir su </w:t>
      </w:r>
      <w:r w:rsidRPr="00E10347">
        <w:rPr>
          <w:rFonts w:ascii="Palatino Linotype" w:eastAsia="Times New Roman" w:hAnsi="Palatino Linotype"/>
          <w:sz w:val="21"/>
          <w:szCs w:val="21"/>
          <w:lang w:val="es-CR"/>
        </w:rPr>
        <w:lastRenderedPageBreak/>
        <w:t xml:space="preserve">complementación en los términos del canon 55.1 inciso b) del CPCA -dentro del plazo de 5 días-. Si es demandado, en orden al mandato 55.1 inciso a) CPCA, puede pedir que se complete dentro del primer tercio del plazo concedido para contestarla (la mayor de las veces 30 días), o bien puede referirse sobre su contenido en la contestación. </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De ese modo, no puede alegarse de parte del administrado el desconocimiento del expediente, pues en su oportunidad fue puesto en su conocimiento, por lo que no cabe la alegación de detrimento alguno al debido proceso por la utilización de esas piezas del expediente. Lo mismo cabe señalar de la misma Administración, quien por aspectos lógicos -más que evidente-, no podría alegar desconocimiento del propio expediente que debe aportar con independencia de su postura activa o pasiva en la causa, tal y como se lo impone el ordinal 52 del CPCA.</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En algunas ocasiones, el Tribunal de fondo que conoce del proceso de puro derecho advierte que existen pruebas que no fueron admitidas, y que de haberlo sido hubieran ameritado un juicio oral. Lo relevante es que en algunos supuestos, esas probanzas rechazadas en la fase de trámite, son determinantes para el abordaje de un aspecto de fondo y cuya desatención llevaría, con alto grado de probabilidad, a vicios en el criterio de fondo. Es el caso, para citar un ejemplo, de las demandas en las que se reclama, de manera principal o accesoria, daños y perjuicios, y la parte reclamante solicita prueba pericial o testimonial para la acreditación de la efectividad del daño reprochado. Puede darse el caso de que el tramitador inadmita esa prueba por estimar que es innecesaria, pero en el análisis de fondo, el Tribunal no puede tener por acreditado la existencia de la lesión, pese a que la parte en su momento ofreció la prueba que le hubiera permitido acreditar ese detrimento patrimonial. En ese escenario, es claro que la imposibilidad de demostración deriva de un criterio del juez, que lesiona por ende el derecho de la parte. En este ejemplo, se ha estilado discriminar dos supuestos:</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 xml:space="preserve">- Si el accionante, a quien se ha inadmitido ese tipo de prueba, no ejercita los recursos pertinentes contra el auto oral de rechazo de la prueba (el que debe ser planteado de inmediato de manera oral, acorde al art. 89.1 del CPCA), sea, no plantea el recurso de revocatoria ipso facto, el Tribunal entiende que declinó, por omisión, de su prueba, al no haber mostrado su interés en mantenerla. Se trata de una suerte de aplicación extensiva de la doctrina de que la nulidad ha de ser reclamada junto con los recursos que quepan contra la decisión que la produce, </w:t>
      </w:r>
      <w:r w:rsidRPr="00E10347">
        <w:rPr>
          <w:rFonts w:ascii="Palatino Linotype" w:eastAsia="Times New Roman" w:hAnsi="Palatino Linotype"/>
          <w:sz w:val="21"/>
          <w:szCs w:val="21"/>
          <w:lang w:val="es-CR"/>
        </w:rPr>
        <w:lastRenderedPageBreak/>
        <w:t xml:space="preserve">derivada del ordinal 199 del CPC y desprendible además del artículo 137.2 del CPCA que ordena la necesidad de quien alega un vicio procesal (como es el debido proceso en el contexto del CPCA -art. 137.b), de haber gestionado la rectificación del vicio. De ese modo, si el rechazo de la prueba no fue impugnado, se produce la presunción de renuncia tácita de la prueba, con el efecto procesal de rigor. </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 Por el contrario, si el actor interpuso el recurso de revocatoria contra esa inadmisión y el juez mantiene el criterio, el Tribunal puede estimar que la admisión de la prueba es necesaria, a fin de no generar indefensión a esa parte, a efectos de lo cual, pondrá en conocimiento de los litigantes su criterio de revertir la decisión del juez de trámite y dar admisibilidad a esa prueba, concediendo el respectivo espacio y oportunidad para la formulación de alegaciones. Se trata del ejercicio de las potestades autocorrectivas o de saneamiento que reconoce los mandatos 97 y 98 del CPC y que entendemos, incorporadas como una potestad intrínseca del Tribunal. De otro modo, se expondría al órgano decisor a resolver sobre la base de actuaciones precedentes que estima nulas, con la subsecuente patología en su decisión final. Por ende, el saneamiento en ese particular genera amplias bondades a la causa y tutela el debido proceso. En suma, en este caso, la prueba puede ser utilizada para la decisión de fondo.</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 xml:space="preserve">Por otra parte, cuando dentro de la prueba admitida exista una que requiera ser evacuada o practicada, el artículo 98.1 del CPCA fija la necesidad de realización de un juicio oral y público. En ese sentido, el principio de inmediación exige que la prueba sea recibida por el Tribunal Sentenciador, lo que garantiza que la decisión final será emitida por los juzgadores que tuvieron un contacto directo y personal con las probanzas. Esto sin perjuicio de lo previsto en el ordinal 84 del CPCA, que permite al juez de trámite, y por paridad de razón al Tribunal de Juicio, según la etapa procesal en que se encuentre el expediente, recibir de manera anticipada prueba que sea urgente o bien, que por algún obstáculo difícil de superar, presuma que no podrá recibirse en la audiencia respectiva. A estos supuestos debe añadirse lo estatuido por el mandato 49 del NCPC que señala que la anticipación es procedente cuando exista peligro (fundado) de imposibilidad de practicarla posteriormente o que aun pudiendo practicarla, pueda perder su eficacia. </w:t>
      </w:r>
    </w:p>
    <w:p w:rsidR="00A22DC1" w:rsidRPr="00E10347" w:rsidRDefault="00A22DC1" w:rsidP="00E10347">
      <w:pPr>
        <w:jc w:val="both"/>
        <w:rPr>
          <w:rFonts w:ascii="Palatino Linotype" w:eastAsia="Times New Roman" w:hAnsi="Palatino Linotype"/>
          <w:sz w:val="21"/>
          <w:szCs w:val="21"/>
          <w:lang w:val="es-CR"/>
        </w:rPr>
      </w:pPr>
    </w:p>
    <w:p w:rsidR="00A22DC1" w:rsidRPr="00E10347" w:rsidRDefault="00A22DC1" w:rsidP="00E10347">
      <w:pPr>
        <w:jc w:val="both"/>
        <w:rPr>
          <w:rFonts w:ascii="Palatino Linotype" w:eastAsia="Times New Roman" w:hAnsi="Palatino Linotype"/>
          <w:b/>
          <w:sz w:val="21"/>
          <w:szCs w:val="21"/>
          <w:lang w:val="es-CR"/>
        </w:rPr>
      </w:pPr>
      <w:r w:rsidRPr="00E10347">
        <w:rPr>
          <w:rFonts w:ascii="Palatino Linotype" w:eastAsia="Times New Roman" w:hAnsi="Palatino Linotype"/>
          <w:b/>
          <w:sz w:val="21"/>
          <w:szCs w:val="21"/>
          <w:lang w:val="es-CR"/>
        </w:rPr>
        <w:t xml:space="preserve">El dilema del juicio en la praxis contenciosa. </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 xml:space="preserve">Según fuese anticipado en apartes previos de este análisis, en la práctica del proceso contencioso administrativo, es frecuente que las secciones de juicio oral y </w:t>
      </w:r>
      <w:r w:rsidRPr="00E10347">
        <w:rPr>
          <w:rFonts w:ascii="Palatino Linotype" w:eastAsia="Times New Roman" w:hAnsi="Palatino Linotype"/>
          <w:sz w:val="21"/>
          <w:szCs w:val="21"/>
          <w:lang w:val="es-CR"/>
        </w:rPr>
        <w:lastRenderedPageBreak/>
        <w:t xml:space="preserve">público realicen fases de saneamiento que pretenden corregir una serie de deficiencias que a su parecer y consideración, se han dado en las etapas precedentes del proceso. La procedencia de esta práctica nos parece indudable si se considera que el Tribunal cuenta con potestades oficiosas de saneamiento. No podrían pensarse en que si el Tribunal observa incorrecciones ocurridas o pasadas por alto en la etapa de trámite, deba partir de una suerte de preclusión de análisis de esos aspectos, un consentimiento (tácito) de las partes o bien de una conformidad automática de lo acontecido en esa fase previa. Cierto es que en su oportunidad las partes deben emprender las sendas de reclamo respecto de las cuestiones que puedan producir una patología en el trámite del proceso, reclamo que según se ha apuntado antes, debe reclamarse en el momento, junto con el recurso de revocatoria que procedería contra las decisiones orales dictadas en la audiencia preliminar, y en todo caso, en orden a lo que estipula el canon 137.2 del CPCA, sería un presupuesto de base para el alegato de vicio procesal en sede casacional. Sin embargo, de observase un vicio sustancial, es menester procurar su corrección para así evitar que dicha deficiencia se traslade a las etapas ulteriores de la causa y pueda llegar a invalidar el proceso o la sentencia. </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 xml:space="preserve">Incluso, por diseño, toda sentencia advierte que no se notan deficiencias que impidan verter pronunciamiento sobre el fondo, lo que supone, que de previo a fallar, es necesario ponderar si en el expediente consta motivo alguno de nulidad que deba subsanarse para evitar la "contaminación" o traslación del vicio a la decisión final. Si esto es deber del juzgador en la sentencia, con mucho mayor razón sería aplicable a fases en las que la causa puede ser saneada, concretamente, sería aplicable al juicio como eslabón previo a la sentencia. Ejemplos pueden citarse muchos, sea, denegación de prueba admisible, indefensión por falta de comunicación de actos procesales, no recepción o resolución de defensas previas, declaratoria de rebeldía pese a contestación oportuna, aplicación indebida de las sanciones procesales previstas en los ordinales 63.3, 64.3 y 65 del CPCA, falta de integración de litisconsorte pasivo necesario, y en general, lesiones al debido proceso. Pese a que es un tema de interesante análisis, no nos ocupa en esta oportunidad, por lo que </w:t>
      </w:r>
      <w:r w:rsidR="002A76CC">
        <w:rPr>
          <w:rFonts w:ascii="Palatino Linotype" w:eastAsia="Times New Roman" w:hAnsi="Palatino Linotype"/>
          <w:sz w:val="21"/>
          <w:szCs w:val="21"/>
          <w:lang w:val="es-CR"/>
        </w:rPr>
        <w:t xml:space="preserve">solo </w:t>
      </w:r>
      <w:r w:rsidRPr="00E10347">
        <w:rPr>
          <w:rFonts w:ascii="Palatino Linotype" w:eastAsia="Times New Roman" w:hAnsi="Palatino Linotype"/>
          <w:sz w:val="21"/>
          <w:szCs w:val="21"/>
          <w:lang w:val="es-CR"/>
        </w:rPr>
        <w:t xml:space="preserve">dejamos señalada la validez de esta práctica. </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 xml:space="preserve">Nos interesa exponer el dilema que ocurre en la fase de juicio, concretamente respecto de la prueba que es admitida en la audiencia preliminar, de cara a definir aspectos que resulten relevantes, útiles, pertinentes para la emisión de la sentencia, así como de aquella que habiendo sido ofrecida en esa fase, fue rechazada y luego </w:t>
      </w:r>
      <w:r w:rsidRPr="00E10347">
        <w:rPr>
          <w:rFonts w:ascii="Palatino Linotype" w:eastAsia="Times New Roman" w:hAnsi="Palatino Linotype"/>
          <w:sz w:val="21"/>
          <w:szCs w:val="21"/>
          <w:lang w:val="es-CR"/>
        </w:rPr>
        <w:lastRenderedPageBreak/>
        <w:t xml:space="preserve">postulada en el juicio oral. En este ámbito, se parte de la base que la admisión de la prueba corresponde al juez de trámite y la evacuación al Tribunal de Juicio; empero, cabe cuestionarse la bondad de ese tratamiento en un sistema que ya a sus 10 años de operación, ha dado muestras reiteradas de falta de congruencia de criterio entre la instancia de trámite y la de juicio, llevando a que en lo que se refiere a la prueba, se produzcan una serie de circunstancias que merecen ser apuntadas. </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 xml:space="preserve">En este punto, cabe destacar que los criterios de admisión de prueba que aplica la instancia de trámite, no necesariamente encajan o engarzan con el análisis de la teoría del caso que maneja o considera el Tribunal de fondo. En efecto, al momento de admitir las probanzas, el juez de trámite realiza un análisis que en tesis de inicio debe considerar la controvertibilidad fáctica (expresa), la relevancia de los hechos y la prueba, y la pertinencia o utilidad de los elementos ofrecidos. No obstante, el análisis de ese trinomio (controvertido-pertinente-necesaria) lo realiza el juez de trámite sobre la base de su comprensión del caso, atendiendo al estudio de la demanda y su contestación. Desde ese plano, la valoración de controvertibilidad de un hecho es un tema que en principio, no daría mucha cabida a discusión, en la medida en que si el hecho es contestado de manera negativa, se tiene por controvertido y por ende, pasible de ser probado mediante el ofrecimiento respectivo. Sin embargo, en este punto debe distinguirse lo ya abordado en cuanto a los hechos no controvertidos fictos. En la medida en que el juez de trámite asuma que respecto de un hecho no cabe admisión probatoria por haberse aplicado la sanción procesal que estatuyen los ordinales 63.3, 64.3 y 65 del CPCA, limita el ofrecimiento y eventual admisión y evacuación de elementos de convicción que son necesarios en el caso, lo que puede generar que un asunto sea declarado de puro derecho, por estimar que al ser los hechos contestados afirmativamente, no cabe admitir prueba y por ende, al no existir prueba que evacuar, debe pasarse el expediente al dictado del fallo. Desde luego que tal percepción sería errada, por las razones ya explicitadas en el dilema correspondiente a este punto. </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 xml:space="preserve">De nuevo, sobre la calificación de si el hecho es controvertido o no, puede darse el caso de que el juzgador de trámite tenga un hecho bajo esta denominación, por cuanto una de las partes co-accionadas señala en su contestación que el hecho no le consta, pese a que el contenido de ese hecho en particular no se refiere en modo alguno a la parte que se opone, cuando sí a otra parte que ha señalado que acepta esa referencia. Esto ocurre en casos en los que se impugna la conducta de un órgano persona, supuesto en el que al tenor del ordinal 12.2 del CPCA, es menester la </w:t>
      </w:r>
      <w:r w:rsidRPr="00E10347">
        <w:rPr>
          <w:rFonts w:ascii="Palatino Linotype" w:eastAsia="Times New Roman" w:hAnsi="Palatino Linotype"/>
          <w:sz w:val="21"/>
          <w:szCs w:val="21"/>
          <w:lang w:val="es-CR"/>
        </w:rPr>
        <w:lastRenderedPageBreak/>
        <w:t xml:space="preserve">integración de la litisconsorcio pasiva necesaria del ente al que ese órgano pertenece. Pese a esa integración, en el detalle de la demanda, y siempre que el objeto de la causa sea únicamente la conducta del órgano persona, es evidente que los hechos se van a referir con exclusividad al comportamiento del órgano persona, que no del ente, por cuanto no se cuestiona nada de ese ente. En tal supuesto, si respecto de un hecho el órgano persona contesta afirmativamente el hecho, pero el ente señala que no le consta, cabe cuestionarse si sobre esa oposición debe tenerse el hecho por controvertido o no. A nuestro parecer no puede partirse de la base de que ese hecho sea controvertido cuando la parte respecto de la cual versa el contenido material del hecho lo ha aceptado de manera expresa. Ello lleva al dilema y riesgo de admitir pruebas respecto de hechos que la parte frente a la cual se busca oponer ese hecho y sus consecuencias jurídicas, lo ha aceptado expresamente. </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 xml:space="preserve">Por otro lado, en cuanto a la calificación de utilidad y pertinencia de la prueba en donde vemos la mayor potencialidad de divergencia de criterios entre ambas fases. En efecto, un tema particularmente sensible es la cantidad de testigos admitidos en trámite para un mismo hecho. En ese sentido, el canon 365 del CPCA establece que los litigantes podrán presentar hasta cuatro testigos sobre cada uno de los hechos que intenten demostrar, y que el juez puede reducirlos a tres o cuatro, cuando lo considere suficiente. Por su parte, el ordinal 43.1 del NCPC toma un camino diverso y estipula en su párrafo tercero que el Tribunal al admitir la prueba testimonial, podrá ampliar o reducir el número de testigos, según la trascendencia y necesidad de dicha prueba. El CPCA no incluye regla alguna sobre la cantidad de testigos a admitir para cada hecho, por lo que en aplicación de la regla de complementación del artículo 220 del CPCA, las reglas fijadas por el derecho procesal civil (y sus principios), serían las aplicables. Acá, la estimación de utilidad y necesidad desde el plano cuantitativo de los testigos admitidos genera un impacto significativo en la dinámica de la programación de los juicios orales, así como en su celebración. Es evidente que no resulta lo mismo señalar un audiencia en la que el Tribunal debe evacuar un máximo de 4 testigos, a casos en que dentro de la prueba admitida existe una cantidad considerable de testigos. Esto último impone la adopción de medidas de coordinación y de logística que inciden en la duración y el costo del proceso, siendo que en ocasiones, esa cantidad de testigos resulta innecesaria. </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 xml:space="preserve">En este plano, se da en ocasiones que la prueba admitida es abundante, pero no genera mayor relevancia al caso que se examina, o bien, era innecesaria en la </w:t>
      </w:r>
      <w:r w:rsidRPr="00E10347">
        <w:rPr>
          <w:rFonts w:ascii="Palatino Linotype" w:eastAsia="Times New Roman" w:hAnsi="Palatino Linotype"/>
          <w:sz w:val="21"/>
          <w:szCs w:val="21"/>
          <w:lang w:val="es-CR"/>
        </w:rPr>
        <w:lastRenderedPageBreak/>
        <w:t xml:space="preserve">cantidad que fue admitida. Esto ha llevado en la praxis a que respecto de un mismo hecho o conjunto de circunstancias, se admitan varios testigos y luego en la fase de práctica de la prueba, se determina que resultaba innecesario admitir semejante cantidad de deponentes, pues a partir del segundo o tercer testigo, todos los interrogatorios gravitan en torno a las mismas cuestiones, tornado esos cuestionamientos en cansinos por reiterativos y poco productivos para la determinación de elementos relevantes para el caso. En tal supuesto, parece evidente que en la medida en que la admisión de esas pruebas vino definida en la fase de audiencia preliminar, no podría el Tribunal de Juicio prescindir de alguna de esas probanzas, aún y cuando considere que es prueba fútil o superabundante, so pena de incurrir en el vicio de preterición de prueba, constitutivo de vicio de fondo, indirecto, tutelable en sede casacional acorde al precepto 138 inciso a) del CPCA. Sin embargo, ese vicio no se produciría si es la propia parte proponente de la prueba quien desiste o renuncia a la misma. Por ende, si a instancia del Tribunal o por decisión de la propia parte, decide retirar alguno de los testimonios admitidos (o varios), sin más la prueba se tiene por desistida permitiendo el avance del proceso en las acciones siguientes que correspondan. Sin embargo, si dicha renuncia no ocurre, no vemos que el Tribunal de Fondo pueda adoptar acción alguna oficiosa para reducir esa prueba ya admitida. Cabe señalar en este punto que en algunas oportunidades, se ha presentado que pese haberse admitido prueba testimonial, en la fecha del juicio la parte proponente desiste de ese elemento, transformando el juicio en un proceso en el que solamente se escucha el alegato de apertura y las conclusiones, sea, siendo en lo sustancial un proceso de puro derecho. </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 xml:space="preserve">Igual ocurre cuando se admite prueba pericial, lo que da paso a la designación del profesional para que proceda a rendir el informe respectivo, el que deberá evacuarse en la audiencia complementaria. En este supuesto, acorde al mandato 94 del CPCA, la admisión de ese tipo de probanza corresponde al juez de trámite, quien procederá, en ese sentido a la designación del profesional, su correspondiente juramentación, posterior a lo cual, requerirá a la parte proponente el depósito de los respectivos honorarios que han de ser cancelados en el plazo conferido al efecto, so pena de tener por prescindida la prueba. Una vez rendido el informe, se pone en conocimiento de las partes (art. 94.7 CPCA), a efectos de que se sirvan presentar solicitudes de aclaración y/o adición. En la praxis, dicha audiencia no permite la formulación de objeciones al dictamen pericial, reservando tal aspecto para la fase de juicio. Una vez que se haya rendido el informe, así como las </w:t>
      </w:r>
      <w:r w:rsidRPr="00E10347">
        <w:rPr>
          <w:rFonts w:ascii="Palatino Linotype" w:eastAsia="Times New Roman" w:hAnsi="Palatino Linotype"/>
          <w:sz w:val="21"/>
          <w:szCs w:val="21"/>
          <w:lang w:val="es-CR"/>
        </w:rPr>
        <w:lastRenderedPageBreak/>
        <w:t>respectivas aclaraciones y adiciones (de haberse peticionado), el juez de trámite remite el expediente a la sección de juicio que por turno corresponda, para que sea dentro de esa fase, con arreglo al mandato 105.1 del CPCA proceda a la evacuación de la pericial. En tal oportunidad, el profesional deberá asistir para exponer los aspectos relevantes de su experticia, así como para contestar las preguntas que se le formulen y rendir las aclaraciones. Incluso, de ser necesario, el Tribunal podrá ordenar que se realicen las operaciones periciales en la audiencia (art. 105.5 CPCA).</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 xml:space="preserve">El dilema que se visualiza en este punto es que dentro de un enfoque práctico y acorde a la experiencia que se presenta en los procesos contencioso administrativos, el hecho de que sea el juez de trámite quien admita y delimite los términos y aspectos sobre los cuales versa la pericia, lleva implícito el riesgo de que su lectura y ponderación de los aspectos relevantes del análisis experto, sean diversos a los que en su momento, analizado el caso, desprenda el Tribunal de Juicio. En efecto, es indudable la utilidad de la prueba pericial en el análisis de cuestiones de índole técnica que permitan la definición de hechos relevantes o el análisis técnico de determinadas circunstancias, a la luz del derecho aplicable. Desde esa óptica, el contenido de la pericia resulta fundamental para el Tribunal Decisor, mas no para la instancia de trámite, la que, se insiste, si bien ostenta una cardinal relevancia en el diseño del proceso contencioso administrativo, a fin de cuentas no es quien emite la sentencia final, la decisión del caso, para lo cual, la prueba pericial puede llegar a ser fundamental. </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 xml:space="preserve">Es en ese ámbito que apreciamos un riesgo en que la apreciación del caso y los aspectos sobre los cuales debe versar la prueba pericial, o incluso la testimonial, así como la confesional o declaración de parte, fijado a priori por la instancia de trámite, presenten una disonancia con la ponderación del caso realizada por el Tribunal de Fondo. No en pocas ocasiones se determina que la pericial admitida y fijada por el juez de trámite, debe ser ampliada hacia otros aspectos no considerados originalmente, o bien, que los términos en que fue admitida, no generan una utilidad directa al objeto de la causa. Ciertamente ello no llevaría a nulidad alguna, bastando que el Tribunal ordenara una ampliación del estudio técnico; sin embargo, ello dilata el proceso y atenta contra la celeridad del trámite, con el efecto pernicioso que ello implica. Es claro que el diseño normativo propugna por la admisión en fase de trámite y evacuación en fase de juicio, pero en la medida en que el contenido de la prueba y los aspectos para los cuales se acepta en el proceso son definidos de antemano por el juez de trámite, el Tribunal de fondo de alguna manera se </w:t>
      </w:r>
      <w:r w:rsidRPr="00E10347">
        <w:rPr>
          <w:rFonts w:ascii="Palatino Linotype" w:eastAsia="Times New Roman" w:hAnsi="Palatino Linotype"/>
          <w:sz w:val="21"/>
          <w:szCs w:val="21"/>
          <w:lang w:val="es-CR"/>
        </w:rPr>
        <w:lastRenderedPageBreak/>
        <w:t xml:space="preserve">encuentra atado a una visión del caso que puede ser que comparta o no, siendo que en la práctica, es frecuente que el Tribunal de Juicio tenga que re-orientar ese examen, cumpliendo el debido proceso claro está, y sin que pueda prescindir de esas pruebas (salvo los casos ya señalados), a fin de que pueda tutelar el deber que le imponen los ordinales 82 y 85 del CPCA, en términos de que las pruebas se constituyan en medios y herramientas efectivas para la búsqueda de la "verdad real". Lo anteriormente expuesto se maximiza si se considera la cantidad de jueces de trámite y de secciones de fondo existentes, cada una con garantía de independencia de criterio y con posturas no necesariamente iguales o similares respecto de diversos aspectos procesales. </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 xml:space="preserve">Por otro lado, esa dicotomía de visión del caso (teoría del caso) que manejan ambas instancias, insistimos, que no necesariamente congenian, de hecho, excepcionalmente sucede (pero cada vez con mayor frecuencia), que en ocasiones, en la fase de juicio oral, las partes ofrezcan como prueba para mejor resolver, elementos que en su oportunidad ofrecieron como prueba de parte, pero que fue rechazada o inadmitida en la audiencia preliminar. Reiteramos lo ya expuesto en el sentido de que pueden observarse dos posturas en este punto. Una que estime una suerte de preclusión en el ofrecimiento de pruebas y que estime que al haberse denegado en la fase competente, no es un asunto o aspecto que pueda atenderse ya en juicio. La otra, daría paso al análisis de esa admisión, aún como PMP, lo que resultaría especialmente relevante en los supuestos en la que prueba sea determinante para la decisión del caso, o bien, verse sobre un aspecto elemental de la demanda o la contestación, que de tenerse por probado o no probado, modificaría la decisión de fondo. El problema en este punto es que las pautas de admisión de la PMP no son las mismas que las de prueba de parte, tema que fuese abordado en el dilema No. 2 sobre la prueba documental extemporánea, pero en este caso referida a otro tipo de prueba evacuable. De tratarse como PMP, la simple omisión de referencia del Tribunal supone su rechazo, sin que ello implique vicio alguno, en tanto que si es tenida como prueba de parte, es menester precisar y detallar las razones por las cuales se admite o no, y de admitirse, es imperativa su valoración en sentencia. Con todo, en tal denegatoria en trámite, cabría la causal de denegación de prueba admisible, vicio procesal propio de la lesión al derecho de defensa y debido proceso. </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 xml:space="preserve">Como se ha expuesto, poca bondad existiría en un proceso en el que se niega prueba pericial para demostrar la ocurrencia y cuantía de un daño, y luego en </w:t>
      </w:r>
      <w:r w:rsidRPr="00E10347">
        <w:rPr>
          <w:rFonts w:ascii="Palatino Linotype" w:eastAsia="Times New Roman" w:hAnsi="Palatino Linotype"/>
          <w:sz w:val="21"/>
          <w:szCs w:val="21"/>
          <w:lang w:val="es-CR"/>
        </w:rPr>
        <w:lastRenderedPageBreak/>
        <w:t xml:space="preserve">sentencia se deniega la demanda al considerar que el daño no fue acreditado. Sería evidente la nulidad de esa sentencia, por un vicio que nace o se origina en la denegación de una prueba que era admisible, en la medida en que buscaba acreditar la circunstancia que el Tribunal tuvo por no probada como ratio de rechazo de las pretensiones. Lo mismo ocurriría con la negación de testigos para acreditar la intensidad de las afectaciones psico-emocionales de una persona derivadas de determinada función administrativa, bajo la comprensión (en fase de trámite) de que como el daño moral subjetivo se prueba por sí mismo (in re ipsa) no debe admitirse prueba sobre su ocurrencia, y luego se rechaza la cuantía peticionada bajo la alegación (en sentencia) de que no está probada la intensidad que se alega. O bien podría pensarse de un estudio pericial que sea determinante para establecer el momento en que la víctima se enteró de la ocurrencia del daño, lo que es determinante para el cómputo prescriptivo, así como un estudio experto para definir la existencia de causales eximentes de responsabilidad de cara a establecer ajeneidad en la causación de la lesión imputada, y luego se resuelva que siendo que competía a la accionada acreditar la ruptura del nexo causal o la ocurrencia de la prescripción, y al no haberlo hecho, se acoge la demanda. </w:t>
      </w:r>
    </w:p>
    <w:p w:rsidR="00A22DC1" w:rsidRPr="00E10347" w:rsidRDefault="00A22DC1" w:rsidP="00E10347">
      <w:pPr>
        <w:jc w:val="both"/>
        <w:rPr>
          <w:rFonts w:ascii="Palatino Linotype" w:eastAsia="Times New Roman" w:hAnsi="Palatino Linotype"/>
          <w:sz w:val="21"/>
          <w:szCs w:val="21"/>
          <w:lang w:val="es-CR"/>
        </w:rPr>
      </w:pPr>
      <w:r w:rsidRPr="00E10347">
        <w:rPr>
          <w:rFonts w:ascii="Palatino Linotype" w:eastAsia="Times New Roman" w:hAnsi="Palatino Linotype"/>
          <w:sz w:val="21"/>
          <w:szCs w:val="21"/>
          <w:lang w:val="es-CR"/>
        </w:rPr>
        <w:tab/>
        <w:t xml:space="preserve">Tales son algunas de las implicaciones que observamos en esta divergencia de apreciación de utilidad, necesidad, contenido y efectos de la admisión de pruebas evacuables en juicio. Se insiste, entendemos que la regulación actual separa ambas fases y asigna el papel de admisión de prueba a trámite y su evacuación a la etapa de juicio oral, pero la realidad ha evidenciado diferendos de criterio, con importantes implicaciones, que no pueden (ni deben) ser pasadas por alto. El tema ya ha empezado a ser objeto de análisis tanto a lo interno de la Jurisdicción Contenciosa como en el ámbito académico. A la fecha, la Comisión de lo Contencioso Administrativo, conformada por la Sala Primera de la Corte Suprema de Justicia, junto con la Coordinación General del Tribunal Contencioso, realizan importantes análisis de carácter técnico (con apoyo de las Áreas Técnicas del Poder Judicial), a fin de implementar un plan de rediseño en la jurisdicción, que permita precisamente eficientar estructuras y procesos, dentro de lo cual se pondera, la implementación de equipos de trabajo en los que, a cada sección de fondo se asigne un juez de trámite en particular, con el objeto de buscar la coordinación de criterios, lo que consideramos, es un importante esfuerzo en ese sentido. </w:t>
      </w:r>
    </w:p>
    <w:p w:rsidR="00A22DC1" w:rsidRPr="00E10347" w:rsidRDefault="00A22DC1" w:rsidP="00E10347">
      <w:pPr>
        <w:jc w:val="both"/>
        <w:rPr>
          <w:rFonts w:ascii="Palatino Linotype" w:eastAsia="Times New Roman" w:hAnsi="Palatino Linotype"/>
          <w:sz w:val="21"/>
          <w:szCs w:val="21"/>
          <w:lang w:val="es-CR"/>
        </w:rPr>
      </w:pP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sz w:val="21"/>
          <w:szCs w:val="21"/>
          <w:lang w:val="es-CR"/>
        </w:rPr>
        <w:tab/>
        <w:t xml:space="preserve">En el ámbito académico, recientemente se ha presentado la tesis para optar </w:t>
      </w:r>
      <w:r w:rsidRPr="00E10347">
        <w:rPr>
          <w:rFonts w:ascii="Palatino Linotype" w:eastAsia="Times New Roman" w:hAnsi="Palatino Linotype"/>
          <w:sz w:val="21"/>
          <w:szCs w:val="21"/>
          <w:lang w:val="es-CR"/>
        </w:rPr>
        <w:lastRenderedPageBreak/>
        <w:t>por el grado de licenciatura en derecho de la Universidad de Costa Rica, denominada "</w:t>
      </w:r>
      <w:r w:rsidRPr="00E10347">
        <w:rPr>
          <w:rFonts w:ascii="Palatino Linotype" w:eastAsia="Times New Roman" w:hAnsi="Palatino Linotype"/>
          <w:i/>
          <w:color w:val="000000"/>
          <w:sz w:val="21"/>
          <w:szCs w:val="21"/>
        </w:rPr>
        <w:t xml:space="preserve">Efectos del Ofrecimiento y de la Admisión de la Prueba en las Sentencias </w:t>
      </w:r>
      <w:r w:rsidRPr="00E10347">
        <w:rPr>
          <w:rFonts w:ascii="Palatino Linotype" w:eastAsia="Times New Roman" w:hAnsi="Palatino Linotype"/>
          <w:color w:val="000000"/>
          <w:sz w:val="21"/>
          <w:szCs w:val="21"/>
        </w:rPr>
        <w:t>de la Jurisdicción Contenciosa Administrativa</w:t>
      </w:r>
      <w:r w:rsidRPr="00E10347">
        <w:rPr>
          <w:rFonts w:ascii="Palatino Linotype" w:eastAsia="Times New Roman" w:hAnsi="Palatino Linotype"/>
          <w:color w:val="000000"/>
          <w:sz w:val="21"/>
          <w:szCs w:val="21"/>
          <w:lang w:val="es-CR"/>
        </w:rPr>
        <w:t xml:space="preserve">" (Porras Montero Susan y Rivera Leal Robert), en la que se hace un examen de las competencias propias de la fase de trámite y de juicio en la sinergia de la admisión y evacuación de la prueba. En este estudio se propone la implementación de "equipos de trabajo", sea, jueces de trámite fijos a cada sección de fondo, de suerte que se permita la coordinación de criterios, que permitan unificar criterios en cada equipo, y así evitar las diferencias de criterios y riesgos señalados. </w:t>
      </w:r>
    </w:p>
    <w:p w:rsidR="00A22DC1" w:rsidRPr="00E10347" w:rsidRDefault="00A22DC1" w:rsidP="00E10347">
      <w:pPr>
        <w:jc w:val="both"/>
        <w:rPr>
          <w:rFonts w:ascii="Palatino Linotype" w:eastAsia="Times New Roman" w:hAnsi="Palatino Linotype"/>
          <w:color w:val="000000"/>
          <w:sz w:val="21"/>
          <w:szCs w:val="21"/>
          <w:highlight w:val="yellow"/>
          <w:shd w:val="clear" w:color="auto" w:fill="FFFF00"/>
          <w:lang w:val="es-CR"/>
        </w:rPr>
      </w:pPr>
      <w:r w:rsidRPr="00E10347">
        <w:rPr>
          <w:rFonts w:ascii="Palatino Linotype" w:eastAsia="Times New Roman" w:hAnsi="Palatino Linotype"/>
          <w:color w:val="000000"/>
          <w:sz w:val="21"/>
          <w:szCs w:val="21"/>
          <w:lang w:val="es-CR"/>
        </w:rPr>
        <w:tab/>
        <w:t xml:space="preserve">Son propuestas que han de ser consideradas como posibles soluciones a esta realidad. Con todo, nos parece que el proceso contencioso ha de evolucionar a un esquema procesal similar al que opera para el proceso preferente, regulado en el ordinal 60 del CPCA, en el que a diferencia del proceso común en el que existe una audiencia preliminar y posteriormente otra de juicio, existe una sola audiencia en la que se abordan ambas cuestiones, realizadas, en tesis de principio, por el mismo Tribunal sentenciador. La bondad de este esquema procesal, es que es el mismo Tribunal de Fondo el que define la admisión de prueba y su correspondiente evacuación, lo que en inicio garantiza que los criterios de admisión se sustentan en la comprensión del caso de la instancia que resolverá el expediente y, por ende, se presume que de antemano, habiendo estudiado las posturas de las partes, sabrá orientar la admisión de prueba para la resolución definitiva del objeto del proceso. Empero, es claro que las normas que actualmente rigen el proceso no permiten tal orientación en el proceso común. De nuevo, un tema que es necesario formularse para buscar soluciones de cara al correcto y eficiente avance de las causas. </w:t>
      </w:r>
    </w:p>
    <w:p w:rsidR="00A22DC1" w:rsidRPr="00E10347" w:rsidRDefault="00A22DC1" w:rsidP="00E10347">
      <w:pPr>
        <w:jc w:val="both"/>
        <w:rPr>
          <w:rFonts w:ascii="Palatino Linotype" w:eastAsia="Times New Roman" w:hAnsi="Palatino Linotype"/>
          <w:sz w:val="21"/>
          <w:szCs w:val="21"/>
          <w:highlight w:val="yellow"/>
          <w:shd w:val="clear" w:color="auto" w:fill="FFFF00"/>
          <w:lang w:val="es-CR"/>
        </w:rPr>
      </w:pPr>
    </w:p>
    <w:p w:rsidR="00A22DC1" w:rsidRPr="00E10347" w:rsidRDefault="00A22DC1" w:rsidP="00E10347">
      <w:pPr>
        <w:rPr>
          <w:rFonts w:ascii="Palatino Linotype" w:eastAsia="Times New Roman" w:hAnsi="Palatino Linotype"/>
          <w:color w:val="000000"/>
          <w:sz w:val="21"/>
          <w:szCs w:val="21"/>
          <w:lang w:val="es-CR"/>
        </w:rPr>
      </w:pPr>
      <w:r w:rsidRPr="00E10347">
        <w:rPr>
          <w:rFonts w:ascii="Palatino Linotype" w:eastAsia="Times New Roman" w:hAnsi="Palatino Linotype"/>
          <w:b/>
          <w:color w:val="000000"/>
          <w:sz w:val="21"/>
          <w:szCs w:val="21"/>
          <w:lang w:val="es-CR"/>
        </w:rPr>
        <w:t>C.4. La competencia del juez tramitador prevista en el art. 90.2 CPCA.</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El artículo 90 del CPCA regula la estructura básica y demás aspectos que son tratados dentro de la audiencia preliminar. Dentro de este esquema, el inciso 2 de esa norma señala en su tenor literal: </w:t>
      </w:r>
    </w:p>
    <w:p w:rsidR="00A22DC1" w:rsidRPr="00E10347" w:rsidRDefault="00A22DC1" w:rsidP="00E10347">
      <w:pPr>
        <w:ind w:left="850" w:right="850"/>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w:t>
      </w:r>
      <w:r w:rsidRPr="00E10347">
        <w:rPr>
          <w:rFonts w:ascii="Palatino Linotype" w:eastAsia="Times New Roman" w:hAnsi="Palatino Linotype"/>
          <w:i/>
          <w:color w:val="000000"/>
          <w:sz w:val="21"/>
          <w:szCs w:val="21"/>
          <w:lang w:val="es-CR"/>
        </w:rPr>
        <w:t>2. Durante la audiencia, las partes podrán ofrecer otros medios de prueba que, a juicio del juez tramitador, sean de interés para la resolución del proceso y se refieran, únicamente, a hechos nuevos o a rectificaciones realizadas en la propia audiencia</w:t>
      </w:r>
      <w:r w:rsidRPr="00E10347">
        <w:rPr>
          <w:rFonts w:ascii="Palatino Linotype" w:eastAsia="Times New Roman" w:hAnsi="Palatino Linotype"/>
          <w:color w:val="000000"/>
          <w:sz w:val="21"/>
          <w:szCs w:val="21"/>
          <w:lang w:val="es-CR"/>
        </w:rPr>
        <w:t xml:space="preserve">". </w:t>
      </w:r>
    </w:p>
    <w:p w:rsidR="00A22DC1" w:rsidRPr="00E10347" w:rsidRDefault="00A22DC1" w:rsidP="0099757E">
      <w:pPr>
        <w:ind w:firstLine="708"/>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 xml:space="preserve">La norma en comentario ofrece a las partes una oportunidad para proponer elementos de prueba en una etapa diversa a la escrita del proceso contencioso </w:t>
      </w:r>
      <w:r w:rsidRPr="00E10347">
        <w:rPr>
          <w:rFonts w:ascii="Palatino Linotype" w:eastAsia="Times New Roman" w:hAnsi="Palatino Linotype"/>
          <w:color w:val="000000"/>
          <w:sz w:val="21"/>
          <w:szCs w:val="21"/>
          <w:lang w:val="es-CR"/>
        </w:rPr>
        <w:lastRenderedPageBreak/>
        <w:t xml:space="preserve">administrativo (demanda, contestación y réplica), a la vez que empodera al juez de la etapa de trámite, para que dentro de la audiencia preliminar pueda disponer la admisión de prueba fuera de las citadas oportunidades procesales. Si bien se recuerda, el artículo 58 inciso e) del CPCA ordena que la prueba de la parte demandante debe presentarse con la demanda o en el espacio de réplica (art. 70.1 CPCA), en este último supuesto, únicamente en lo relativo a la contraprueba. Por su parte, en lo que toca a la demandada, a tono con el ordinal 64.2 del CPCA le impone el deber de aportar la prueba con la contestación de la demanda. Por su lado, el artículo 50 ejusdem señala que luego de esas fases de demanda y contestación, </w:t>
      </w:r>
      <w:r w:rsidR="002A76CC">
        <w:rPr>
          <w:rFonts w:ascii="Palatino Linotype" w:eastAsia="Times New Roman" w:hAnsi="Palatino Linotype"/>
          <w:color w:val="000000"/>
          <w:sz w:val="21"/>
          <w:szCs w:val="21"/>
          <w:lang w:val="es-CR"/>
        </w:rPr>
        <w:t xml:space="preserve">solo </w:t>
      </w:r>
      <w:r w:rsidRPr="00E10347">
        <w:rPr>
          <w:rFonts w:ascii="Palatino Linotype" w:eastAsia="Times New Roman" w:hAnsi="Palatino Linotype"/>
          <w:color w:val="000000"/>
          <w:sz w:val="21"/>
          <w:szCs w:val="21"/>
          <w:lang w:val="es-CR"/>
        </w:rPr>
        <w:t>se admitirá prueba en los tres supuestos ya analizados, sea, los de fecha posterior a esos escritos, los que no haya sido imposible aportar con antelación por causas ajenas al interesado y los que sirvan para combatir excepciones o sean prueba complementaria. Este tema ya fue tratado en el DILEMA 2, precisando que el canon 50.2 ibídem, permite que este tipo de pruebas documentales pueden ofrecerse dentro de la preliminar o incluso con posterioridad.</w:t>
      </w:r>
    </w:p>
    <w:p w:rsidR="00A22DC1" w:rsidRPr="00E10347" w:rsidRDefault="00A22DC1" w:rsidP="00E10347">
      <w:pPr>
        <w:jc w:val="both"/>
        <w:rPr>
          <w:rFonts w:ascii="Palatino Linotype" w:eastAsia="Times New Roman" w:hAnsi="Palatino Linotype"/>
          <w:color w:val="000000"/>
          <w:sz w:val="21"/>
          <w:szCs w:val="21"/>
          <w:lang w:val="es-CR"/>
        </w:rPr>
      </w:pP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Hemos precisado además que en los casos de ampliación de la demanda, regulados en los preceptos 46, 54 y 68, todos del CPCA, es evidente que se abre a favor del accionado una oportunidad de ofrecimiento de pruebas, tanto en la ampliación de la demanda como en su contestación. De igual manera, ante la formulación de defensas privilegiadas (cosa juzgada, transacción, caducidad y prescripción), surge la posibilidad del accionante de ofrecer elementos y argumentos de descargo, así como la oportunidad excepcional del gestionante de la defensa de sustentarla en este tipo de elementos. Sin embargo, se insiste, el contenido del inciso 2) del artículo 90 del CPCA, fija un supuesto de excepción para presentar y admitir nuevas probanzas dentro de la preliminar. </w:t>
      </w:r>
    </w:p>
    <w:p w:rsidR="00A22DC1" w:rsidRPr="00E10347" w:rsidRDefault="00A22DC1" w:rsidP="00E10347">
      <w:pPr>
        <w:jc w:val="both"/>
        <w:rPr>
          <w:rFonts w:ascii="Palatino Linotype" w:eastAsia="Times New Roman" w:hAnsi="Palatino Linotype"/>
          <w:color w:val="000000"/>
          <w:sz w:val="21"/>
          <w:szCs w:val="21"/>
          <w:lang w:val="es-CR"/>
        </w:rPr>
      </w:pP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Ahora bien, el dilema que se plantea en este escenario es que la lectura ligera y superficial del citado mandato podría llevar al criterio (engaño) de considerar que dentro de la audiencia preliminar se abre una nueva oportunidad de aportación de cualquier prueba, bastando que la misma sea considerada útil o de interés para la resolución del caso por parte del juez de trámite. En este sentido, la norma de marras merece una lectura e interpretación más mesurada, analizando con un poco de mayor rigor, las razones que dan cabida a los supuestos de admisión de esas pruebas.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lastRenderedPageBreak/>
        <w:tab/>
        <w:t xml:space="preserve">Si bien se mira, la norma ciertamente establece la permisibilidad de ofrecimiento de otros medios de prueba. La referencia a "otros medios de prueba", permite colegir que el mandato no estatuye una posibilidad adicional de ofrecer elementos que bien pudieron haber sido presentados en la fase oportuna, sea, demanda, contestación o réplica, sino que se trata de medios de prueba diversos, por ende, que atienden a circunstancias y situaciones diferentes. En efecto, no se estima que dicha norma permita suplir la deficiencia de las partes en el cumplimiento del deber de ofrecimiento de prueba en las etapas procesales pertinentes. De otro modo, sea, de entender que el citado canon introduce a la causa la posibilidad de aportar esas pruebas cuando la demanda ya ha sido presentada y contestada, introduciría un evidente riesgo de abuso procesal y de deslealtad, al someter a la parte contraria a una sorpresiva oferta probatoria que puede alterar sustancialmente la teoría del caso y la estrategia de defensa. De ahí que la disposición deba ser analizada en el ámbito de su finalidad excepcional y los efectos que produce dentro del equilibrio procesal y del debido proceso. </w:t>
      </w:r>
    </w:p>
    <w:p w:rsidR="00A22DC1"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De esa manera, la norma señala que pueden ofrecerse otros medios de prueba, sea, distintos a los ya de por si aportados en la demanda y su respectiva contestación, pero de seguido presenta dos condicionamientos que constituyen presupuestos fundamentales y esenciales en la ponderación de admisibilidad o no de esas probanzas:</w:t>
      </w:r>
    </w:p>
    <w:p w:rsidR="00C72A23" w:rsidRPr="00E10347" w:rsidRDefault="00C72A23" w:rsidP="00E10347">
      <w:pPr>
        <w:jc w:val="both"/>
        <w:rPr>
          <w:rFonts w:ascii="Palatino Linotype" w:eastAsia="Times New Roman" w:hAnsi="Palatino Linotype"/>
          <w:color w:val="000000"/>
          <w:sz w:val="21"/>
          <w:szCs w:val="21"/>
          <w:lang w:val="es-CR"/>
        </w:rPr>
      </w:pP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r>
      <w:r w:rsidRPr="00E10347">
        <w:rPr>
          <w:rFonts w:ascii="Palatino Linotype" w:eastAsia="Times New Roman" w:hAnsi="Palatino Linotype"/>
          <w:b/>
          <w:color w:val="000000"/>
          <w:sz w:val="21"/>
          <w:szCs w:val="21"/>
          <w:lang w:val="es-CR"/>
        </w:rPr>
        <w:t>a)</w:t>
      </w:r>
      <w:r w:rsidRPr="00E10347">
        <w:rPr>
          <w:rFonts w:ascii="Palatino Linotype" w:eastAsia="Times New Roman" w:hAnsi="Palatino Linotype"/>
          <w:color w:val="000000"/>
          <w:sz w:val="21"/>
          <w:szCs w:val="21"/>
          <w:lang w:val="es-CR"/>
        </w:rPr>
        <w:t xml:space="preserve"> Por una parte, establece que esas nuevas pruebas, deben ser de interés para la resolución del proceso, lo que obliga a la proponente a argumentar su relevancia, pertinencia y utilidad de cara a la teoría del caso que se ha establecido en la línea de defensa. Aunado a ello, la norma si bien señala la posibilidad de que las partes propongan nuevas pruebas, en definitiva, la valoración de si la prueba cumple con tales condiciones de utilidad, pertinencia y relevancia, corresponde de manera exclusiva al juzgador de trámite. Se impone acá el examen finalista e instrumental que ya fuese comentado, a propósito del artículo 90.3 del CPCA.</w:t>
      </w:r>
    </w:p>
    <w:p w:rsidR="00C72A23" w:rsidRDefault="00C72A23" w:rsidP="00E10347">
      <w:pPr>
        <w:jc w:val="both"/>
        <w:rPr>
          <w:rFonts w:ascii="Palatino Linotype" w:eastAsia="Times New Roman" w:hAnsi="Palatino Linotype"/>
          <w:color w:val="000000"/>
          <w:sz w:val="21"/>
          <w:szCs w:val="21"/>
          <w:lang w:val="es-CR"/>
        </w:rPr>
      </w:pP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r>
      <w:r w:rsidRPr="00E10347">
        <w:rPr>
          <w:rFonts w:ascii="Palatino Linotype" w:eastAsia="Times New Roman" w:hAnsi="Palatino Linotype"/>
          <w:b/>
          <w:color w:val="000000"/>
          <w:sz w:val="21"/>
          <w:szCs w:val="21"/>
          <w:lang w:val="es-CR"/>
        </w:rPr>
        <w:t>b)</w:t>
      </w:r>
      <w:r w:rsidRPr="00E10347">
        <w:rPr>
          <w:rFonts w:ascii="Palatino Linotype" w:eastAsia="Times New Roman" w:hAnsi="Palatino Linotype"/>
          <w:color w:val="000000"/>
          <w:sz w:val="21"/>
          <w:szCs w:val="21"/>
          <w:lang w:val="es-CR"/>
        </w:rPr>
        <w:t xml:space="preserve"> Pero no basta que la prueba sea considerada de interés por el juzgador. La misma norma de seguido estipula una condición concurrente, acumulativa, que no disyuntiva, cual es, que esos nuevos (otros) medios de prueba, se refieran, únicamente, a hechos nuevos o a rectificaciones realizadas en la propia audiencia. En este aparte, de la comprensión integral de la norma se denota que aunado a que </w:t>
      </w:r>
      <w:r w:rsidRPr="00E10347">
        <w:rPr>
          <w:rFonts w:ascii="Palatino Linotype" w:eastAsia="Times New Roman" w:hAnsi="Palatino Linotype"/>
          <w:color w:val="000000"/>
          <w:sz w:val="21"/>
          <w:szCs w:val="21"/>
          <w:lang w:val="es-CR"/>
        </w:rPr>
        <w:lastRenderedPageBreak/>
        <w:t>la prueba sea de interés al proceso, su admisibilidad depende de que verse sobre hechos nuevos o modificaciones concretadas en la propia audiencia. Fuera de tales supuestos, aún y cuando la prueba pudiese considerarse útil, la norma en cuestión no daría cabida a que pudiera tenerse como prueba de parte válidamente ofrecida, sino concurre alguno de esos supuestos, o bien, en el caso de la documental, los aludidos en el numeral 50.2 del CPCA. Así, el criterio del juzgador en cuanto a la admisión de esas nuevas pruebas, necesariamente ha de ponderar la concurrencia de ambas situaciones y no solamente de una de ellas. Si la prueba es respecto de hechos nuevos o cuestiones surgidas de la audiencia, aún en ese caso, no emerge de manera automática la pertinencia de admisión, pues sería de rigor analizar si la prueba es de interés para la causa. De igual manera, pese a ser de interés, la admisión de la prueba acorde a esta norma, exige de aquella otra condición.</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En este supuesto, podría alegarse que el ordinal 82.1 del CPCA señala como principio rector de la prueba que el juez debe ordenar y practicar todas las diligencias de prueba necesarias para determinar la verdad real de los hechos relevantes del proceso. Sin embargo, ese precepto lejos se encuentra de constituirse en una "carta abierta" para que las partes a su antojo desatiendan deberes procesales y momentos específicos para cumplir con determinadas cargas que le son inherentes dentro del proceso, como tampoco puede considerarse como un mandato que legitime al juez para suplir la deficiencia de la parte en cuanto a su deber de aportar los elementos de prueba en el momento en que por diseño debe hacerlo. El proceso contencioso, como todo proceso, es una serie concatenada y secuencial de etapas y fases, cada una con una finalidad específica, presupuesto una de la otra, y atadas por el fin común de resolver la controversia sometida a la jurisdicción. Empero, ello no releva a las partes de sus cargas y obligaciones dentro de este tipo de contiendas (de exigido patrocinio letrado), y de la aplicación de principios de rogación y de preclusión que ordenan y orientan la causa. De otro modo, poco o nulo sentido tendría la fase escrita de este proceso contencioso administrativo y la fijación normativa de episodios específicos para aportar prueba, si se considerar que sin más ni más, pese a no haber ofrecido prueba en su oportunidad, puede postularse la prueba en la preliminar, bajo el alegato de que la prueba es de interés y debe buscarse la verdad real.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Como se ha señalado, las partes prueban los hechos y el juez, luego de valorar las pruebas (las aportadas por las partes), aplica el Derecho. El papel del juez no debe suplir las deficiencias de las partes, o sus indolencias, pues tal proceder por </w:t>
      </w:r>
      <w:r w:rsidRPr="00E10347">
        <w:rPr>
          <w:rFonts w:ascii="Palatino Linotype" w:eastAsia="Times New Roman" w:hAnsi="Palatino Linotype"/>
          <w:color w:val="000000"/>
          <w:sz w:val="21"/>
          <w:szCs w:val="21"/>
          <w:lang w:val="es-CR"/>
        </w:rPr>
        <w:lastRenderedPageBreak/>
        <w:t xml:space="preserve">tesis de principio, beneficia a una parte, en desmedro de los derechos de la otra o viceversa. Si tal rigor de equilibrio se impone en el requerimiento de la PMP, con mucha mayor razón ha de privar en este tipo de aplicaciones.  Se reitera, de otro modo, se potencia el abuso procesal, la mala fe entre las partes, y el desequilibrio amparado en tratos permisivos, antagónicos con el rigor técnico de este tipo de causas.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Pese a lo expuesto, cabe advertir que toda decisión de admisión o rechazo de prueba ha de ser debidamente motivada, con la expresión de las razones que han llevado a ese parecer, lo que viene a ser impostergable para tutelar el derecho de impugnación de la parte disconforme. Tan ilegitimo proceder es admitir prueba al amparo de esta norma, sin que cumpla con los presupuestos señalados, como su rechazo pese a cumplir con esas exigencias. Con todo, debemos señalar que ante el rechazo de la prueba propuesta, pervive la posibilidad de ofrecer esos elementos como PMP, pero en tal caso, debe el juez analizar la procedencia de esa admisión, para lo cual, nos parece, debe ponderar lo anteriormente expuesto en cuanto a los límites que la jurisprudencia de la Sala Primera de Casación ha establecido en cuanto a este tipo de probanza.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En suma, es papel del juez de trámite, guardar el debido equilibrio procesal y tutelar el debido proceso, aspectos que estimamos, debe orientar su proceder en la aplicación de este artículo 90.2 del CPCA, bajo el riesgo de incurrir en abusos e inequidades que restan legitimidad y contundencia al proceso que nos ocupa. Este postulado es igualmente aplicable a la temática de la declaratoria de rebeldía, pues si bien el ordinal 93.1 del CPCA señala que en este caso de la rebeldía, el juez, previa valoración de las circunstancias, podrá admitir u ordenar la que estime necesaria, la aplicación abierta de esta norma podría llevar a desconocer los efectos procesales de la rebeldía. Esto ya que de desconocer que la etapa debida para presentar las pruebas por parte del accionado es con la contestación de la demanda, y permitir que el rebelde se apersone a la etapa de trámite a proponer sus probanzas (las que sea), generaría, a nuestro modo de ver, una suerte de desigualdad y una posibilidad de tácticas sorpresivas propias de una deslealtad procesal. En este plano, acorde al ordinal 65 del CPCA, el rebelde puede apersonarse al proceso en cualquier tiempo, pero la misma norma señala que tomará el proceso en el estado que se encuentre. Ello implica, a nuestro parecer, que la oportunidad que concede el ordinal 93 comentado, no debe entenderse como una carta abierta que permita al rebelde superar la desidia que mostró frente a la demanda, de suerte que se encuentre </w:t>
      </w:r>
      <w:r w:rsidRPr="00E10347">
        <w:rPr>
          <w:rFonts w:ascii="Palatino Linotype" w:eastAsia="Times New Roman" w:hAnsi="Palatino Linotype"/>
          <w:color w:val="000000"/>
          <w:sz w:val="21"/>
          <w:szCs w:val="21"/>
          <w:lang w:val="es-CR"/>
        </w:rPr>
        <w:lastRenderedPageBreak/>
        <w:t xml:space="preserve">habilitado para apersonarse a la audiencia preliminar a realizar actos que tuvo que haber concretado en etapas previas, pues de otro modo, no tomaría el proceso en la etapa que se encuentra en ese momento, si se aceptara que puede aportar prueba que debía ofrecer con antelación.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En concreto, la presentación de elementos de prueba por parte del rebelde debe analizarse y aplicarse con un enfoque excepcional y restrictivo, pues de otro modo, se insiste, se cohonestaría la dejadez hacia la causa, y no tendría mayor sentido, desde el plano de las cargas de la prueba, establecer episodios concretos para el ofrecimiento de esta. Se vaciaría de contenido sustancial, por ejemplo, el ordinal 50 del CPCA, pues si se interpreta que aún la restricción de ofrecer prueba documental solamente en la demanda y su contestación (y el espacio de réplica), no tendría sentido imponer en el ordinal 50 ejusdem, supuestos excepcionales de admisibilidad de pruebas documentales (mal denominadas "extemporánea"), cuando de todas maneras, basta ser rebelde para ofrecer cualquier prueba bajo la alegación de que es necesaria para la resolución del caso. A nuestro juicio, aún en este caso de la rebeldía, el análisis de admisión de pruebas debe ponderar este tipo de preclusiones de etapas, y ponderar la posibilidad de aporte probatorio en los términos de los cánones 50 y 90.2 del CPCA, ya comentados, sin que pueda entenderse que esta norma (93) permite prescindir de la rigurosidad y efectos que se imponen en las etapas previas del proceso. Las implicaciones para la igualdad procesal y el debido proceso son indudables, sin que pueda invocarse la máxima de defensa material como fundamento de una interpretación y aplicación abierta de esa norma, cuando ha sido el mismo accionado quien ha procurado, con su inadvertencia, esa consecuencia procesal. No existe por tanto razón o mérito alguno para conceder al rebelde un trato preferente en la dinámica de la oferta de prueba; han de aplicarse por tanto las mismas pautas y reglas que se han comentado previamente. </w:t>
      </w:r>
    </w:p>
    <w:p w:rsidR="00A22DC1" w:rsidRPr="00E10347" w:rsidRDefault="00A22DC1" w:rsidP="00E10347">
      <w:pPr>
        <w:jc w:val="both"/>
        <w:rPr>
          <w:rFonts w:ascii="Palatino Linotype" w:eastAsia="Times New Roman" w:hAnsi="Palatino Linotype"/>
          <w:color w:val="000000"/>
          <w:sz w:val="21"/>
          <w:szCs w:val="21"/>
          <w:lang w:val="es-CR"/>
        </w:rPr>
      </w:pPr>
      <w:r w:rsidRPr="00E10347">
        <w:rPr>
          <w:rFonts w:ascii="Palatino Linotype" w:eastAsia="Times New Roman" w:hAnsi="Palatino Linotype"/>
          <w:color w:val="000000"/>
          <w:sz w:val="21"/>
          <w:szCs w:val="21"/>
          <w:lang w:val="es-CR"/>
        </w:rPr>
        <w:tab/>
        <w:t xml:space="preserve">Dejamos planteadas así cuatro ideas básicas, superficiales, sobre dilemas en relación con la prueba en el proceso contencioso administrativo, como inicio de un análisis crítico que esperamos, se desarrolle en lo sucesivo. Desde luego que son temas por demás debatibles, proclives a posturas diversas, como todo en el derecho. A fin de cuentas, el aporte que pretende este ensayo es la discusión y el debate de cuestiones de incidencia práctica en el proceso, y a partir de esto, iniciar una fase de conjeturas y refutaciones (K. Popper) que permitan un abordaje serio (y en serio) de estos temas, como presupuesto de mejores regulaciones y aplicaciones del derecho, </w:t>
      </w:r>
      <w:r w:rsidRPr="00E10347">
        <w:rPr>
          <w:rFonts w:ascii="Palatino Linotype" w:eastAsia="Times New Roman" w:hAnsi="Palatino Linotype"/>
          <w:color w:val="000000"/>
          <w:sz w:val="21"/>
          <w:szCs w:val="21"/>
          <w:lang w:val="es-CR"/>
        </w:rPr>
        <w:lastRenderedPageBreak/>
        <w:t xml:space="preserve">criterios básicos para el mejoramiento del proceso y de la justicia administrativa. Simplemente, ideas para tener en cuenta (P. Haba) en una discusión cada vez más necesaria de este tipo de temas. </w:t>
      </w:r>
    </w:p>
    <w:p w:rsidR="00A22DC1" w:rsidRPr="00E10347" w:rsidRDefault="00A22DC1" w:rsidP="00E10347">
      <w:pPr>
        <w:ind w:firstLine="709"/>
        <w:jc w:val="center"/>
        <w:rPr>
          <w:rFonts w:ascii="Palatino Linotype" w:hAnsi="Palatino Linotype"/>
          <w:b/>
          <w:smallCaps/>
          <w:sz w:val="21"/>
          <w:szCs w:val="21"/>
        </w:rPr>
        <w:sectPr w:rsidR="00A22DC1" w:rsidRPr="00E10347" w:rsidSect="00FC1DF6">
          <w:headerReference w:type="even" r:id="rId49"/>
          <w:headerReference w:type="default" r:id="rId50"/>
          <w:type w:val="oddPage"/>
          <w:pgSz w:w="12240" w:h="15840" w:code="1"/>
          <w:pgMar w:top="1667" w:right="851" w:bottom="4253" w:left="3686" w:header="1021" w:footer="3005" w:gutter="0"/>
          <w:cols w:space="708"/>
          <w:titlePg/>
          <w:docGrid w:linePitch="360"/>
        </w:sectPr>
      </w:pPr>
    </w:p>
    <w:p w:rsidR="00563A13" w:rsidRPr="00E10347" w:rsidRDefault="00563A13" w:rsidP="00E10347">
      <w:pPr>
        <w:ind w:firstLine="709"/>
        <w:jc w:val="center"/>
        <w:rPr>
          <w:rFonts w:ascii="Palatino Linotype" w:hAnsi="Palatino Linotype"/>
          <w:b/>
          <w:smallCaps/>
          <w:sz w:val="21"/>
          <w:szCs w:val="21"/>
        </w:rPr>
      </w:pPr>
      <w:r w:rsidRPr="00E10347">
        <w:rPr>
          <w:rFonts w:ascii="Palatino Linotype" w:hAnsi="Palatino Linotype"/>
          <w:b/>
          <w:smallCaps/>
          <w:sz w:val="21"/>
          <w:szCs w:val="21"/>
        </w:rPr>
        <w:lastRenderedPageBreak/>
        <w:t xml:space="preserve">Conflictos Probatorios Entre El CPCA, LGAP y NCPC </w:t>
      </w:r>
    </w:p>
    <w:p w:rsidR="00563A13" w:rsidRPr="00E10347" w:rsidRDefault="00563A13" w:rsidP="00E10347">
      <w:pPr>
        <w:ind w:firstLine="709"/>
        <w:jc w:val="center"/>
        <w:rPr>
          <w:rFonts w:ascii="Palatino Linotype" w:hAnsi="Palatino Linotype"/>
          <w:b/>
          <w:smallCaps/>
          <w:sz w:val="21"/>
          <w:szCs w:val="21"/>
        </w:rPr>
      </w:pPr>
      <w:r w:rsidRPr="00E10347">
        <w:rPr>
          <w:rFonts w:ascii="Palatino Linotype" w:hAnsi="Palatino Linotype"/>
          <w:b/>
          <w:smallCaps/>
          <w:sz w:val="21"/>
          <w:szCs w:val="21"/>
        </w:rPr>
        <w:t xml:space="preserve">¿Cómo Solucionarlos? </w:t>
      </w:r>
    </w:p>
    <w:p w:rsidR="00563A13" w:rsidRDefault="00563A13" w:rsidP="00E10347">
      <w:pPr>
        <w:ind w:firstLine="709"/>
        <w:jc w:val="center"/>
        <w:rPr>
          <w:rFonts w:ascii="Palatino Linotype" w:hAnsi="Palatino Linotype"/>
          <w:smallCaps/>
          <w:sz w:val="21"/>
          <w:szCs w:val="21"/>
        </w:rPr>
      </w:pPr>
      <w:r w:rsidRPr="00E10347">
        <w:rPr>
          <w:rFonts w:ascii="Palatino Linotype" w:hAnsi="Palatino Linotype"/>
          <w:smallCaps/>
          <w:sz w:val="21"/>
          <w:szCs w:val="21"/>
        </w:rPr>
        <w:t>Por:</w:t>
      </w:r>
      <w:r w:rsidRPr="00E10347">
        <w:rPr>
          <w:rFonts w:ascii="Palatino Linotype" w:hAnsi="Palatino Linotype"/>
          <w:b/>
          <w:smallCaps/>
          <w:sz w:val="21"/>
          <w:szCs w:val="21"/>
        </w:rPr>
        <w:t xml:space="preserve"> </w:t>
      </w:r>
      <w:r w:rsidRPr="00E10347">
        <w:rPr>
          <w:rFonts w:ascii="Palatino Linotype" w:hAnsi="Palatino Linotype"/>
          <w:smallCaps/>
          <w:sz w:val="21"/>
          <w:szCs w:val="21"/>
        </w:rPr>
        <w:t>Luis A. Ortiz Zamora</w:t>
      </w:r>
      <w:r w:rsidRPr="00E10347">
        <w:rPr>
          <w:rStyle w:val="Refdenotaalpie"/>
          <w:rFonts w:ascii="Palatino Linotype" w:hAnsi="Palatino Linotype"/>
          <w:smallCaps/>
          <w:sz w:val="21"/>
          <w:szCs w:val="21"/>
        </w:rPr>
        <w:footnoteReference w:id="390"/>
      </w:r>
    </w:p>
    <w:p w:rsidR="00A05EF6" w:rsidRDefault="00A05EF6" w:rsidP="00A05EF6">
      <w:pPr>
        <w:rPr>
          <w:rFonts w:ascii="Palatino Linotype" w:hAnsi="Palatino Linotype"/>
          <w:smallCaps/>
          <w:sz w:val="21"/>
          <w:szCs w:val="21"/>
        </w:rPr>
      </w:pPr>
    </w:p>
    <w:p w:rsidR="00A05EF6" w:rsidRDefault="00A05EF6" w:rsidP="00A05EF6">
      <w:pPr>
        <w:rPr>
          <w:rFonts w:ascii="Palatino Linotype" w:hAnsi="Palatino Linotype"/>
          <w:sz w:val="21"/>
          <w:szCs w:val="21"/>
        </w:rPr>
      </w:pPr>
      <w:r w:rsidRPr="00D1279A">
        <w:rPr>
          <w:rFonts w:ascii="Palatino Linotype" w:hAnsi="Palatino Linotype"/>
          <w:smallCaps/>
          <w:sz w:val="21"/>
          <w:szCs w:val="21"/>
        </w:rPr>
        <w:t xml:space="preserve">SUMARIO:  </w:t>
      </w:r>
      <w:r w:rsidRPr="00D1279A">
        <w:rPr>
          <w:rFonts w:ascii="Palatino Linotype" w:hAnsi="Palatino Linotype"/>
          <w:sz w:val="21"/>
          <w:szCs w:val="21"/>
        </w:rPr>
        <w:t>1.- Introducción.  2.- Regulación actual de la prueba en el proceso contencioso-administrativo.  A.- Iniciativa probatoria.  B.- Procedimiento probatorio.  C.- Medios de prueba.  3.- Particularidades del procedimiento administrativo y el proceso contencioso administrativo respecto del proceso civil.  4.- Procedimiento administrativo.  5.- Proceso contencioso administrativo.  6.- ¿Supletoriedad del código procesal civil y/o nuevo Código Procesal Civil? ¿hasta dónde?  Conclusión</w:t>
      </w:r>
    </w:p>
    <w:p w:rsidR="00A05EF6" w:rsidRPr="00E10347" w:rsidRDefault="00A05EF6" w:rsidP="00A05EF6">
      <w:pPr>
        <w:rPr>
          <w:rFonts w:ascii="Palatino Linotype" w:hAnsi="Palatino Linotype"/>
          <w:b/>
          <w:smallCaps/>
          <w:sz w:val="21"/>
          <w:szCs w:val="21"/>
        </w:rPr>
      </w:pPr>
    </w:p>
    <w:p w:rsidR="00563A13" w:rsidRPr="00E10347" w:rsidRDefault="00E338DC" w:rsidP="00E10347">
      <w:pPr>
        <w:pStyle w:val="BodyText21"/>
        <w:overflowPunct/>
        <w:autoSpaceDE/>
        <w:autoSpaceDN/>
        <w:adjustRightInd/>
        <w:rPr>
          <w:rFonts w:ascii="Palatino Linotype" w:hAnsi="Palatino Linotype" w:cs="Arial"/>
          <w:b/>
          <w:bCs/>
          <w:smallCaps/>
          <w:sz w:val="21"/>
          <w:szCs w:val="21"/>
          <w:lang w:val="es-ES"/>
        </w:rPr>
      </w:pPr>
      <w:r w:rsidRPr="00E10347">
        <w:rPr>
          <w:rFonts w:ascii="Palatino Linotype" w:hAnsi="Palatino Linotype" w:cs="Arial"/>
          <w:b/>
          <w:bCs/>
          <w:smallCaps/>
          <w:sz w:val="21"/>
          <w:szCs w:val="21"/>
          <w:lang w:val="es-ES"/>
        </w:rPr>
        <w:t xml:space="preserve">1.- </w:t>
      </w:r>
      <w:r w:rsidR="00563A13" w:rsidRPr="00E10347">
        <w:rPr>
          <w:rFonts w:ascii="Palatino Linotype" w:hAnsi="Palatino Linotype" w:cs="Arial"/>
          <w:b/>
          <w:bCs/>
          <w:smallCaps/>
          <w:sz w:val="21"/>
          <w:szCs w:val="21"/>
          <w:lang w:val="es-ES"/>
        </w:rPr>
        <w:t>Introducción</w:t>
      </w:r>
    </w:p>
    <w:p w:rsidR="00563A13" w:rsidRPr="00E10347" w:rsidRDefault="00563A13" w:rsidP="00E10347">
      <w:pPr>
        <w:pStyle w:val="BodyText21"/>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 xml:space="preserve">Desde el momento en que aparece el hombre, y éste decide agruparse en cualquier forma de vínculo social, se genera un contacto o convivencia del que se puede derivar un beneficio o un daño. Cuando se genera un daño, el orden social queda alterado, pues se quebrantan las bases de la convivencia y, por tanto, se ha de proceder al resarcimiento del daño. El restablecimiento de ese daño lleva aparejado, entonces, la puesta en práctica de una serie de pruebas en donde la divinidad no podía permanecer indiferente y había de determinar la culpabilidad del ofensor, pues de esa manera se lograban dos objetivos: aplacar la ira de los dioses y el restablecimiento del daño causado. </w:t>
      </w:r>
    </w:p>
    <w:p w:rsidR="00563A13" w:rsidRPr="00E10347" w:rsidRDefault="00563A13" w:rsidP="00E10347">
      <w:pPr>
        <w:pStyle w:val="BodyText21"/>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lastRenderedPageBreak/>
        <w:t xml:space="preserve">Cuando en los primeros estadios de una sociedad se delegaba en la divinidad para que fuera ésta la que señalara el camino de la verdad, dicha indicación tenía doble valor: por proceder de la divinidad y además por provenir del pasado. El mito descrito era entonces el que, en las civilizaciones antiguas, devolvía la paz social al grupo cuando el orden había sido quebrantado. Se concebía que, si el mito regía los fenómenos naturales, pues también debía regir las conciencias, y dado que se le atribuía cierta infalibilidad a la decisión mítica, cuando ésta se había expresado, ya no había vuelta atrás. </w:t>
      </w:r>
    </w:p>
    <w:p w:rsidR="00563A13" w:rsidRPr="00E10347" w:rsidRDefault="00563A13" w:rsidP="00E10347">
      <w:pPr>
        <w:pStyle w:val="BodyText21"/>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 xml:space="preserve">Pues bien, de conformidad con lo que viene señalado, resulta lógico que, en las sociedades míticas, la Ordalía o juicios de Dios fuesen el camino medio entre la prueba y la sanción, puesto que al ponerse en práctica aquella se intentaba, precisamente, encontrar la verdad del hecho. Ello así, la Ordalía como prueba judicial aparecería recogida en el Código de Hammurabi, en libros sagrados de China, en el Ramayana y en Birmania. Asimismo, se han detectado variantes ordálicas en el continente africano (la extinta Alejandría, beduinos), donde el testimonio de autores como Hesíodo o Virgilio así lo acreditan, mientras que también existen registros de que Australia e Inglaterra practicaban esta prueba irracional. </w:t>
      </w:r>
    </w:p>
    <w:p w:rsidR="00563A13" w:rsidRPr="00E10347" w:rsidRDefault="00563A13" w:rsidP="00E10347">
      <w:pPr>
        <w:pStyle w:val="BodyText21"/>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 xml:space="preserve">En la Alta Edad Media, la Ordalía adquiriría notoria intensidad, siendo recogida en los fueros, sobre todo el juramento y el duelo. El juramento – sea poner a Dios por testigo de lo declarado en juicio - se utilizaba tanto para las partes como para los testigos. De esta forma, no se valoraba la verdad objetiva del hecho sino el propio peso de la conciencia, pues quien se arriesgaba a mentir se enfrentaba al perjurio, pero sobre todo al castigo ultra terrenal, lo que a la postre era el peor de los temores. </w:t>
      </w:r>
    </w:p>
    <w:p w:rsidR="00563A13" w:rsidRPr="00E10347" w:rsidRDefault="00563A13" w:rsidP="00E10347">
      <w:pPr>
        <w:pStyle w:val="BodyText21"/>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 xml:space="preserve">Ahora bien, a finales del siglo XII y principios del XIII, se produciría en Europa el fenómeno jurídico de la Recepción Romano-Canónica, que consistiría en la introducción del Derecho romano como disciplina autónoma. Con el estudio del Derecho en las Universidades se abriría, pues, un proceso de tecnificación, que haría que a partir de ese momento quienes supieran de leyes y de su manejo fuesen a su vez los que entendían de letras, es decir “los letrados”.  </w:t>
      </w:r>
    </w:p>
    <w:p w:rsidR="00563A13" w:rsidRPr="00E10347" w:rsidRDefault="00563A13" w:rsidP="00E10347">
      <w:pPr>
        <w:pStyle w:val="BodyText21"/>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 xml:space="preserve">De consuno con ello, la Ordalía también tendió a desaparecer, puesto que se evolucionaría de una justicia privada, de auto tutela, con casi nula intervención del poder público, a una justicia pública, más técnica, en la que se detectaba con más intensidad la intervención del poder público, y su cada vez mayor acaparamiento </w:t>
      </w:r>
      <w:r w:rsidRPr="00E10347">
        <w:rPr>
          <w:rFonts w:ascii="Palatino Linotype" w:hAnsi="Palatino Linotype" w:cs="Arial"/>
          <w:bCs/>
          <w:sz w:val="21"/>
          <w:szCs w:val="21"/>
          <w:lang w:val="es-ES"/>
        </w:rPr>
        <w:lastRenderedPageBreak/>
        <w:t xml:space="preserve">de funciones. De esta forma, el paso de un tipo de justicia a otro incidió decididamente en el proceso, y por ende en la prueba, que tendería, a partir de ese momento, a racionalizarse y objetivarse. </w:t>
      </w:r>
    </w:p>
    <w:p w:rsidR="00563A13" w:rsidRPr="00E10347" w:rsidRDefault="00563A13" w:rsidP="00E10347">
      <w:pPr>
        <w:pStyle w:val="BodyText21"/>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 xml:space="preserve">En conclusión, con la Recepción Romano-Canónica, se asistiría a una evolución en el Derecho probatorio, pasando de un sistema irracional a otro racional o tasado en el que: </w:t>
      </w:r>
    </w:p>
    <w:p w:rsidR="00563A13" w:rsidRPr="00E10347" w:rsidRDefault="00563A13" w:rsidP="00E10347">
      <w:pPr>
        <w:pStyle w:val="BodyText21"/>
        <w:numPr>
          <w:ilvl w:val="0"/>
          <w:numId w:val="6"/>
        </w:numPr>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El conocimiento del Derecho va siendo más técnico y especializado.</w:t>
      </w:r>
    </w:p>
    <w:p w:rsidR="00563A13" w:rsidRPr="00E10347" w:rsidRDefault="00563A13" w:rsidP="00E10347">
      <w:pPr>
        <w:pStyle w:val="BodyText21"/>
        <w:numPr>
          <w:ilvl w:val="0"/>
          <w:numId w:val="6"/>
        </w:numPr>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 xml:space="preserve">Las partes del proceso se conforman de una manera más compleja, con excepciones, recursos, etc., por lo que se hacen necesarios expertos, quienes, dado su conocimiento superior, se vuelven imprescindibles en todo el entramado judicial. </w:t>
      </w:r>
    </w:p>
    <w:p w:rsidR="00563A13" w:rsidRPr="00E10347" w:rsidRDefault="00563A13" w:rsidP="00E10347">
      <w:pPr>
        <w:pStyle w:val="BodyText21"/>
        <w:numPr>
          <w:ilvl w:val="0"/>
          <w:numId w:val="6"/>
        </w:numPr>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 xml:space="preserve">El factor humano ganaría terreno a la presencia de la divinidad, pues la decisión ahora quedaba en manos del hombre y no de la divinidad. Así, se evolucionaría de jueces legos a profesionales, con información científica, lo que a la postre incidiría en el proceso. </w:t>
      </w:r>
    </w:p>
    <w:p w:rsidR="00563A13" w:rsidRPr="00E10347" w:rsidRDefault="00563A13" w:rsidP="00E10347">
      <w:pPr>
        <w:pStyle w:val="BodyText21"/>
        <w:numPr>
          <w:ilvl w:val="0"/>
          <w:numId w:val="6"/>
        </w:numPr>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Al evolucionarse de una justicia privada a una pública, las pruebas eran valoradas por un tercero conforme con criterios más objetivos.</w:t>
      </w:r>
      <w:r w:rsidRPr="00E10347">
        <w:rPr>
          <w:rStyle w:val="Refdenotaalpie"/>
          <w:rFonts w:ascii="Palatino Linotype" w:eastAsiaTheme="majorEastAsia" w:hAnsi="Palatino Linotype" w:cs="Arial"/>
          <w:sz w:val="21"/>
          <w:szCs w:val="21"/>
        </w:rPr>
        <w:footnoteReference w:id="391"/>
      </w:r>
    </w:p>
    <w:p w:rsidR="00563A13" w:rsidRPr="00E10347" w:rsidRDefault="00563A13" w:rsidP="00E10347">
      <w:pPr>
        <w:pStyle w:val="BodyText21"/>
        <w:overflowPunct/>
        <w:autoSpaceDE/>
        <w:autoSpaceDN/>
        <w:adjustRightInd/>
        <w:ind w:left="-142"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 xml:space="preserve">Este somero repaso histórico nos da cuenta, no solo de la retardada evolución que ha tenido la prueba para convertirse en un instrumento racional de los jueces para decidir, sino también de la complejidad que tiene dar luz a una teoría general de la prueba que permita al Juez Hércules de </w:t>
      </w:r>
      <w:r w:rsidRPr="00E10347">
        <w:rPr>
          <w:rFonts w:ascii="Palatino Linotype" w:hAnsi="Palatino Linotype" w:cs="Arial"/>
          <w:bCs/>
          <w:smallCaps/>
          <w:sz w:val="21"/>
          <w:szCs w:val="21"/>
          <w:lang w:val="es-ES"/>
        </w:rPr>
        <w:t>Dworkin</w:t>
      </w:r>
      <w:r w:rsidRPr="00E10347">
        <w:rPr>
          <w:rStyle w:val="Refdenotaalpie"/>
          <w:rFonts w:ascii="Palatino Linotype" w:eastAsiaTheme="majorEastAsia" w:hAnsi="Palatino Linotype" w:cs="Arial"/>
          <w:smallCaps/>
          <w:sz w:val="21"/>
          <w:szCs w:val="21"/>
        </w:rPr>
        <w:footnoteReference w:id="392"/>
      </w:r>
      <w:r w:rsidRPr="00E10347">
        <w:rPr>
          <w:rFonts w:ascii="Palatino Linotype" w:hAnsi="Palatino Linotype" w:cs="Arial"/>
          <w:bCs/>
          <w:smallCaps/>
          <w:sz w:val="21"/>
          <w:szCs w:val="21"/>
          <w:lang w:val="es-ES"/>
        </w:rPr>
        <w:t xml:space="preserve"> </w:t>
      </w:r>
      <w:r w:rsidRPr="00E10347">
        <w:rPr>
          <w:rFonts w:ascii="Palatino Linotype" w:hAnsi="Palatino Linotype" w:cs="Arial"/>
          <w:bCs/>
          <w:sz w:val="21"/>
          <w:szCs w:val="21"/>
          <w:lang w:val="es-ES"/>
        </w:rPr>
        <w:t xml:space="preserve">desentrañar la verdad real de </w:t>
      </w:r>
      <w:r w:rsidRPr="00E10347">
        <w:rPr>
          <w:rFonts w:ascii="Palatino Linotype" w:hAnsi="Palatino Linotype" w:cs="Arial"/>
          <w:bCs/>
          <w:sz w:val="21"/>
          <w:szCs w:val="21"/>
          <w:lang w:val="es-ES"/>
        </w:rPr>
        <w:lastRenderedPageBreak/>
        <w:t>los hechos.</w:t>
      </w:r>
      <w:r w:rsidRPr="00E10347">
        <w:rPr>
          <w:rStyle w:val="Refdenotaalpie"/>
          <w:rFonts w:ascii="Palatino Linotype" w:eastAsiaTheme="majorEastAsia" w:hAnsi="Palatino Linotype" w:cs="Arial"/>
          <w:sz w:val="21"/>
          <w:szCs w:val="21"/>
        </w:rPr>
        <w:footnoteReference w:id="393"/>
      </w:r>
      <w:r w:rsidRPr="00E10347">
        <w:rPr>
          <w:rFonts w:ascii="Palatino Linotype" w:hAnsi="Palatino Linotype" w:cs="Arial"/>
          <w:bCs/>
          <w:sz w:val="21"/>
          <w:szCs w:val="21"/>
          <w:lang w:val="es-ES"/>
        </w:rPr>
        <w:t xml:space="preserve"> Y es que, si la decisión final de un conflicto depende de poder trasladar a la mente del juez las razones que justifican las peticiones de las partes</w:t>
      </w:r>
      <w:r w:rsidRPr="00E10347">
        <w:rPr>
          <w:rStyle w:val="Refdenotaalpie"/>
          <w:rFonts w:ascii="Palatino Linotype" w:eastAsiaTheme="majorEastAsia" w:hAnsi="Palatino Linotype" w:cs="Arial"/>
          <w:sz w:val="21"/>
          <w:szCs w:val="21"/>
        </w:rPr>
        <w:footnoteReference w:id="394"/>
      </w:r>
      <w:r w:rsidRPr="00E10347">
        <w:rPr>
          <w:rFonts w:ascii="Palatino Linotype" w:hAnsi="Palatino Linotype" w:cs="Arial"/>
          <w:bCs/>
          <w:sz w:val="21"/>
          <w:szCs w:val="21"/>
          <w:lang w:val="es-ES"/>
        </w:rPr>
        <w:t>, es claro que, en el campo de batalla, que es el proceso, no se logra ello recurriendo a la adivinación, echándolo a suertes, leyendo las hojas de té, mediante un duelo judicial o por algún otro medio irracional e incontrolable, sino sobre la base de los medios de prueba que deben ser apropiadamente ofrecidos, admitidos y presentados</w:t>
      </w:r>
      <w:r w:rsidRPr="00E10347">
        <w:rPr>
          <w:rStyle w:val="Refdenotaalpie"/>
          <w:rFonts w:ascii="Palatino Linotype" w:eastAsiaTheme="majorEastAsia" w:hAnsi="Palatino Linotype" w:cs="Arial"/>
          <w:sz w:val="21"/>
          <w:szCs w:val="21"/>
        </w:rPr>
        <w:footnoteReference w:id="395"/>
      </w:r>
      <w:r w:rsidRPr="00E10347">
        <w:rPr>
          <w:rFonts w:ascii="Palatino Linotype" w:hAnsi="Palatino Linotype" w:cs="Arial"/>
          <w:bCs/>
          <w:sz w:val="21"/>
          <w:szCs w:val="21"/>
          <w:lang w:val="es-ES"/>
        </w:rPr>
        <w:t>. Es tanta la importancia de las pruebas en el proceso que, sin exagerar, puede decirse son las laderas que el hombre que no tiene alas debe escalar para alcanzar la justicia, cual roca situada en la cima de un monte</w:t>
      </w:r>
      <w:r w:rsidRPr="00E10347">
        <w:rPr>
          <w:rStyle w:val="Refdenotaalpie"/>
          <w:rFonts w:ascii="Palatino Linotype" w:eastAsiaTheme="majorEastAsia" w:hAnsi="Palatino Linotype" w:cs="Arial"/>
          <w:sz w:val="21"/>
          <w:szCs w:val="21"/>
        </w:rPr>
        <w:footnoteReference w:id="396"/>
      </w:r>
      <w:r w:rsidRPr="00E10347">
        <w:rPr>
          <w:rFonts w:ascii="Palatino Linotype" w:hAnsi="Palatino Linotype" w:cs="Arial"/>
          <w:bCs/>
          <w:sz w:val="21"/>
          <w:szCs w:val="21"/>
          <w:lang w:val="es-ES"/>
        </w:rPr>
        <w:t xml:space="preserve">, según el símil de Carnelutti.  </w:t>
      </w:r>
    </w:p>
    <w:p w:rsidR="00467BDB" w:rsidRDefault="00563A13" w:rsidP="00467BDB">
      <w:pPr>
        <w:pStyle w:val="BodyText21"/>
        <w:overflowPunct/>
        <w:autoSpaceDE/>
        <w:autoSpaceDN/>
        <w:adjustRightInd/>
        <w:ind w:left="-142"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 xml:space="preserve">Pues bien, a partir de la aprobación del Código Procesal Contencioso Administrativo (CPCA) se ha abierto un intenso e inacabado debate sobre la aplicación supletoria o no del Código Procesal Civil (CPC); debate del que tampoco ha estado exenta la aplicación supletoria del CPC a los procedimientos administrativos, principalmente regulados por el Libro II de la Ley General de la Administración Pública (LGAP) y otras leyes especiales. Como veremos, no son pocos los que aplican mecánicamente el CPC, incluso a contrapelo de la esencia y fines del proceso y procedimiento que, respectivamente, norman el CPCA y la LGAP. Ahora, </w:t>
      </w:r>
      <w:r w:rsidRPr="00E10347">
        <w:rPr>
          <w:rFonts w:ascii="Palatino Linotype" w:hAnsi="Palatino Linotype" w:cs="Arial"/>
          <w:bCs/>
          <w:sz w:val="21"/>
          <w:szCs w:val="21"/>
          <w:lang w:val="es-ES"/>
        </w:rPr>
        <w:lastRenderedPageBreak/>
        <w:t>con la aprobación del Nuevo Código Procesal Civil (NCPC), viene a bien analizar cuál es su espacio de influencia, en lo atinente a la prueba</w:t>
      </w:r>
      <w:r w:rsidRPr="00E10347">
        <w:rPr>
          <w:rStyle w:val="Refdenotaalpie"/>
          <w:rFonts w:ascii="Palatino Linotype" w:eastAsiaTheme="majorEastAsia" w:hAnsi="Palatino Linotype" w:cs="Arial"/>
          <w:sz w:val="21"/>
          <w:szCs w:val="21"/>
        </w:rPr>
        <w:footnoteReference w:id="397"/>
      </w:r>
      <w:r w:rsidRPr="00E10347">
        <w:rPr>
          <w:rFonts w:ascii="Palatino Linotype" w:hAnsi="Palatino Linotype" w:cs="Arial"/>
          <w:bCs/>
          <w:sz w:val="21"/>
          <w:szCs w:val="21"/>
          <w:lang w:val="es-ES"/>
        </w:rPr>
        <w:t>, sobre todo para intentar atisbar, si quiera, posibles soluciones a los choques e interrelaciones que sin duda seguirán dándose entre los tres cuerpos n</w:t>
      </w:r>
      <w:r w:rsidR="00467BDB">
        <w:rPr>
          <w:rFonts w:ascii="Palatino Linotype" w:hAnsi="Palatino Linotype" w:cs="Arial"/>
          <w:bCs/>
          <w:sz w:val="21"/>
          <w:szCs w:val="21"/>
          <w:lang w:val="es-ES"/>
        </w:rPr>
        <w:t xml:space="preserve">ormativos: LGAP, CPCA y NCPC.  </w:t>
      </w:r>
    </w:p>
    <w:p w:rsidR="00467BDB" w:rsidRDefault="00467BDB" w:rsidP="00467BDB">
      <w:pPr>
        <w:pStyle w:val="BodyText21"/>
        <w:overflowPunct/>
        <w:autoSpaceDE/>
        <w:autoSpaceDN/>
        <w:adjustRightInd/>
        <w:ind w:left="-142"/>
        <w:rPr>
          <w:rFonts w:ascii="Palatino Linotype" w:hAnsi="Palatino Linotype" w:cs="Arial"/>
          <w:bCs/>
          <w:sz w:val="21"/>
          <w:szCs w:val="21"/>
          <w:lang w:val="es-ES"/>
        </w:rPr>
      </w:pPr>
    </w:p>
    <w:p w:rsidR="00467BDB" w:rsidRDefault="00E338DC" w:rsidP="00467BDB">
      <w:pPr>
        <w:pStyle w:val="BodyText21"/>
        <w:overflowPunct/>
        <w:autoSpaceDE/>
        <w:autoSpaceDN/>
        <w:adjustRightInd/>
        <w:ind w:left="-142"/>
        <w:rPr>
          <w:rFonts w:ascii="Palatino Linotype" w:hAnsi="Palatino Linotype" w:cs="Arial"/>
          <w:bCs/>
          <w:sz w:val="21"/>
          <w:szCs w:val="21"/>
          <w:lang w:val="es-ES"/>
        </w:rPr>
      </w:pPr>
      <w:r w:rsidRPr="00E10347">
        <w:rPr>
          <w:rFonts w:ascii="Palatino Linotype" w:hAnsi="Palatino Linotype" w:cs="Arial"/>
          <w:b/>
          <w:bCs/>
          <w:smallCaps/>
          <w:sz w:val="21"/>
          <w:szCs w:val="21"/>
          <w:lang w:val="es-ES"/>
        </w:rPr>
        <w:t xml:space="preserve">2.- </w:t>
      </w:r>
      <w:r w:rsidR="00563A13" w:rsidRPr="00E10347">
        <w:rPr>
          <w:rFonts w:ascii="Palatino Linotype" w:hAnsi="Palatino Linotype" w:cs="Arial"/>
          <w:b/>
          <w:bCs/>
          <w:smallCaps/>
          <w:sz w:val="21"/>
          <w:szCs w:val="21"/>
          <w:lang w:val="es-ES"/>
        </w:rPr>
        <w:t>Regulación Actual De La Prueba En El Proceso Contencioso-Administrativo</w:t>
      </w:r>
    </w:p>
    <w:p w:rsidR="00353409" w:rsidRPr="00467BDB" w:rsidRDefault="00E338DC" w:rsidP="00467BDB">
      <w:pPr>
        <w:pStyle w:val="BodyText21"/>
        <w:overflowPunct/>
        <w:autoSpaceDE/>
        <w:autoSpaceDN/>
        <w:adjustRightInd/>
        <w:ind w:left="-142"/>
        <w:rPr>
          <w:rFonts w:ascii="Palatino Linotype" w:hAnsi="Palatino Linotype" w:cs="Arial"/>
          <w:bCs/>
          <w:sz w:val="21"/>
          <w:szCs w:val="21"/>
          <w:lang w:val="es-ES"/>
        </w:rPr>
      </w:pPr>
      <w:r w:rsidRPr="00E10347">
        <w:rPr>
          <w:rFonts w:ascii="Palatino Linotype" w:hAnsi="Palatino Linotype" w:cs="Arial"/>
          <w:b/>
          <w:bCs/>
          <w:smallCaps/>
          <w:sz w:val="21"/>
          <w:szCs w:val="21"/>
          <w:lang w:val="es-ES"/>
        </w:rPr>
        <w:t>a</w:t>
      </w:r>
      <w:r w:rsidR="00353409" w:rsidRPr="00E10347">
        <w:rPr>
          <w:rFonts w:ascii="Palatino Linotype" w:hAnsi="Palatino Linotype" w:cs="Arial"/>
          <w:b/>
          <w:bCs/>
          <w:smallCaps/>
          <w:sz w:val="21"/>
          <w:szCs w:val="21"/>
          <w:lang w:val="es-ES"/>
        </w:rPr>
        <w:t>.- Iniciativa Probatoria</w:t>
      </w:r>
    </w:p>
    <w:p w:rsidR="00563A13" w:rsidRPr="00E10347" w:rsidRDefault="00563A13" w:rsidP="00E10347">
      <w:pPr>
        <w:pStyle w:val="BodyText21"/>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La visión humanista y aspiración a la justicia que impregnan al CPCA</w:t>
      </w:r>
      <w:r w:rsidRPr="00E10347">
        <w:rPr>
          <w:rStyle w:val="Refdenotaalpie"/>
          <w:rFonts w:ascii="Palatino Linotype" w:eastAsiaTheme="majorEastAsia" w:hAnsi="Palatino Linotype" w:cs="Arial"/>
          <w:sz w:val="21"/>
          <w:szCs w:val="21"/>
        </w:rPr>
        <w:footnoteReference w:id="398"/>
      </w:r>
      <w:r w:rsidRPr="00E10347">
        <w:rPr>
          <w:rFonts w:ascii="Palatino Linotype" w:hAnsi="Palatino Linotype" w:cs="Arial"/>
          <w:bCs/>
          <w:sz w:val="21"/>
          <w:szCs w:val="21"/>
          <w:lang w:val="es-ES"/>
        </w:rPr>
        <w:t xml:space="preserve">, justifican el hecho de que en su artículo 82.1 se les confiera a los jueces poder de iniciativa probatoria. En este sentido, señala dicho numeral que los jueces ordenarán y practicarán todas las diligencias de prueba necesarias para determinar la verdad real de los hechos relevantes en el proceso. Sobre el particular ha señalado la Sala Primera de la Corte Suprema de Justicia: </w:t>
      </w:r>
    </w:p>
    <w:p w:rsidR="00563A13" w:rsidRPr="00E10347" w:rsidRDefault="00563A13" w:rsidP="00E10347">
      <w:pPr>
        <w:pStyle w:val="BodyText21"/>
        <w:overflowPunct/>
        <w:autoSpaceDE/>
        <w:autoSpaceDN/>
        <w:adjustRightInd/>
        <w:ind w:left="1418" w:right="900"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“Desde este punto de vista, en la dinámica probatoria, todos los sujetos del proceso asumen un rol particularmente activo, pues a las partes se les asigna la carga y función probatoria principal que a ellas corresponde en defensa de sus particulares posiciones. Pero el juez también puede adoptar, facultativamente, importantes mecanismos oficiosos que le permitan allegar al conflicto jurisdiccional elementos relevantes que clarifiquen cualquier hecho que estime pertinente para la definición del caso…”</w:t>
      </w:r>
      <w:r w:rsidRPr="00E10347">
        <w:rPr>
          <w:rStyle w:val="Refdenotaalpie"/>
          <w:rFonts w:ascii="Palatino Linotype" w:eastAsiaTheme="majorEastAsia" w:hAnsi="Palatino Linotype" w:cs="Arial"/>
          <w:sz w:val="21"/>
          <w:szCs w:val="21"/>
        </w:rPr>
        <w:footnoteReference w:id="399"/>
      </w:r>
    </w:p>
    <w:p w:rsidR="00563A13" w:rsidRPr="00E10347" w:rsidRDefault="00563A13" w:rsidP="00E10347">
      <w:pPr>
        <w:pStyle w:val="BodyText21"/>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 xml:space="preserve">Con todo, también es menester resaltar que la Sala Primera de la Corte Suprema de Justicia ha entendido que la facultad que tienen los jueces contenciosos administrativos de ordenar prueba oficiosa no supone que deban sustituir o </w:t>
      </w:r>
      <w:r w:rsidRPr="00E10347">
        <w:rPr>
          <w:rFonts w:ascii="Palatino Linotype" w:hAnsi="Palatino Linotype" w:cs="Arial"/>
          <w:bCs/>
          <w:sz w:val="21"/>
          <w:szCs w:val="21"/>
          <w:lang w:val="es-ES"/>
        </w:rPr>
        <w:lastRenderedPageBreak/>
        <w:t>enmendar los defectos o deficiencias de los medios probatorios oportunamente ofrecidos por los litigantes, sobre todo cuando están en plena posibilidad de anticipar su necesidad y pertinencia. Dentro de esta ideología, ha dicho la Sala:</w:t>
      </w:r>
    </w:p>
    <w:p w:rsidR="00563A13" w:rsidRPr="00E10347" w:rsidRDefault="00563A13" w:rsidP="00E10347">
      <w:pPr>
        <w:pStyle w:val="BodyText21"/>
        <w:overflowPunct/>
        <w:autoSpaceDE/>
        <w:autoSpaceDN/>
        <w:adjustRightInd/>
        <w:ind w:left="1418" w:right="900"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“…el juez debe procurar evacuar otros medios probatorios que sean necesarios, si del debate y contradictorio, a partir de la contención y de los hechos que vayan invocando los litigantes, resultan indispensables y su requerimiento no podía anticiparse de previo al debate. Pero la figura de la prueba oficiosa no está ideada con el fin de hacer residir en el juez la carga de la prueba.”</w:t>
      </w:r>
      <w:r w:rsidRPr="00E10347">
        <w:rPr>
          <w:rStyle w:val="Refdenotaalpie"/>
          <w:rFonts w:ascii="Palatino Linotype" w:eastAsiaTheme="majorEastAsia" w:hAnsi="Palatino Linotype" w:cs="Arial"/>
          <w:sz w:val="21"/>
          <w:szCs w:val="21"/>
        </w:rPr>
        <w:footnoteReference w:id="400"/>
      </w:r>
      <w:r w:rsidRPr="00E10347">
        <w:rPr>
          <w:rFonts w:ascii="Palatino Linotype" w:hAnsi="Palatino Linotype" w:cs="Arial"/>
          <w:bCs/>
          <w:sz w:val="21"/>
          <w:szCs w:val="21"/>
          <w:lang w:val="es-ES"/>
        </w:rPr>
        <w:t xml:space="preserve">  </w:t>
      </w:r>
    </w:p>
    <w:p w:rsidR="00563A13" w:rsidRPr="00E10347" w:rsidRDefault="00563A13" w:rsidP="00E10347">
      <w:pPr>
        <w:pStyle w:val="BodyText21"/>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De igual forma, el numeral 93.3 del mismo Código determina la potestad del juez tramitador para ordenar la recepción de cualquier prueba no ofrecida por los partes, en el tanto y cuanto resulte indispensable o manifiestamente útil para esclarecer la verdad real de los hechos controvertidos</w:t>
      </w:r>
    </w:p>
    <w:p w:rsidR="00563A13" w:rsidRPr="00E10347" w:rsidRDefault="00563A13" w:rsidP="00E10347">
      <w:pPr>
        <w:pStyle w:val="BodyText21"/>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 xml:space="preserve">Adicionalmente, el canon 110 le permite al Tribunal de Juicio, al momento mismo de la deliberación, ordenar la recepción de nuevas pruebas o de ampliar las incorporadas, en cuyo caso debe disponer la reapertura del debate. </w:t>
      </w:r>
    </w:p>
    <w:p w:rsidR="00563A13" w:rsidRPr="00E10347" w:rsidRDefault="00563A13" w:rsidP="00E10347">
      <w:pPr>
        <w:pStyle w:val="BodyText21"/>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 xml:space="preserve">Finalmente, el numeral 148 faculta a la Sala Primera o al Tribunal de Casación para que ordenen cualquier prueba o diligencia para mejor resolver el recurso interpuesto. </w:t>
      </w:r>
    </w:p>
    <w:p w:rsidR="00563A13" w:rsidRPr="00E10347" w:rsidRDefault="00563A13" w:rsidP="00E10347">
      <w:pPr>
        <w:pStyle w:val="BodyText21"/>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 xml:space="preserve">De manera que, en el proceso contencioso administrativo, además de corresponderle la carga de la prueba a quien formule una pretensión, respecto a las afirmaciones de los hechos constitutivos de su derecho, y/o a quien se oponga a una pretensión, en cuanto a las afirmaciones de hechos impeditivos, modificativos o extintivos del derecho del actor, también corresponde a los jueces una carga probatoria que podríamos denominar supletoria respecto de los elementos probatorios que resulten indispensables para el esclarecimiento de la verdad real de los hechos y cuyo requerimiento no podía anticiparse de previo al debate. </w:t>
      </w:r>
    </w:p>
    <w:p w:rsidR="00467BDB" w:rsidRDefault="00467BDB" w:rsidP="00E10347">
      <w:pPr>
        <w:pStyle w:val="BodyText21"/>
        <w:overflowPunct/>
        <w:autoSpaceDE/>
        <w:autoSpaceDN/>
        <w:adjustRightInd/>
        <w:rPr>
          <w:rFonts w:ascii="Palatino Linotype" w:hAnsi="Palatino Linotype" w:cs="Arial"/>
          <w:b/>
          <w:bCs/>
          <w:smallCaps/>
          <w:sz w:val="21"/>
          <w:szCs w:val="21"/>
          <w:lang w:val="es-ES"/>
        </w:rPr>
      </w:pPr>
    </w:p>
    <w:p w:rsidR="00563A13" w:rsidRPr="00E10347" w:rsidRDefault="00353409" w:rsidP="00E10347">
      <w:pPr>
        <w:pStyle w:val="BodyText21"/>
        <w:overflowPunct/>
        <w:autoSpaceDE/>
        <w:autoSpaceDN/>
        <w:adjustRightInd/>
        <w:rPr>
          <w:rFonts w:ascii="Palatino Linotype" w:hAnsi="Palatino Linotype" w:cs="Arial"/>
          <w:b/>
          <w:bCs/>
          <w:smallCaps/>
          <w:sz w:val="21"/>
          <w:szCs w:val="21"/>
          <w:lang w:val="es-ES"/>
        </w:rPr>
      </w:pPr>
      <w:r w:rsidRPr="00E10347">
        <w:rPr>
          <w:rFonts w:ascii="Palatino Linotype" w:hAnsi="Palatino Linotype" w:cs="Arial"/>
          <w:b/>
          <w:bCs/>
          <w:smallCaps/>
          <w:sz w:val="21"/>
          <w:szCs w:val="21"/>
          <w:lang w:val="es-ES"/>
        </w:rPr>
        <w:t>B.- Procedimiento Probatorio</w:t>
      </w:r>
    </w:p>
    <w:p w:rsidR="00563A13" w:rsidRPr="00E10347" w:rsidRDefault="00563A13" w:rsidP="00E10347">
      <w:pPr>
        <w:pStyle w:val="BodyText21"/>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lastRenderedPageBreak/>
        <w:t xml:space="preserve">En el artículo 50 del CPCA se establece que después de la demanda y contestación no se admitirán más documentos, salvo: </w:t>
      </w:r>
    </w:p>
    <w:p w:rsidR="00563A13" w:rsidRPr="00E10347" w:rsidRDefault="00563A13" w:rsidP="00E10347">
      <w:pPr>
        <w:pStyle w:val="BodyText21"/>
        <w:numPr>
          <w:ilvl w:val="1"/>
          <w:numId w:val="1"/>
        </w:numPr>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 xml:space="preserve">Los de fecha posterior a dichos escritos. </w:t>
      </w:r>
    </w:p>
    <w:p w:rsidR="00563A13" w:rsidRPr="00E10347" w:rsidRDefault="00563A13" w:rsidP="00E10347">
      <w:pPr>
        <w:pStyle w:val="BodyText21"/>
        <w:numPr>
          <w:ilvl w:val="1"/>
          <w:numId w:val="1"/>
        </w:numPr>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 xml:space="preserve">Los que no haya sido posible aportar con anterioridad, por causas que no sean imputables a la parte interesada. </w:t>
      </w:r>
    </w:p>
    <w:p w:rsidR="00563A13" w:rsidRPr="00E10347" w:rsidRDefault="00563A13" w:rsidP="00E10347">
      <w:pPr>
        <w:pStyle w:val="BodyText21"/>
        <w:numPr>
          <w:ilvl w:val="1"/>
          <w:numId w:val="1"/>
        </w:numPr>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 xml:space="preserve">Los que, no siendo fundamento de la demanda, sirvan para combatir excepciones del demandado o constituyan una prueba complementaria. </w:t>
      </w:r>
      <w:r w:rsidRPr="00E10347">
        <w:rPr>
          <w:rFonts w:ascii="Palatino Linotype" w:hAnsi="Palatino Linotype" w:cs="Arial"/>
          <w:bCs/>
          <w:sz w:val="21"/>
          <w:szCs w:val="21"/>
          <w:lang w:val="es-ES"/>
        </w:rPr>
        <w:tab/>
      </w:r>
    </w:p>
    <w:p w:rsidR="00563A13" w:rsidRPr="00E10347" w:rsidRDefault="00563A13" w:rsidP="00E10347">
      <w:pPr>
        <w:pStyle w:val="BodyText21"/>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Así pues, si bien las oportunidades propicias para ofrecer prueba en el proceso contencioso administrativo, al igual que en el civil, son la demanda</w:t>
      </w:r>
      <w:r w:rsidRPr="00E10347">
        <w:rPr>
          <w:rStyle w:val="Refdenotaalpie"/>
          <w:rFonts w:ascii="Palatino Linotype" w:eastAsiaTheme="majorEastAsia" w:hAnsi="Palatino Linotype" w:cs="Arial"/>
          <w:sz w:val="21"/>
          <w:szCs w:val="21"/>
        </w:rPr>
        <w:footnoteReference w:id="401"/>
      </w:r>
      <w:r w:rsidRPr="00E10347">
        <w:rPr>
          <w:rFonts w:ascii="Palatino Linotype" w:hAnsi="Palatino Linotype" w:cs="Arial"/>
          <w:bCs/>
          <w:sz w:val="21"/>
          <w:szCs w:val="21"/>
          <w:lang w:val="es-ES"/>
        </w:rPr>
        <w:t xml:space="preserve"> y su contestación</w:t>
      </w:r>
      <w:r w:rsidRPr="00E10347">
        <w:rPr>
          <w:rStyle w:val="Refdenotaalpie"/>
          <w:rFonts w:ascii="Palatino Linotype" w:eastAsiaTheme="majorEastAsia" w:hAnsi="Palatino Linotype" w:cs="Arial"/>
          <w:sz w:val="21"/>
          <w:szCs w:val="21"/>
        </w:rPr>
        <w:footnoteReference w:id="402"/>
      </w:r>
      <w:r w:rsidRPr="00E10347">
        <w:rPr>
          <w:rFonts w:ascii="Palatino Linotype" w:hAnsi="Palatino Linotype" w:cs="Arial"/>
          <w:bCs/>
          <w:sz w:val="21"/>
          <w:szCs w:val="21"/>
          <w:lang w:val="es-ES"/>
        </w:rPr>
        <w:t xml:space="preserve">, lo cierto es que también se faculta a las partes para ofrecer prueba documental hasta antes de concluida la audiencia preliminar, en el tanto y cuanto se cumplan con los requerimientos del artículo 50, e incluso aquellos documentos que sean presentados con posterioridad pueden ser valorados por el Tribunal de Juicio como prueba para mejor resolver, a su entera discreción.   </w:t>
      </w:r>
    </w:p>
    <w:p w:rsidR="00563A13" w:rsidRPr="00E10347" w:rsidRDefault="00563A13" w:rsidP="00E10347">
      <w:pPr>
        <w:pStyle w:val="BodyText21"/>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A mayor abundamiento, el cardinal 90.2 del mismo cuerpo legal deja abierta otra oportunidad procesal para ofrecer prueba no documental, cuando indica que durante la audiencia preliminar, las partes tienen el derecho de ofrecer “otros medios de prueba”, siempre que éstos se refieran a “hechos nuevos o a rectificaciones realizadas en la propia audiencia”.</w:t>
      </w:r>
      <w:r w:rsidRPr="00E10347">
        <w:rPr>
          <w:rStyle w:val="Refdenotaalpie"/>
          <w:rFonts w:ascii="Palatino Linotype" w:eastAsiaTheme="majorEastAsia" w:hAnsi="Palatino Linotype" w:cs="Arial"/>
          <w:sz w:val="21"/>
          <w:szCs w:val="21"/>
        </w:rPr>
        <w:footnoteReference w:id="403"/>
      </w:r>
      <w:r w:rsidRPr="00E10347">
        <w:rPr>
          <w:rFonts w:ascii="Palatino Linotype" w:hAnsi="Palatino Linotype" w:cs="Arial"/>
          <w:bCs/>
          <w:sz w:val="21"/>
          <w:szCs w:val="21"/>
          <w:lang w:val="es-ES"/>
        </w:rPr>
        <w:t xml:space="preserve"> </w:t>
      </w:r>
    </w:p>
    <w:p w:rsidR="00563A13" w:rsidRPr="00E10347" w:rsidRDefault="00563A13" w:rsidP="00E10347">
      <w:pPr>
        <w:pStyle w:val="BodyText21"/>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lastRenderedPageBreak/>
        <w:t xml:space="preserve">Finalmente, el 145 </w:t>
      </w:r>
      <w:r w:rsidRPr="00E10347">
        <w:rPr>
          <w:rFonts w:ascii="Palatino Linotype" w:hAnsi="Palatino Linotype" w:cs="Arial"/>
          <w:bCs/>
          <w:i/>
          <w:sz w:val="21"/>
          <w:szCs w:val="21"/>
          <w:lang w:val="es-ES"/>
        </w:rPr>
        <w:t xml:space="preserve">iusjudem </w:t>
      </w:r>
      <w:r w:rsidRPr="00E10347">
        <w:rPr>
          <w:rFonts w:ascii="Palatino Linotype" w:hAnsi="Palatino Linotype" w:cs="Arial"/>
          <w:bCs/>
          <w:sz w:val="21"/>
          <w:szCs w:val="21"/>
          <w:lang w:val="es-ES"/>
        </w:rPr>
        <w:t>le permite al casacionista aportar prueba documental que jure no haber conocido con anterioridad, sobre hechos nuevos o posteriores a la sentencia recurrida</w:t>
      </w:r>
    </w:p>
    <w:p w:rsidR="00563A13" w:rsidRPr="00E10347" w:rsidRDefault="00563A13" w:rsidP="00E10347">
      <w:pPr>
        <w:pStyle w:val="BodyText21"/>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Ahora bien, la admisión de la prueba es propia de la audiencia preliminar. El artículo 90.1). e) del CPCA determina que en la audiencia preliminar se resolverá, en forma oral, entre otras: “La determinación de los hechos controvertidos y con trascendencia para la resolución del caso y que deben ser objeto de prueba.” Como complemento de ello, el mismo 90.3) señala que también se resolverá en dicha audiencia “la admisión de los elementos probatorios ofrecidos, cuando así proceda, se rechazarán los que sean evidentemente impertinentes o inconducentes, y se dispondrá el señalamiento y diligenciamiento de los que correspondan.”</w:t>
      </w:r>
    </w:p>
    <w:p w:rsidR="00563A13" w:rsidRPr="00E10347" w:rsidRDefault="00563A13" w:rsidP="00E10347">
      <w:pPr>
        <w:pStyle w:val="BodyText21"/>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 xml:space="preserve">En cuanto a las reglas de admisión de la prueba es el numeral 93 </w:t>
      </w:r>
      <w:r w:rsidRPr="00E10347">
        <w:rPr>
          <w:rFonts w:ascii="Palatino Linotype" w:hAnsi="Palatino Linotype" w:cs="Arial"/>
          <w:bCs/>
          <w:i/>
          <w:sz w:val="21"/>
          <w:szCs w:val="21"/>
          <w:lang w:val="es-ES"/>
        </w:rPr>
        <w:t xml:space="preserve">iusjudem </w:t>
      </w:r>
      <w:r w:rsidRPr="00E10347">
        <w:rPr>
          <w:rFonts w:ascii="Palatino Linotype" w:hAnsi="Palatino Linotype" w:cs="Arial"/>
          <w:bCs/>
          <w:sz w:val="21"/>
          <w:szCs w:val="21"/>
          <w:lang w:val="es-ES"/>
        </w:rPr>
        <w:t xml:space="preserve">la norma que resulta aplicable. En este sentido, establece la norma que no será admisible la prueba cuando exista conformidad acerca de los hechos, salvo que se haya dado por rebeldía del demandado, mientras que sí será admisible cuando exista disconformidad en cuanto a los hechos y estos sean de indudable trascendencia para la resolución del caso, a juicio de los jueces. </w:t>
      </w:r>
    </w:p>
    <w:p w:rsidR="00563A13" w:rsidRPr="00E10347" w:rsidRDefault="00563A13" w:rsidP="00E10347">
      <w:pPr>
        <w:pStyle w:val="BodyText21"/>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La prueba admitida deberá recibirse, según el artículo 104.2), durante el juicio oral y público y será apreciada de conformidad con las reglas de la sana crítica</w:t>
      </w:r>
      <w:r w:rsidRPr="00E10347">
        <w:rPr>
          <w:rStyle w:val="Refdenotaalpie"/>
          <w:rFonts w:ascii="Palatino Linotype" w:eastAsiaTheme="majorEastAsia" w:hAnsi="Palatino Linotype" w:cs="Arial"/>
          <w:sz w:val="21"/>
          <w:szCs w:val="21"/>
        </w:rPr>
        <w:footnoteReference w:id="404"/>
      </w:r>
      <w:r w:rsidRPr="00E10347">
        <w:rPr>
          <w:rFonts w:ascii="Palatino Linotype" w:hAnsi="Palatino Linotype" w:cs="Arial"/>
          <w:bCs/>
          <w:sz w:val="21"/>
          <w:szCs w:val="21"/>
          <w:lang w:val="es-ES"/>
        </w:rPr>
        <w:t>, al momento de la deliberación por parte del Tribunal, de conformidad con los cánones 82.4, 110.2 y 111.1 del mismo cuerpo normativo en análisis. Es importante apuntar, en cuanto a esta fase en particular, que al ser el proceso contencioso administrativo oral, “la prueba debe tener un enfoque diferente.”</w:t>
      </w:r>
      <w:r w:rsidRPr="00E10347">
        <w:rPr>
          <w:rStyle w:val="Refdenotaalpie"/>
          <w:rFonts w:ascii="Palatino Linotype" w:eastAsiaTheme="majorEastAsia" w:hAnsi="Palatino Linotype" w:cs="Arial"/>
          <w:sz w:val="21"/>
          <w:szCs w:val="21"/>
        </w:rPr>
        <w:footnoteReference w:id="405"/>
      </w:r>
      <w:r w:rsidRPr="00E10347">
        <w:rPr>
          <w:rFonts w:ascii="Palatino Linotype" w:hAnsi="Palatino Linotype" w:cs="Arial"/>
          <w:bCs/>
          <w:sz w:val="21"/>
          <w:szCs w:val="21"/>
          <w:lang w:val="es-ES"/>
        </w:rPr>
        <w:t xml:space="preserve"> Ello así, según explica </w:t>
      </w:r>
      <w:r w:rsidRPr="00E10347">
        <w:rPr>
          <w:rFonts w:ascii="Palatino Linotype" w:hAnsi="Palatino Linotype" w:cs="Arial"/>
          <w:bCs/>
          <w:smallCaps/>
          <w:sz w:val="21"/>
          <w:szCs w:val="21"/>
          <w:lang w:val="es-ES"/>
        </w:rPr>
        <w:t>Villalobos Soto</w:t>
      </w:r>
      <w:r w:rsidRPr="00E10347">
        <w:rPr>
          <w:rFonts w:ascii="Palatino Linotype" w:hAnsi="Palatino Linotype" w:cs="Arial"/>
          <w:bCs/>
          <w:sz w:val="21"/>
          <w:szCs w:val="21"/>
          <w:lang w:val="es-ES"/>
        </w:rPr>
        <w:t xml:space="preserve">: </w:t>
      </w:r>
    </w:p>
    <w:p w:rsidR="00563A13" w:rsidRPr="00E10347" w:rsidRDefault="00563A13" w:rsidP="00E10347">
      <w:pPr>
        <w:pStyle w:val="BodyText21"/>
        <w:overflowPunct/>
        <w:autoSpaceDE/>
        <w:autoSpaceDN/>
        <w:adjustRightInd/>
        <w:ind w:left="1440"/>
        <w:rPr>
          <w:rFonts w:ascii="Palatino Linotype" w:hAnsi="Palatino Linotype" w:cs="Arial"/>
          <w:bCs/>
          <w:sz w:val="21"/>
          <w:szCs w:val="21"/>
          <w:lang w:val="es-ES"/>
        </w:rPr>
      </w:pPr>
      <w:r w:rsidRPr="00E10347">
        <w:rPr>
          <w:rFonts w:ascii="Palatino Linotype" w:hAnsi="Palatino Linotype" w:cs="Arial"/>
          <w:bCs/>
          <w:smallCaps/>
          <w:sz w:val="21"/>
          <w:szCs w:val="21"/>
          <w:lang w:val="es-ES"/>
        </w:rPr>
        <w:t>“…</w:t>
      </w:r>
      <w:r w:rsidRPr="00E10347">
        <w:rPr>
          <w:rFonts w:ascii="Palatino Linotype" w:hAnsi="Palatino Linotype" w:cs="Arial"/>
          <w:bCs/>
          <w:sz w:val="21"/>
          <w:szCs w:val="21"/>
          <w:lang w:val="es-ES"/>
        </w:rPr>
        <w:t xml:space="preserve">es fundamental comprender dos axiomas de este tipo de proceso: </w:t>
      </w:r>
    </w:p>
    <w:p w:rsidR="00563A13" w:rsidRPr="00E10347" w:rsidRDefault="00353409" w:rsidP="00E10347">
      <w:pPr>
        <w:pStyle w:val="BodyText21"/>
        <w:overflowPunct/>
        <w:autoSpaceDE/>
        <w:autoSpaceDN/>
        <w:adjustRightInd/>
        <w:ind w:right="900" w:firstLine="708"/>
        <w:rPr>
          <w:rFonts w:ascii="Palatino Linotype" w:hAnsi="Palatino Linotype" w:cs="Arial"/>
          <w:bCs/>
          <w:smallCaps/>
          <w:sz w:val="21"/>
          <w:szCs w:val="21"/>
          <w:lang w:val="es-ES"/>
        </w:rPr>
      </w:pPr>
      <w:r w:rsidRPr="00E10347">
        <w:rPr>
          <w:rFonts w:ascii="Palatino Linotype" w:hAnsi="Palatino Linotype" w:cs="Arial"/>
          <w:bCs/>
          <w:sz w:val="21"/>
          <w:szCs w:val="21"/>
          <w:lang w:val="es-ES"/>
        </w:rPr>
        <w:t xml:space="preserve">a.- </w:t>
      </w:r>
      <w:r w:rsidR="00563A13" w:rsidRPr="00E10347">
        <w:rPr>
          <w:rFonts w:ascii="Palatino Linotype" w:hAnsi="Palatino Linotype" w:cs="Arial"/>
          <w:bCs/>
          <w:sz w:val="21"/>
          <w:szCs w:val="21"/>
          <w:lang w:val="es-ES"/>
        </w:rPr>
        <w:t xml:space="preserve">la sentencia se debe basar solamente en la prueba evacuada durante la audiencia oral; </w:t>
      </w:r>
    </w:p>
    <w:p w:rsidR="00563A13" w:rsidRPr="00E10347" w:rsidRDefault="00353409" w:rsidP="00E10347">
      <w:pPr>
        <w:pStyle w:val="BodyText21"/>
        <w:overflowPunct/>
        <w:autoSpaceDE/>
        <w:autoSpaceDN/>
        <w:adjustRightInd/>
        <w:ind w:right="900" w:firstLine="708"/>
        <w:rPr>
          <w:rFonts w:ascii="Palatino Linotype" w:hAnsi="Palatino Linotype" w:cs="Arial"/>
          <w:bCs/>
          <w:smallCaps/>
          <w:sz w:val="21"/>
          <w:szCs w:val="21"/>
          <w:lang w:val="es-ES"/>
        </w:rPr>
      </w:pPr>
      <w:r w:rsidRPr="00E10347">
        <w:rPr>
          <w:rFonts w:ascii="Palatino Linotype" w:hAnsi="Palatino Linotype" w:cs="Arial"/>
          <w:bCs/>
          <w:sz w:val="21"/>
          <w:szCs w:val="21"/>
          <w:lang w:val="es-ES"/>
        </w:rPr>
        <w:lastRenderedPageBreak/>
        <w:t xml:space="preserve">b.- </w:t>
      </w:r>
      <w:r w:rsidR="00563A13" w:rsidRPr="00E10347">
        <w:rPr>
          <w:rFonts w:ascii="Palatino Linotype" w:hAnsi="Palatino Linotype" w:cs="Arial"/>
          <w:bCs/>
          <w:sz w:val="21"/>
          <w:szCs w:val="21"/>
          <w:lang w:val="es-ES"/>
        </w:rPr>
        <w:t xml:space="preserve">es un proceso oral, no escrito, de manera que no cabe esperar que el juicio se resuelva en los documentos que vaya a leer el tribunal fuera del debate. Esto significa, como es obvio, que toda la prueba admitida debe ser presentada y discutida en el debate, incluyendo la documental. </w:t>
      </w:r>
      <w:r w:rsidR="00563A13" w:rsidRPr="00E10347">
        <w:rPr>
          <w:rFonts w:ascii="Palatino Linotype" w:hAnsi="Palatino Linotype" w:cs="Arial"/>
          <w:bCs/>
          <w:smallCaps/>
          <w:sz w:val="21"/>
          <w:szCs w:val="21"/>
          <w:lang w:val="es-ES"/>
        </w:rPr>
        <w:t xml:space="preserve"> </w:t>
      </w:r>
    </w:p>
    <w:p w:rsidR="00563A13" w:rsidRPr="00E10347" w:rsidRDefault="00563A13" w:rsidP="00E10347">
      <w:pPr>
        <w:pStyle w:val="BodyText21"/>
        <w:overflowPunct/>
        <w:autoSpaceDE/>
        <w:autoSpaceDN/>
        <w:adjustRightInd/>
        <w:ind w:right="900"/>
        <w:rPr>
          <w:rFonts w:ascii="Palatino Linotype" w:hAnsi="Palatino Linotype" w:cs="Arial"/>
          <w:bCs/>
          <w:sz w:val="21"/>
          <w:szCs w:val="21"/>
          <w:lang w:val="es-ES"/>
        </w:rPr>
      </w:pPr>
      <w:r w:rsidRPr="00E10347">
        <w:rPr>
          <w:rFonts w:ascii="Palatino Linotype" w:hAnsi="Palatino Linotype" w:cs="Arial"/>
          <w:bCs/>
          <w:sz w:val="21"/>
          <w:szCs w:val="21"/>
          <w:lang w:val="es-ES"/>
        </w:rPr>
        <w:t>(…) Lo que interesa es que el litigante planee la oferta de su prueba bajo esta premisa: en el proceso escrito el abogado señalaba cientos de folios para que los jueces lean y resuelvan; en el oral, el abogado debe presentar sus alegatos y su prueba en forma hablada; debe formular razonamientos para convencer de su tesis, obtener toda la información posible de los testigos y peritos, y exponer él ante los jueces los documentos.”</w:t>
      </w:r>
      <w:r w:rsidRPr="00E10347">
        <w:rPr>
          <w:rStyle w:val="Refdenotaalpie"/>
          <w:rFonts w:ascii="Palatino Linotype" w:eastAsiaTheme="majorEastAsia" w:hAnsi="Palatino Linotype" w:cs="Arial"/>
          <w:sz w:val="21"/>
          <w:szCs w:val="21"/>
        </w:rPr>
        <w:footnoteReference w:id="406"/>
      </w:r>
    </w:p>
    <w:p w:rsidR="00467BDB" w:rsidRDefault="00467BDB" w:rsidP="00E10347">
      <w:pPr>
        <w:pStyle w:val="BodyText21"/>
        <w:overflowPunct/>
        <w:autoSpaceDE/>
        <w:autoSpaceDN/>
        <w:adjustRightInd/>
        <w:rPr>
          <w:rFonts w:ascii="Palatino Linotype" w:hAnsi="Palatino Linotype" w:cs="Arial"/>
          <w:b/>
          <w:bCs/>
          <w:smallCaps/>
          <w:sz w:val="21"/>
          <w:szCs w:val="21"/>
          <w:lang w:val="es-ES"/>
        </w:rPr>
      </w:pPr>
    </w:p>
    <w:p w:rsidR="00563A13" w:rsidRPr="00E10347" w:rsidRDefault="00F350F6" w:rsidP="00E10347">
      <w:pPr>
        <w:pStyle w:val="BodyText21"/>
        <w:overflowPunct/>
        <w:autoSpaceDE/>
        <w:autoSpaceDN/>
        <w:adjustRightInd/>
        <w:rPr>
          <w:rFonts w:ascii="Palatino Linotype" w:hAnsi="Palatino Linotype" w:cs="Arial"/>
          <w:b/>
          <w:bCs/>
          <w:smallCaps/>
          <w:sz w:val="21"/>
          <w:szCs w:val="21"/>
          <w:lang w:val="es-ES"/>
        </w:rPr>
      </w:pPr>
      <w:r w:rsidRPr="00E10347">
        <w:rPr>
          <w:rFonts w:ascii="Palatino Linotype" w:hAnsi="Palatino Linotype" w:cs="Arial"/>
          <w:b/>
          <w:bCs/>
          <w:smallCaps/>
          <w:sz w:val="21"/>
          <w:szCs w:val="21"/>
          <w:lang w:val="es-ES"/>
        </w:rPr>
        <w:t>c.- Medios de Prueba</w:t>
      </w:r>
    </w:p>
    <w:p w:rsidR="00563A13" w:rsidRPr="00E10347" w:rsidRDefault="00563A13" w:rsidP="00E10347">
      <w:pPr>
        <w:pStyle w:val="BodyText21"/>
        <w:overflowPunct/>
        <w:autoSpaceDE/>
        <w:autoSpaceDN/>
        <w:adjustRightInd/>
        <w:ind w:firstLine="709"/>
        <w:rPr>
          <w:rFonts w:ascii="Palatino Linotype" w:hAnsi="Palatino Linotype" w:cs="Arial"/>
          <w:b/>
          <w:bCs/>
          <w:smallCaps/>
          <w:sz w:val="21"/>
          <w:szCs w:val="21"/>
          <w:lang w:val="es-ES"/>
        </w:rPr>
      </w:pPr>
      <w:r w:rsidRPr="00E10347">
        <w:rPr>
          <w:rFonts w:ascii="Palatino Linotype" w:hAnsi="Palatino Linotype" w:cs="Arial"/>
          <w:bCs/>
          <w:sz w:val="21"/>
          <w:szCs w:val="21"/>
          <w:lang w:val="es-ES"/>
        </w:rPr>
        <w:t>El artículo 82.2 del CPCA estipula que los medios de prueba pueden ser todos los que estén permitidos por el Derecho público y el Derecho común. Consecuentemente, en adición a los medios de prueba previstos por el cardinal 318 del CPC</w:t>
      </w:r>
      <w:r w:rsidRPr="00E10347">
        <w:rPr>
          <w:rStyle w:val="Refdenotaalpie"/>
          <w:rFonts w:ascii="Palatino Linotype" w:eastAsiaTheme="majorEastAsia" w:hAnsi="Palatino Linotype" w:cs="Arial"/>
          <w:sz w:val="21"/>
          <w:szCs w:val="21"/>
        </w:rPr>
        <w:footnoteReference w:id="407"/>
      </w:r>
      <w:r w:rsidRPr="00E10347">
        <w:rPr>
          <w:rFonts w:ascii="Palatino Linotype" w:hAnsi="Palatino Linotype" w:cs="Arial"/>
          <w:bCs/>
          <w:sz w:val="21"/>
          <w:szCs w:val="21"/>
          <w:lang w:val="es-ES"/>
        </w:rPr>
        <w:t xml:space="preserve"> y en poco tiempo 41.2 del NCPC</w:t>
      </w:r>
      <w:r w:rsidRPr="00E10347">
        <w:rPr>
          <w:rStyle w:val="Refdenotaalpie"/>
          <w:rFonts w:ascii="Palatino Linotype" w:eastAsiaTheme="majorEastAsia" w:hAnsi="Palatino Linotype" w:cs="Arial"/>
          <w:sz w:val="21"/>
          <w:szCs w:val="21"/>
        </w:rPr>
        <w:footnoteReference w:id="408"/>
      </w:r>
      <w:r w:rsidRPr="00E10347">
        <w:rPr>
          <w:rFonts w:ascii="Palatino Linotype" w:hAnsi="Palatino Linotype" w:cs="Arial"/>
          <w:bCs/>
          <w:sz w:val="21"/>
          <w:szCs w:val="21"/>
          <w:lang w:val="es-ES"/>
        </w:rPr>
        <w:t xml:space="preserve">, también son admisibles los medios admitidos por el Derecho público. </w:t>
      </w:r>
    </w:p>
    <w:p w:rsidR="00563A13" w:rsidRPr="00E10347" w:rsidRDefault="00563A13" w:rsidP="00E10347">
      <w:pPr>
        <w:pStyle w:val="BodyText21"/>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lastRenderedPageBreak/>
        <w:t xml:space="preserve">¿Qué debe entenderse como medios admitidos por el Derecho público? Pues bien, al explicar el numeral 298 del entonces proyecto de Ley General de la Administración Pública ante la Comisión Legislativa, </w:t>
      </w:r>
      <w:r w:rsidRPr="00E10347">
        <w:rPr>
          <w:rFonts w:ascii="Palatino Linotype" w:hAnsi="Palatino Linotype" w:cs="Arial"/>
          <w:bCs/>
          <w:smallCaps/>
          <w:sz w:val="21"/>
          <w:szCs w:val="21"/>
          <w:lang w:val="es-ES"/>
        </w:rPr>
        <w:t>Ortiz Ortiz</w:t>
      </w:r>
      <w:r w:rsidRPr="00E10347">
        <w:rPr>
          <w:rFonts w:ascii="Palatino Linotype" w:hAnsi="Palatino Linotype" w:cs="Arial"/>
          <w:bCs/>
          <w:sz w:val="21"/>
          <w:szCs w:val="21"/>
          <w:lang w:val="es-ES"/>
        </w:rPr>
        <w:t xml:space="preserve"> señalaba: </w:t>
      </w:r>
    </w:p>
    <w:p w:rsidR="00563A13" w:rsidRPr="00E10347" w:rsidRDefault="00563A13" w:rsidP="00E10347">
      <w:pPr>
        <w:pStyle w:val="BodyText21"/>
        <w:overflowPunct/>
        <w:autoSpaceDE/>
        <w:autoSpaceDN/>
        <w:adjustRightInd/>
        <w:ind w:left="1418" w:right="900" w:firstLine="709"/>
        <w:rPr>
          <w:rFonts w:ascii="Palatino Linotype" w:eastAsiaTheme="minorHAnsi" w:hAnsi="Palatino Linotype" w:cs="Arial"/>
          <w:bCs/>
          <w:sz w:val="21"/>
          <w:szCs w:val="21"/>
          <w:lang w:val="es-ES" w:eastAsia="en-US"/>
        </w:rPr>
      </w:pPr>
      <w:r w:rsidRPr="00E10347">
        <w:rPr>
          <w:rFonts w:ascii="Palatino Linotype" w:eastAsiaTheme="minorHAnsi" w:hAnsi="Palatino Linotype" w:cs="Arial"/>
          <w:bCs/>
          <w:sz w:val="21"/>
          <w:szCs w:val="21"/>
          <w:lang w:val="es-ES" w:eastAsia="en-US"/>
        </w:rPr>
        <w:t>“(…) nosotros estamos simplemente dejando un margen amplio para que las prácticas y costumbres administrativas en materia probatoria, otras cosas que son a menudo pruebas, no los dictámenes sino las relaciones periciales hechas en un negocio muy complejo, por ejemplo, tratándose de la carretera a Limón los planos que se levantan de la carretera y para la preparación cuando se va a iniciar la carretera, eso puede ser perfectamente prueba dentro del procedimiento administrativo, en lo judicial, recuerdo dos resoluciones que en documentos internos de la Administración le niegan todo valor probatorio en el sentido de que los consideran atestando hechos, dicen que el documento público de la Administración es tal cuando atesta hechos ocurridos ante el comisionario. No cuando meras apreciaciones contiene. Todo eso quisiéramos dejarlo al juego de las prácticas y costumbre de la Administración. Para que el juez tenga que respetarla en lugar de dictarle normas. Hay una serie de medios probatorios que son permitidos dentro de los trámites administrativos que no se admiten en los trámites judiciales. Nosotros, acto seguido, hacemos una prohibición y quisiera agregar un párrafo que dijera: “Salvo disposición en contrario de las pruebas serán apreciadas de la sana crítica.” Eso tiende a permitir las pruebas que han consagrado las costumbres administrativas y prácticas administrativas además de las que están reguladas por ley. (…)”</w:t>
      </w:r>
      <w:r w:rsidRPr="00E10347">
        <w:rPr>
          <w:rStyle w:val="Refdenotaalpie"/>
          <w:rFonts w:ascii="Palatino Linotype" w:eastAsiaTheme="minorHAnsi" w:hAnsi="Palatino Linotype" w:cs="Arial"/>
          <w:sz w:val="21"/>
          <w:szCs w:val="21"/>
          <w:lang w:eastAsia="en-US"/>
        </w:rPr>
        <w:footnoteReference w:id="409"/>
      </w:r>
      <w:r w:rsidRPr="00E10347">
        <w:rPr>
          <w:rFonts w:ascii="Palatino Linotype" w:eastAsiaTheme="minorHAnsi" w:hAnsi="Palatino Linotype" w:cs="Arial"/>
          <w:bCs/>
          <w:sz w:val="21"/>
          <w:szCs w:val="21"/>
          <w:lang w:val="es-ES" w:eastAsia="en-US"/>
        </w:rPr>
        <w:t xml:space="preserve">  </w:t>
      </w:r>
    </w:p>
    <w:p w:rsidR="00563A13" w:rsidRPr="00E10347" w:rsidRDefault="00563A13" w:rsidP="00E10347">
      <w:pPr>
        <w:pStyle w:val="BodyText21"/>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 xml:space="preserve">La anterior cita nos permite comprobar que al prever el artículo 82.2 del CPCA que los medios de prueba podrán ser todos los que estén permitidos por el Derecho público, se abre la puerta a un sinnúmero de posibilidades probatorias que </w:t>
      </w:r>
      <w:r w:rsidRPr="00E10347">
        <w:rPr>
          <w:rFonts w:ascii="Palatino Linotype" w:hAnsi="Palatino Linotype" w:cs="Arial"/>
          <w:bCs/>
          <w:sz w:val="21"/>
          <w:szCs w:val="21"/>
          <w:lang w:val="es-ES"/>
        </w:rPr>
        <w:lastRenderedPageBreak/>
        <w:t>deberán ser admisibles con tal de que no estén expresamente prohibidas y que, de alguna forma, ora como costumbre administrativa, ora como práctica administrativa, hayan sido incorporadas al ordenamiento jurídico administrativo.</w:t>
      </w:r>
    </w:p>
    <w:p w:rsidR="00563A13" w:rsidRPr="00E10347" w:rsidRDefault="00563A13" w:rsidP="00E10347">
      <w:pPr>
        <w:pStyle w:val="BodyText21"/>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 xml:space="preserve">Bajo esa premisa, pues, el CPCA refiere a una serie de medios probatorios, sin que al efecto se trate de una lista tasada ni mucho menos. Así, por ejemplo, los artículos 49 y 82.3) refieren a la prueba documental, el 82.5) menciona el expediente administrativo, el 83 regula el testimonio de funcionarios públicos, peritos y el denominado testigo-perito, mientras que el 94 establece las reglas básicas de la prueba pericial.  </w:t>
      </w:r>
      <w:r w:rsidR="00467BDB">
        <w:rPr>
          <w:rFonts w:ascii="Palatino Linotype" w:hAnsi="Palatino Linotype" w:cs="Arial"/>
          <w:bCs/>
          <w:sz w:val="21"/>
          <w:szCs w:val="21"/>
          <w:lang w:val="es-ES"/>
        </w:rPr>
        <w:t xml:space="preserve">  </w:t>
      </w:r>
    </w:p>
    <w:p w:rsidR="00563A13" w:rsidRPr="00E10347" w:rsidRDefault="00563A13" w:rsidP="00E10347">
      <w:pPr>
        <w:pStyle w:val="BodyText21"/>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 xml:space="preserve">Finalmente, debe llamarse la atención de cuanto a dos particularidades que contiene el CPCA respecto, tanto del CPC, como del NCPC, a saber: </w:t>
      </w:r>
    </w:p>
    <w:p w:rsidR="00563A13" w:rsidRPr="00E10347" w:rsidRDefault="00563A13" w:rsidP="00E10347">
      <w:pPr>
        <w:pStyle w:val="BodyText21"/>
        <w:numPr>
          <w:ilvl w:val="0"/>
          <w:numId w:val="5"/>
        </w:numPr>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Aún y cuando el artículo 108 del CPCA refiere que, cuando proceda, el Tribunal recibirá la prueba confesional, lo cierto es que, de conformidad con el artículo 301 de la Ley General de la Administración Pública, se prohíbe a la Administración confesar en su perjuicio. Por tanto, no puede haber confesión en rebeldía y las declaraciones o informes que rindan los funcionarios públicos se reputarán como testimonio para todo efecto legal. Por tanto, la única interpretación posible de este artículo es que está referido únicamente a las partes privadas.</w:t>
      </w:r>
      <w:r w:rsidRPr="00E10347">
        <w:rPr>
          <w:rStyle w:val="Refdenotaalpie"/>
          <w:rFonts w:ascii="Palatino Linotype" w:eastAsiaTheme="majorEastAsia" w:hAnsi="Palatino Linotype" w:cs="Arial"/>
          <w:sz w:val="21"/>
          <w:szCs w:val="21"/>
        </w:rPr>
        <w:footnoteReference w:id="410"/>
      </w:r>
      <w:r w:rsidRPr="00E10347">
        <w:rPr>
          <w:rFonts w:ascii="Palatino Linotype" w:hAnsi="Palatino Linotype" w:cs="Arial"/>
          <w:bCs/>
          <w:sz w:val="21"/>
          <w:szCs w:val="21"/>
          <w:lang w:val="es-ES"/>
        </w:rPr>
        <w:t xml:space="preserve"> </w:t>
      </w:r>
    </w:p>
    <w:p w:rsidR="00563A13" w:rsidRPr="00E10347" w:rsidRDefault="00563A13" w:rsidP="00E10347">
      <w:pPr>
        <w:pStyle w:val="BodyText21"/>
        <w:numPr>
          <w:ilvl w:val="0"/>
          <w:numId w:val="5"/>
        </w:numPr>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 xml:space="preserve">Asimismo, el CPCA prevé la declaración testimonial-pericial, que dista del testimonio común en cuanto a que el primero puede ser interrogado en aspectos técnicos y de apreciación. Se trata – según explica </w:t>
      </w:r>
      <w:r w:rsidRPr="00E10347">
        <w:rPr>
          <w:rFonts w:ascii="Palatino Linotype" w:hAnsi="Palatino Linotype" w:cs="Arial"/>
          <w:bCs/>
          <w:smallCaps/>
          <w:sz w:val="21"/>
          <w:szCs w:val="21"/>
          <w:lang w:val="es-ES"/>
        </w:rPr>
        <w:t>Villalobos Soto</w:t>
      </w:r>
      <w:r w:rsidRPr="00E10347">
        <w:rPr>
          <w:rFonts w:ascii="Palatino Linotype" w:hAnsi="Palatino Linotype" w:cs="Arial"/>
          <w:bCs/>
          <w:sz w:val="21"/>
          <w:szCs w:val="21"/>
          <w:lang w:val="es-ES"/>
        </w:rPr>
        <w:t xml:space="preserve"> – de una persona a la que “le constan hechos relativos al caso, pero que a su vez tiene la calificación por conocimiento técnico, arte o experiencia para dar una opinión de experto sobre el tema.”</w:t>
      </w:r>
      <w:r w:rsidRPr="00E10347">
        <w:rPr>
          <w:rStyle w:val="Refdenotaalpie"/>
          <w:rFonts w:ascii="Palatino Linotype" w:eastAsiaTheme="majorEastAsia" w:hAnsi="Palatino Linotype" w:cs="Arial"/>
          <w:sz w:val="21"/>
          <w:szCs w:val="21"/>
        </w:rPr>
        <w:footnoteReference w:id="411"/>
      </w:r>
    </w:p>
    <w:p w:rsidR="00467BDB" w:rsidRDefault="00467BDB" w:rsidP="00467BDB">
      <w:pPr>
        <w:widowControl/>
        <w:autoSpaceDE/>
        <w:autoSpaceDN/>
        <w:adjustRightInd/>
        <w:jc w:val="both"/>
        <w:rPr>
          <w:rFonts w:ascii="Palatino Linotype" w:hAnsi="Palatino Linotype"/>
          <w:b/>
          <w:smallCaps/>
          <w:sz w:val="21"/>
          <w:szCs w:val="21"/>
        </w:rPr>
      </w:pPr>
    </w:p>
    <w:p w:rsidR="00467BDB" w:rsidRDefault="00F350F6" w:rsidP="00467BDB">
      <w:pPr>
        <w:widowControl/>
        <w:autoSpaceDE/>
        <w:autoSpaceDN/>
        <w:adjustRightInd/>
        <w:jc w:val="both"/>
        <w:rPr>
          <w:rFonts w:ascii="Palatino Linotype" w:hAnsi="Palatino Linotype"/>
          <w:b/>
          <w:smallCaps/>
          <w:sz w:val="21"/>
          <w:szCs w:val="21"/>
        </w:rPr>
      </w:pPr>
      <w:r w:rsidRPr="00E10347">
        <w:rPr>
          <w:rFonts w:ascii="Palatino Linotype" w:hAnsi="Palatino Linotype"/>
          <w:b/>
          <w:smallCaps/>
          <w:sz w:val="21"/>
          <w:szCs w:val="21"/>
        </w:rPr>
        <w:t>d.- Particularidades Del Procedimiento Administrativo y El Proceso Contencioso Administrativo Respecto Del Proceso Civil</w:t>
      </w:r>
    </w:p>
    <w:p w:rsidR="00563A13" w:rsidRPr="00467BDB" w:rsidRDefault="00467BDB" w:rsidP="00467BDB">
      <w:pPr>
        <w:widowControl/>
        <w:autoSpaceDE/>
        <w:autoSpaceDN/>
        <w:adjustRightInd/>
        <w:jc w:val="both"/>
        <w:rPr>
          <w:rFonts w:ascii="Palatino Linotype" w:hAnsi="Palatino Linotype"/>
          <w:b/>
          <w:smallCaps/>
          <w:sz w:val="21"/>
          <w:szCs w:val="21"/>
        </w:rPr>
      </w:pPr>
      <w:r>
        <w:rPr>
          <w:rFonts w:ascii="Palatino Linotype" w:hAnsi="Palatino Linotype"/>
          <w:bCs/>
          <w:sz w:val="21"/>
          <w:szCs w:val="21"/>
        </w:rPr>
        <w:t xml:space="preserve">a.- </w:t>
      </w:r>
      <w:r w:rsidR="00563A13" w:rsidRPr="00467BDB">
        <w:rPr>
          <w:rFonts w:ascii="Palatino Linotype" w:hAnsi="Palatino Linotype"/>
          <w:b/>
          <w:smallCaps/>
          <w:sz w:val="21"/>
          <w:szCs w:val="21"/>
        </w:rPr>
        <w:t>Procedimiento Administrativo</w:t>
      </w:r>
    </w:p>
    <w:p w:rsidR="00563A13" w:rsidRPr="00E10347" w:rsidRDefault="00563A13" w:rsidP="00E10347">
      <w:pPr>
        <w:ind w:firstLine="709"/>
        <w:jc w:val="both"/>
        <w:rPr>
          <w:rFonts w:ascii="Palatino Linotype" w:hAnsi="Palatino Linotype"/>
          <w:iCs/>
          <w:sz w:val="21"/>
          <w:szCs w:val="21"/>
        </w:rPr>
      </w:pPr>
      <w:r w:rsidRPr="00E10347">
        <w:rPr>
          <w:rFonts w:ascii="Palatino Linotype" w:eastAsia="Times" w:hAnsi="Palatino Linotype"/>
          <w:sz w:val="21"/>
          <w:szCs w:val="21"/>
        </w:rPr>
        <w:t>El procedimiento administrativo es</w:t>
      </w:r>
      <w:r w:rsidRPr="00E10347">
        <w:rPr>
          <w:rFonts w:ascii="Palatino Linotype" w:hAnsi="Palatino Linotype"/>
          <w:sz w:val="21"/>
          <w:szCs w:val="21"/>
        </w:rPr>
        <w:t xml:space="preserve">: </w:t>
      </w:r>
      <w:r w:rsidRPr="00E10347">
        <w:rPr>
          <w:rFonts w:ascii="Palatino Linotype" w:hAnsi="Palatino Linotype"/>
          <w:iCs/>
          <w:sz w:val="21"/>
          <w:szCs w:val="21"/>
        </w:rPr>
        <w:t xml:space="preserve">“… el conjunto de actos preparatorios concatenados según un orden cronológico y funcional, para verificar la existencia de la necesidad pública a satisfacer y de los hechos que lo crean, así como para oír a </w:t>
      </w:r>
      <w:r w:rsidRPr="00E10347">
        <w:rPr>
          <w:rFonts w:ascii="Palatino Linotype" w:hAnsi="Palatino Linotype"/>
          <w:iCs/>
          <w:sz w:val="21"/>
          <w:szCs w:val="21"/>
        </w:rPr>
        <w:lastRenderedPageBreak/>
        <w:t>los posibles afectados y voceros de intereses conexos, tanto públicos como privados, especialmente estos últimos, con el fin de conformar la decisión en la forma que mejor los armonice con el fin público a cumplir.”</w:t>
      </w:r>
      <w:r w:rsidRPr="00E10347">
        <w:rPr>
          <w:rStyle w:val="Refdenotaalpie"/>
          <w:rFonts w:ascii="Palatino Linotype" w:hAnsi="Palatino Linotype"/>
          <w:iCs/>
          <w:sz w:val="21"/>
          <w:szCs w:val="21"/>
        </w:rPr>
        <w:footnoteReference w:id="412"/>
      </w:r>
    </w:p>
    <w:p w:rsidR="00563A13" w:rsidRPr="00E10347" w:rsidRDefault="00563A13" w:rsidP="00E10347">
      <w:pPr>
        <w:ind w:firstLine="709"/>
        <w:jc w:val="both"/>
        <w:rPr>
          <w:rFonts w:ascii="Palatino Linotype" w:hAnsi="Palatino Linotype"/>
          <w:iCs/>
          <w:sz w:val="21"/>
          <w:szCs w:val="21"/>
        </w:rPr>
      </w:pPr>
      <w:r w:rsidRPr="00E10347">
        <w:rPr>
          <w:rFonts w:ascii="Palatino Linotype" w:eastAsia="Times" w:hAnsi="Palatino Linotype"/>
          <w:sz w:val="21"/>
          <w:szCs w:val="21"/>
        </w:rPr>
        <w:t xml:space="preserve">Dialécticamente suele presentarse en doble faz: por un lado, incrementa la eficacia; por otro, garantiza la posibilidad de defensa de derechos. Sin la maquinaría procedimental, la Administración en ocasiones no podría pronunciarse; sin la oportunidad de defensa del procedimiento, algunos derechos podrían verse gravemente dañados. </w:t>
      </w:r>
    </w:p>
    <w:p w:rsidR="00563A13" w:rsidRPr="00E10347" w:rsidRDefault="00563A13" w:rsidP="00E10347">
      <w:pPr>
        <w:ind w:firstLine="709"/>
        <w:jc w:val="both"/>
        <w:rPr>
          <w:rFonts w:ascii="Palatino Linotype" w:hAnsi="Palatino Linotype"/>
          <w:iCs/>
          <w:sz w:val="21"/>
          <w:szCs w:val="21"/>
        </w:rPr>
      </w:pPr>
      <w:r w:rsidRPr="00E10347">
        <w:rPr>
          <w:rFonts w:ascii="Palatino Linotype" w:hAnsi="Palatino Linotype"/>
          <w:sz w:val="21"/>
          <w:szCs w:val="21"/>
        </w:rPr>
        <w:t xml:space="preserve">Esa doble faz está claramente considerada en la definición que formula el artículo 214 de la LGAP, conforme al cual, el procedimiento administrativo </w:t>
      </w:r>
      <w:r w:rsidRPr="00E10347">
        <w:rPr>
          <w:rFonts w:ascii="Palatino Linotype" w:hAnsi="Palatino Linotype"/>
          <w:i/>
          <w:iCs/>
          <w:sz w:val="21"/>
          <w:szCs w:val="21"/>
        </w:rPr>
        <w:t>“…</w:t>
      </w:r>
      <w:r w:rsidRPr="00E10347">
        <w:rPr>
          <w:rFonts w:ascii="Palatino Linotype" w:hAnsi="Palatino Linotype"/>
          <w:iCs/>
          <w:sz w:val="21"/>
          <w:szCs w:val="21"/>
        </w:rPr>
        <w:t xml:space="preserve">servirá para asegurar el mejor cumplimiento posible de los fines de la Administración </w:t>
      </w:r>
      <w:r w:rsidRPr="00E10347">
        <w:rPr>
          <w:rFonts w:ascii="Palatino Linotype" w:hAnsi="Palatino Linotype"/>
          <w:sz w:val="21"/>
          <w:szCs w:val="21"/>
        </w:rPr>
        <w:t>-incremento de la eficacia-</w:t>
      </w:r>
      <w:r w:rsidRPr="00E10347">
        <w:rPr>
          <w:rFonts w:ascii="Palatino Linotype" w:hAnsi="Palatino Linotype"/>
          <w:iCs/>
          <w:sz w:val="21"/>
          <w:szCs w:val="21"/>
        </w:rPr>
        <w:t>, con respeto para los derechos subjetivos e intereses legítimos del administrado, de acuerdo con el ordenamiento jurídico</w:t>
      </w:r>
      <w:r w:rsidRPr="00E10347">
        <w:rPr>
          <w:rFonts w:ascii="Palatino Linotype" w:hAnsi="Palatino Linotype"/>
          <w:i/>
          <w:iCs/>
          <w:sz w:val="21"/>
          <w:szCs w:val="21"/>
        </w:rPr>
        <w:t xml:space="preserve">” </w:t>
      </w:r>
      <w:r w:rsidRPr="00E10347">
        <w:rPr>
          <w:rFonts w:ascii="Palatino Linotype" w:hAnsi="Palatino Linotype"/>
          <w:sz w:val="21"/>
          <w:szCs w:val="21"/>
        </w:rPr>
        <w:t>-defensa de derechos-. “Su objeto más importante es la verificación de la verdad real de los hechos que sirven de motivo al acto final” – eficacia.</w:t>
      </w:r>
      <w:r w:rsidRPr="00E10347">
        <w:rPr>
          <w:rStyle w:val="Refdenotaalpie"/>
          <w:rFonts w:ascii="Palatino Linotype" w:hAnsi="Palatino Linotype"/>
          <w:sz w:val="21"/>
          <w:szCs w:val="21"/>
        </w:rPr>
        <w:footnoteReference w:id="413"/>
      </w:r>
      <w:r w:rsidRPr="00E10347">
        <w:rPr>
          <w:rFonts w:ascii="Palatino Linotype" w:hAnsi="Palatino Linotype"/>
          <w:sz w:val="21"/>
          <w:szCs w:val="21"/>
        </w:rPr>
        <w:t xml:space="preserve"> </w:t>
      </w:r>
    </w:p>
    <w:p w:rsidR="00563A13" w:rsidRPr="00E10347" w:rsidRDefault="00563A13" w:rsidP="00E10347">
      <w:pPr>
        <w:ind w:firstLine="709"/>
        <w:jc w:val="both"/>
        <w:rPr>
          <w:rFonts w:ascii="Palatino Linotype" w:hAnsi="Palatino Linotype"/>
          <w:iCs/>
          <w:sz w:val="21"/>
          <w:szCs w:val="21"/>
        </w:rPr>
      </w:pPr>
      <w:r w:rsidRPr="00E10347">
        <w:rPr>
          <w:rFonts w:ascii="Palatino Linotype" w:hAnsi="Palatino Linotype"/>
          <w:sz w:val="21"/>
          <w:szCs w:val="21"/>
          <w:lang w:val="es-ES_tradnl"/>
        </w:rPr>
        <w:t xml:space="preserve">En efecto, la Administración pública personifica el poder del Estado. Al asumir la satisfacción de los intereses generales, públicos o colectivos, dispone de un elenco de potestades exorbitantes del derecho común. Así, mientras en el derecho privado cada uno es igual a todos los demás y libre en su esfera de intereses por cuanto el negocio principal es el contrato, en el Derecho administrativo la Administración pública puede imponerse por la vía del acto unilateral imperativo, para lo cual el procedimiento administrativo funge como el instrumento necesario para canalizar y balancear la eterna pugna entre prerrogativa y garantía. </w:t>
      </w:r>
    </w:p>
    <w:p w:rsidR="00563A13" w:rsidRPr="00E10347" w:rsidRDefault="00563A13" w:rsidP="00E10347">
      <w:pPr>
        <w:ind w:firstLine="709"/>
        <w:jc w:val="both"/>
        <w:rPr>
          <w:rFonts w:ascii="Palatino Linotype" w:hAnsi="Palatino Linotype"/>
          <w:iCs/>
          <w:sz w:val="21"/>
          <w:szCs w:val="21"/>
        </w:rPr>
      </w:pPr>
      <w:r w:rsidRPr="00E10347">
        <w:rPr>
          <w:rFonts w:ascii="Palatino Linotype" w:eastAsia="Times" w:hAnsi="Palatino Linotype"/>
          <w:sz w:val="21"/>
          <w:szCs w:val="21"/>
        </w:rPr>
        <w:t xml:space="preserve">Es por ello que, antes incluso de iniciarse un procedimiento administrativo caben actuaciones de naturaleza cautelar, o bien dirigidas a valorar la pertinencia misma de la iniciación del mismo (investigaciones preliminares). En el caso costarricense, se trata de materia no regulada, al menos de modo expreso, si bien la Sala Constitucional de la Corte Suprema de Justicia ha admitido la potestad cautelar </w:t>
      </w:r>
      <w:r w:rsidRPr="00E10347">
        <w:rPr>
          <w:rFonts w:ascii="Palatino Linotype" w:eastAsia="Times" w:hAnsi="Palatino Linotype"/>
          <w:sz w:val="21"/>
          <w:szCs w:val="21"/>
        </w:rPr>
        <w:lastRenderedPageBreak/>
        <w:t>a las Administraciones públicas, la cual encuentra implícita, por ejemplo, en el ejercicio de la potestad sancionadora administrativa (Res. No. 13131-2003).</w:t>
      </w:r>
      <w:r w:rsidRPr="00E10347">
        <w:rPr>
          <w:rFonts w:ascii="Palatino Linotype" w:hAnsi="Palatino Linotype"/>
          <w:sz w:val="21"/>
          <w:szCs w:val="21"/>
        </w:rPr>
        <w:t xml:space="preserve"> </w:t>
      </w:r>
      <w:r w:rsidRPr="00E10347">
        <w:rPr>
          <w:rFonts w:ascii="Palatino Linotype" w:eastAsia="Times" w:hAnsi="Palatino Linotype"/>
          <w:sz w:val="21"/>
          <w:szCs w:val="21"/>
        </w:rPr>
        <w:t xml:space="preserve">Son los órganos responsables los que, en cada caso, han de acordar la iniciación, adoptando también las medidas provisionales que procedan. Los procedimientos administrativos pueden iniciarse de oficio o a instancia de persona interesada (art. 284 LGAP). </w:t>
      </w:r>
    </w:p>
    <w:p w:rsidR="00563A13" w:rsidRPr="00E10347" w:rsidRDefault="00563A13" w:rsidP="00E10347">
      <w:pPr>
        <w:ind w:firstLine="709"/>
        <w:jc w:val="both"/>
        <w:rPr>
          <w:rFonts w:ascii="Palatino Linotype" w:hAnsi="Palatino Linotype"/>
          <w:iCs/>
          <w:sz w:val="21"/>
          <w:szCs w:val="21"/>
        </w:rPr>
      </w:pPr>
      <w:r w:rsidRPr="00E10347">
        <w:rPr>
          <w:rFonts w:ascii="Palatino Linotype" w:eastAsia="Times" w:hAnsi="Palatino Linotype"/>
          <w:sz w:val="21"/>
          <w:szCs w:val="21"/>
        </w:rPr>
        <w:t xml:space="preserve">Tras la iniciación, viene la instrucción del procedimiento, concretada en toda una serie de actos administrativos de trámite y alegaciones incorporadas por los interesados al expediente. Así, se regula la fase de prueba (por cualquier medio admitido en Derecho público, aunque no sea admitido por el Derecho común, según indica el artículo 298 de la LGAP), los informes, la participación de los interesados y, en algunos casos, la información pública, para facilitar la participación de intereses difusos. </w:t>
      </w:r>
    </w:p>
    <w:p w:rsidR="00563A13" w:rsidRPr="00E10347" w:rsidRDefault="00563A13" w:rsidP="00E10347">
      <w:pPr>
        <w:ind w:firstLine="709"/>
        <w:jc w:val="both"/>
        <w:rPr>
          <w:rFonts w:ascii="Palatino Linotype" w:hAnsi="Palatino Linotype"/>
          <w:iCs/>
          <w:sz w:val="21"/>
          <w:szCs w:val="21"/>
        </w:rPr>
      </w:pPr>
      <w:r w:rsidRPr="00E10347">
        <w:rPr>
          <w:rFonts w:ascii="Palatino Linotype" w:eastAsiaTheme="majorEastAsia" w:hAnsi="Palatino Linotype"/>
          <w:sz w:val="21"/>
          <w:szCs w:val="21"/>
        </w:rPr>
        <w:t xml:space="preserve">Con posterioridad a su finalización, el procedimiento continúa con la fase de ejecución. Los medios de ejecución son las herramientas de la ejecutoriedad de los actos administrativos, realización última del privilegio de auto tutela, que comporta la innecesaridad de acudir al Juez para ejecutar sus propios actos, característica de la Administración como poder público. </w:t>
      </w:r>
    </w:p>
    <w:p w:rsidR="00563A13" w:rsidRPr="00E10347" w:rsidRDefault="00563A13" w:rsidP="00E10347">
      <w:pPr>
        <w:ind w:firstLine="709"/>
        <w:jc w:val="both"/>
        <w:rPr>
          <w:rFonts w:ascii="Palatino Linotype" w:hAnsi="Palatino Linotype"/>
          <w:iCs/>
          <w:sz w:val="21"/>
          <w:szCs w:val="21"/>
        </w:rPr>
      </w:pPr>
      <w:r w:rsidRPr="00E10347">
        <w:rPr>
          <w:rFonts w:ascii="Palatino Linotype" w:hAnsi="Palatino Linotype"/>
          <w:sz w:val="21"/>
          <w:szCs w:val="21"/>
        </w:rPr>
        <w:t xml:space="preserve">Finalmente, en cuanto a la fase recursiva, es relevante enfatizar que, tan esencial es la satisfacción del interés público, que incluso es permitida la </w:t>
      </w:r>
      <w:r w:rsidRPr="00E10347">
        <w:rPr>
          <w:rFonts w:ascii="Palatino Linotype" w:hAnsi="Palatino Linotype"/>
          <w:i/>
          <w:sz w:val="21"/>
          <w:szCs w:val="21"/>
        </w:rPr>
        <w:t xml:space="preserve">reformatio in pejus, </w:t>
      </w:r>
      <w:r w:rsidRPr="00E10347">
        <w:rPr>
          <w:rFonts w:ascii="Palatino Linotype" w:hAnsi="Palatino Linotype"/>
          <w:sz w:val="21"/>
          <w:szCs w:val="21"/>
        </w:rPr>
        <w:t xml:space="preserve">cuando se trate de nulidad absoluta. Dice el numeral 351 de la LGAP: </w:t>
      </w:r>
    </w:p>
    <w:p w:rsidR="00563A13" w:rsidRPr="00E10347" w:rsidRDefault="00563A13" w:rsidP="00E10347">
      <w:pPr>
        <w:ind w:right="900"/>
        <w:jc w:val="both"/>
        <w:rPr>
          <w:rFonts w:ascii="Palatino Linotype" w:hAnsi="Palatino Linotype"/>
          <w:b/>
          <w:bCs/>
          <w:sz w:val="21"/>
          <w:szCs w:val="21"/>
        </w:rPr>
      </w:pPr>
      <w:r w:rsidRPr="00E10347">
        <w:rPr>
          <w:rFonts w:ascii="Palatino Linotype" w:hAnsi="Palatino Linotype"/>
          <w:b/>
          <w:bCs/>
          <w:sz w:val="21"/>
          <w:szCs w:val="21"/>
        </w:rPr>
        <w:t>Artículo 351.-</w:t>
      </w:r>
    </w:p>
    <w:p w:rsidR="00563A13" w:rsidRPr="00E10347" w:rsidRDefault="00563A13" w:rsidP="00E10347">
      <w:pPr>
        <w:ind w:left="1134" w:right="900"/>
        <w:jc w:val="both"/>
        <w:rPr>
          <w:rFonts w:ascii="Palatino Linotype" w:hAnsi="Palatino Linotype"/>
          <w:sz w:val="21"/>
          <w:szCs w:val="21"/>
        </w:rPr>
      </w:pPr>
      <w:r w:rsidRPr="00E10347">
        <w:rPr>
          <w:rFonts w:ascii="Palatino Linotype" w:hAnsi="Palatino Linotype"/>
          <w:sz w:val="21"/>
          <w:szCs w:val="21"/>
        </w:rPr>
        <w:t>1. Al decidirse el recurso de apelación, se resolverá sobre su admisibilidad y, de ser admisible, se confirmará, modificará o revocará el acto impugnado.</w:t>
      </w:r>
    </w:p>
    <w:p w:rsidR="00563A13" w:rsidRPr="00E10347" w:rsidRDefault="00563A13" w:rsidP="00E10347">
      <w:pPr>
        <w:ind w:left="1134" w:right="900"/>
        <w:jc w:val="both"/>
        <w:rPr>
          <w:rFonts w:ascii="Palatino Linotype" w:hAnsi="Palatino Linotype"/>
          <w:sz w:val="21"/>
          <w:szCs w:val="21"/>
        </w:rPr>
      </w:pPr>
      <w:r w:rsidRPr="00E10347">
        <w:rPr>
          <w:rFonts w:ascii="Palatino Linotype" w:hAnsi="Palatino Linotype"/>
          <w:sz w:val="21"/>
          <w:szCs w:val="21"/>
        </w:rPr>
        <w:t>2. El recurso podrá ser resuelto aún en perjuicio del recurrente cuando se trate de nulidad absoluta.</w:t>
      </w:r>
    </w:p>
    <w:p w:rsidR="00563A13" w:rsidRPr="00E10347" w:rsidRDefault="00563A13" w:rsidP="00E10347">
      <w:pPr>
        <w:ind w:right="-93" w:firstLine="709"/>
        <w:jc w:val="both"/>
        <w:rPr>
          <w:rFonts w:ascii="Palatino Linotype" w:hAnsi="Palatino Linotype"/>
          <w:sz w:val="21"/>
          <w:szCs w:val="21"/>
        </w:rPr>
      </w:pPr>
      <w:r w:rsidRPr="00E10347">
        <w:rPr>
          <w:rFonts w:ascii="Palatino Linotype" w:hAnsi="Palatino Linotype"/>
          <w:sz w:val="21"/>
          <w:szCs w:val="21"/>
        </w:rPr>
        <w:t>De lo anterior es posible concluir que, a diferencia de un proceso civil, que se rige por el principio dispositivo, en virtud del interés particular de las partes que tiene por objeto, en el procedimiento administrativo, habida cuenta del interés público subyacente, no solo la flexibilidad e informalidad son mayores, sino también los poderes oficiosos de la Administración pública.</w:t>
      </w:r>
    </w:p>
    <w:p w:rsidR="00467BDB" w:rsidRDefault="00467BDB" w:rsidP="00E10347">
      <w:pPr>
        <w:widowControl/>
        <w:autoSpaceDE/>
        <w:autoSpaceDN/>
        <w:adjustRightInd/>
        <w:jc w:val="both"/>
        <w:rPr>
          <w:rFonts w:ascii="Palatino Linotype" w:hAnsi="Palatino Linotype"/>
          <w:b/>
          <w:smallCaps/>
          <w:sz w:val="21"/>
          <w:szCs w:val="21"/>
        </w:rPr>
      </w:pPr>
    </w:p>
    <w:p w:rsidR="00563A13" w:rsidRPr="00E10347" w:rsidRDefault="00E338DC" w:rsidP="00E10347">
      <w:pPr>
        <w:widowControl/>
        <w:autoSpaceDE/>
        <w:autoSpaceDN/>
        <w:adjustRightInd/>
        <w:jc w:val="both"/>
        <w:rPr>
          <w:rFonts w:ascii="Palatino Linotype" w:hAnsi="Palatino Linotype"/>
          <w:b/>
          <w:smallCaps/>
          <w:sz w:val="21"/>
          <w:szCs w:val="21"/>
        </w:rPr>
      </w:pPr>
      <w:r w:rsidRPr="00E10347">
        <w:rPr>
          <w:rFonts w:ascii="Palatino Linotype" w:hAnsi="Palatino Linotype"/>
          <w:b/>
          <w:smallCaps/>
          <w:sz w:val="21"/>
          <w:szCs w:val="21"/>
        </w:rPr>
        <w:t xml:space="preserve">b.- </w:t>
      </w:r>
      <w:r w:rsidR="00563A13" w:rsidRPr="00E10347">
        <w:rPr>
          <w:rFonts w:ascii="Palatino Linotype" w:hAnsi="Palatino Linotype"/>
          <w:b/>
          <w:smallCaps/>
          <w:sz w:val="21"/>
          <w:szCs w:val="21"/>
        </w:rPr>
        <w:t xml:space="preserve">Proceso Contencioso Administrativo </w:t>
      </w:r>
    </w:p>
    <w:p w:rsidR="00563A13" w:rsidRPr="00E10347" w:rsidRDefault="00563A13" w:rsidP="00E10347">
      <w:pPr>
        <w:pStyle w:val="NormalWeb"/>
        <w:spacing w:before="0" w:beforeAutospacing="0" w:after="0" w:afterAutospacing="0"/>
        <w:ind w:firstLine="709"/>
        <w:jc w:val="both"/>
        <w:rPr>
          <w:rFonts w:ascii="Palatino Linotype" w:eastAsiaTheme="minorEastAsia" w:hAnsi="Palatino Linotype" w:cs="Arial"/>
          <w:snapToGrid w:val="0"/>
          <w:sz w:val="21"/>
          <w:szCs w:val="21"/>
          <w:lang w:eastAsia="en-US"/>
        </w:rPr>
      </w:pPr>
      <w:r w:rsidRPr="00E10347">
        <w:rPr>
          <w:rFonts w:ascii="Palatino Linotype" w:eastAsiaTheme="minorEastAsia" w:hAnsi="Palatino Linotype" w:cs="Arial"/>
          <w:snapToGrid w:val="0"/>
          <w:sz w:val="21"/>
          <w:szCs w:val="21"/>
          <w:lang w:eastAsia="en-US"/>
        </w:rPr>
        <w:lastRenderedPageBreak/>
        <w:t>Explica González Camacho</w:t>
      </w:r>
      <w:r w:rsidRPr="00E10347">
        <w:rPr>
          <w:rStyle w:val="Refdenotaalpie"/>
          <w:rFonts w:ascii="Palatino Linotype" w:eastAsiaTheme="minorEastAsia" w:hAnsi="Palatino Linotype" w:cs="Arial"/>
          <w:snapToGrid w:val="0"/>
          <w:sz w:val="21"/>
          <w:szCs w:val="21"/>
          <w:lang w:eastAsia="en-US"/>
        </w:rPr>
        <w:footnoteReference w:id="414"/>
      </w:r>
      <w:r w:rsidRPr="00E10347">
        <w:rPr>
          <w:rFonts w:ascii="Palatino Linotype" w:eastAsiaTheme="minorEastAsia" w:hAnsi="Palatino Linotype" w:cs="Arial"/>
          <w:snapToGrid w:val="0"/>
          <w:sz w:val="21"/>
          <w:szCs w:val="21"/>
          <w:lang w:eastAsia="en-US"/>
        </w:rPr>
        <w:t xml:space="preserve"> que, en la nueva concepción del CPCA Administrativo, no se sigue un régimen dispositivo estricto, en el que solo se hace pronunciamiento o se valora lo expresamente solicitado por las partes, sino un sistema abierto, flexible, con un papel activo de todos los agentes jurisdiccionales que intervienen en el proceso. Con ello – continúa – se ha adoptado un régimen con importantes dosis del que se ha llamado inquisitivo u oficioso.</w:t>
      </w:r>
    </w:p>
    <w:p w:rsidR="00563A13" w:rsidRPr="00E10347" w:rsidRDefault="00563A13" w:rsidP="00E10347">
      <w:pPr>
        <w:pStyle w:val="NormalWeb"/>
        <w:spacing w:before="0" w:beforeAutospacing="0" w:after="0" w:afterAutospacing="0"/>
        <w:ind w:firstLine="709"/>
        <w:jc w:val="both"/>
        <w:rPr>
          <w:rFonts w:ascii="Palatino Linotype" w:eastAsiaTheme="minorEastAsia" w:hAnsi="Palatino Linotype" w:cs="Arial"/>
          <w:snapToGrid w:val="0"/>
          <w:sz w:val="21"/>
          <w:szCs w:val="21"/>
          <w:lang w:eastAsia="en-US"/>
        </w:rPr>
      </w:pPr>
      <w:r w:rsidRPr="00E10347">
        <w:rPr>
          <w:rFonts w:ascii="Palatino Linotype" w:eastAsiaTheme="minorEastAsia" w:hAnsi="Palatino Linotype" w:cs="Arial"/>
          <w:snapToGrid w:val="0"/>
          <w:sz w:val="21"/>
          <w:szCs w:val="21"/>
          <w:lang w:eastAsia="en-US"/>
        </w:rPr>
        <w:t xml:space="preserve">Efectivamente, el régimen inquisitivo opera cuando el juez no es sujeto pasivo del proceso, sino que adopta la calidad de sujeto activo, pues ostenta facultades para iniciarlo, fijar el tema de decisión y decretar las pruebas que considere necesarias. Este tipo de sistema se ha asignado a aquellos procesos en donde se ventilan asuntos en los que el Estado o la sociedad tienen interés. Por demás, el juez está limitado solo por la ley y debe buscar la verdad real aún con prescindencia de las partes, a lo que se suma que puede impulsar el proceso de oficio y está facultado para investigar los hechos, descubriéndolos a través de medios conocidos o utilizando cualesquiera que sirvan para esclarecer la verdad. </w:t>
      </w:r>
    </w:p>
    <w:p w:rsidR="00563A13" w:rsidRPr="00E10347" w:rsidRDefault="00563A13" w:rsidP="00E10347">
      <w:pPr>
        <w:pStyle w:val="NormalWeb"/>
        <w:spacing w:before="0" w:beforeAutospacing="0" w:after="0" w:afterAutospacing="0"/>
        <w:ind w:firstLine="709"/>
        <w:jc w:val="both"/>
        <w:rPr>
          <w:rFonts w:ascii="Palatino Linotype" w:eastAsiaTheme="minorEastAsia" w:hAnsi="Palatino Linotype" w:cs="Arial"/>
          <w:snapToGrid w:val="0"/>
          <w:sz w:val="21"/>
          <w:szCs w:val="21"/>
          <w:lang w:eastAsia="en-US"/>
        </w:rPr>
      </w:pPr>
      <w:r w:rsidRPr="00E10347">
        <w:rPr>
          <w:rFonts w:ascii="Palatino Linotype" w:eastAsiaTheme="minorEastAsia" w:hAnsi="Palatino Linotype" w:cs="Arial"/>
          <w:snapToGrid w:val="0"/>
          <w:sz w:val="21"/>
          <w:szCs w:val="21"/>
          <w:lang w:eastAsia="en-US"/>
        </w:rPr>
        <w:t xml:space="preserve">En el CPCA, por tanto, se crea un régimen mixto (inquisitivo-dispositivo), que adopta una posición ecléctica con preeminencia oficiosa y/o inquisitiva del juez, la cual viene justificada en la tutela de los intereses superiores del colectivo que se dilucidan en la jurisdicción contencioso administrativa. Ello así, en el proceso contencioso administrativo, a manera de instrumento de ese haz de potestades oficiosas del juez, </w:t>
      </w:r>
      <w:r w:rsidRPr="00E10347">
        <w:rPr>
          <w:rFonts w:ascii="Palatino Linotype" w:hAnsi="Palatino Linotype" w:cs="Arial"/>
          <w:bCs/>
          <w:sz w:val="21"/>
          <w:szCs w:val="21"/>
          <w:lang w:val="es-ES"/>
        </w:rPr>
        <w:t xml:space="preserve">corresponde también a éstos una carga probatoria supletoria respecto de la prueba que resulte indispensables para el esclarecimiento de la verdad real de los hechos y cuyo requerimiento no podía anticiparse de previo al debate. </w:t>
      </w:r>
    </w:p>
    <w:p w:rsidR="00563A13" w:rsidRPr="00E10347" w:rsidRDefault="00563A13" w:rsidP="00E10347">
      <w:pPr>
        <w:pStyle w:val="BodyText21"/>
        <w:overflowPunct/>
        <w:autoSpaceDE/>
        <w:autoSpaceDN/>
        <w:adjustRightInd/>
        <w:ind w:firstLine="709"/>
        <w:rPr>
          <w:rFonts w:ascii="Palatino Linotype" w:hAnsi="Palatino Linotype" w:cs="Arial"/>
          <w:bCs/>
          <w:sz w:val="21"/>
          <w:szCs w:val="21"/>
          <w:lang w:val="es-ES"/>
        </w:rPr>
      </w:pPr>
      <w:r w:rsidRPr="00E10347">
        <w:rPr>
          <w:rFonts w:ascii="Palatino Linotype" w:hAnsi="Palatino Linotype" w:cs="Arial"/>
          <w:bCs/>
          <w:sz w:val="21"/>
          <w:szCs w:val="21"/>
          <w:lang w:val="es-ES"/>
        </w:rPr>
        <w:t xml:space="preserve">En este sentido, con posterioridad a la demanda y contestación, el CPCA faculta a los jueces, ya sea admitir o a requerir prueba adicional, al menos en tres momentos distintos: i) hasta antes de concluida la audiencia preliminar en relación con hechos nuevos o rectificaciones; ii) dentro del trámite de un recurso de casación; y iii) en todo caso y momento, como prueba para mejor resolver.  </w:t>
      </w:r>
    </w:p>
    <w:p w:rsidR="00563A13" w:rsidRPr="00E10347" w:rsidRDefault="00563A13" w:rsidP="00E10347">
      <w:pPr>
        <w:pStyle w:val="NormalWeb"/>
        <w:spacing w:before="0" w:beforeAutospacing="0" w:after="0" w:afterAutospacing="0"/>
        <w:ind w:firstLine="709"/>
        <w:jc w:val="both"/>
        <w:rPr>
          <w:rFonts w:ascii="Palatino Linotype" w:hAnsi="Palatino Linotype" w:cs="Arial"/>
          <w:sz w:val="21"/>
          <w:szCs w:val="21"/>
        </w:rPr>
      </w:pPr>
      <w:r w:rsidRPr="00E10347">
        <w:rPr>
          <w:rFonts w:ascii="Palatino Linotype" w:hAnsi="Palatino Linotype" w:cs="Arial"/>
          <w:sz w:val="21"/>
          <w:szCs w:val="21"/>
        </w:rPr>
        <w:t xml:space="preserve">Así, pues, de manera similar a lo que ocurre en el procedimiento administrativo, en el proceso contencioso administrativo también encontramos unos intereses en juego, y por tanto una arquitectura procesal totalmente diversa a </w:t>
      </w:r>
      <w:r w:rsidRPr="00E10347">
        <w:rPr>
          <w:rFonts w:ascii="Palatino Linotype" w:hAnsi="Palatino Linotype" w:cs="Arial"/>
          <w:sz w:val="21"/>
          <w:szCs w:val="21"/>
        </w:rPr>
        <w:lastRenderedPageBreak/>
        <w:t>la civil, en donde, precisamente en virtud de su objeto y su fin, se permite una oficiosidad e inquisitoriedad, que serían heréticas en materia civil.</w:t>
      </w:r>
    </w:p>
    <w:p w:rsidR="00467BDB" w:rsidRDefault="00467BDB" w:rsidP="00E10347">
      <w:pPr>
        <w:widowControl/>
        <w:autoSpaceDE/>
        <w:autoSpaceDN/>
        <w:adjustRightInd/>
        <w:jc w:val="both"/>
        <w:rPr>
          <w:rFonts w:ascii="Palatino Linotype" w:hAnsi="Palatino Linotype"/>
          <w:b/>
          <w:bCs/>
          <w:smallCaps/>
          <w:sz w:val="21"/>
          <w:szCs w:val="21"/>
        </w:rPr>
      </w:pPr>
    </w:p>
    <w:p w:rsidR="00563A13" w:rsidRPr="00E10347" w:rsidRDefault="00E338DC" w:rsidP="00E10347">
      <w:pPr>
        <w:widowControl/>
        <w:autoSpaceDE/>
        <w:autoSpaceDN/>
        <w:adjustRightInd/>
        <w:jc w:val="both"/>
        <w:rPr>
          <w:rFonts w:ascii="Palatino Linotype" w:hAnsi="Palatino Linotype"/>
          <w:b/>
          <w:smallCaps/>
          <w:sz w:val="21"/>
          <w:szCs w:val="21"/>
        </w:rPr>
      </w:pPr>
      <w:r w:rsidRPr="00E10347">
        <w:rPr>
          <w:rFonts w:ascii="Palatino Linotype" w:hAnsi="Palatino Linotype"/>
          <w:b/>
          <w:bCs/>
          <w:smallCaps/>
          <w:sz w:val="21"/>
          <w:szCs w:val="21"/>
        </w:rPr>
        <w:t xml:space="preserve">b.- </w:t>
      </w:r>
      <w:r w:rsidR="00563A13" w:rsidRPr="00E10347">
        <w:rPr>
          <w:rFonts w:ascii="Palatino Linotype" w:hAnsi="Palatino Linotype"/>
          <w:b/>
          <w:bCs/>
          <w:smallCaps/>
          <w:sz w:val="21"/>
          <w:szCs w:val="21"/>
        </w:rPr>
        <w:t>¿Supletoriedad Del Código Procesal Civil y/o Nuevo Código Procesal Civil? ¿Hasta Dónde?</w:t>
      </w:r>
    </w:p>
    <w:p w:rsidR="00563A13" w:rsidRPr="00E10347" w:rsidRDefault="00563A13" w:rsidP="00E10347">
      <w:pPr>
        <w:ind w:firstLine="709"/>
        <w:jc w:val="both"/>
        <w:rPr>
          <w:rFonts w:ascii="Palatino Linotype" w:hAnsi="Palatino Linotype"/>
          <w:bCs/>
          <w:sz w:val="21"/>
          <w:szCs w:val="21"/>
        </w:rPr>
      </w:pPr>
      <w:r w:rsidRPr="00E10347">
        <w:rPr>
          <w:rFonts w:ascii="Palatino Linotype" w:hAnsi="Palatino Linotype"/>
          <w:bCs/>
          <w:sz w:val="21"/>
          <w:szCs w:val="21"/>
        </w:rPr>
        <w:t xml:space="preserve">A partir de las diferencias apuntadas entre el procedimiento administrativo, el proceso contencioso administrativo y el proceso civil, resulta interesante analizar si efectivamente pueden el CPC y/o NCPC aplicar de manera supletoria, así sin más, tanto a la LGAP como al CPCA, o si bien el tema en debate es más complejo y requiere, ora su negación rotunda, ora su cuidadosa modulación. </w:t>
      </w:r>
    </w:p>
    <w:p w:rsidR="00563A13" w:rsidRPr="00E10347" w:rsidRDefault="00563A13" w:rsidP="00E10347">
      <w:pPr>
        <w:ind w:firstLine="709"/>
        <w:jc w:val="both"/>
        <w:rPr>
          <w:rFonts w:ascii="Palatino Linotype" w:hAnsi="Palatino Linotype"/>
          <w:bCs/>
          <w:sz w:val="21"/>
          <w:szCs w:val="21"/>
        </w:rPr>
      </w:pPr>
      <w:r w:rsidRPr="00E10347">
        <w:rPr>
          <w:rFonts w:ascii="Palatino Linotype" w:hAnsi="Palatino Linotype"/>
          <w:bCs/>
          <w:sz w:val="21"/>
          <w:szCs w:val="21"/>
        </w:rPr>
        <w:t>Y es que, aun cuando el terreno de los hechos probados y no probados es el campo donde se deciden buena parte de los procedimientos administrativos y litigios contenciosos administrativos, no abundan, empero, estudios especializados sobre esta temática.</w:t>
      </w:r>
      <w:r w:rsidRPr="00E10347">
        <w:rPr>
          <w:rStyle w:val="Refdenotaalpie"/>
          <w:rFonts w:ascii="Palatino Linotype" w:hAnsi="Palatino Linotype"/>
          <w:sz w:val="21"/>
          <w:szCs w:val="21"/>
        </w:rPr>
        <w:footnoteReference w:id="415"/>
      </w:r>
      <w:r w:rsidRPr="00E10347">
        <w:rPr>
          <w:rFonts w:ascii="Palatino Linotype" w:hAnsi="Palatino Linotype"/>
          <w:bCs/>
          <w:sz w:val="21"/>
          <w:szCs w:val="21"/>
        </w:rPr>
        <w:t xml:space="preserve"> Quizás esta insuficiencia, tanto en nuestro país como allende, se explica en buena medida porque, primero el legislador al aprobar la Ley Reguladora de la Jurisdicción Contencioso Administrativa encontró muy sencillo recalar en el Código de Procedimientos Civiles para todo aquello no regulado en aquella. Pero adicionalmente, quienes nos dedicamos al Derecho público, también hemos preferido no salir de dicha zona de confort, e igualmente descansar en los textos – tanto de doctrina como legislativos - de los procesalistas civiles, que sí que han hecho profusamente su tarea en cuanto al estudio de la prueba, permitiendo con ello que nuestro Derecho procesal administrativo pierda independencia y promoviendo así que los jueces apliquen mecánicamente el Código Procesal Civil  en todo lo no previsto en el CPCA, o en su caso la Administración pública en materia de procedimiento administrativo ante laguna de la LGAP. Bien da cuenta de ello </w:t>
      </w:r>
      <w:r w:rsidRPr="00E10347">
        <w:rPr>
          <w:rFonts w:ascii="Palatino Linotype" w:hAnsi="Palatino Linotype"/>
          <w:bCs/>
          <w:smallCaps/>
          <w:sz w:val="21"/>
          <w:szCs w:val="21"/>
        </w:rPr>
        <w:t>Artavia Barrantes</w:t>
      </w:r>
      <w:r w:rsidRPr="00E10347">
        <w:rPr>
          <w:rFonts w:ascii="Palatino Linotype" w:hAnsi="Palatino Linotype"/>
          <w:bCs/>
          <w:sz w:val="21"/>
          <w:szCs w:val="21"/>
        </w:rPr>
        <w:t xml:space="preserve"> cuando relata: “Una de las mayores preocupaciones de la Comisión Original fue dotar al Código de una verdadera teoría de la prueba. La amarga experiencia del CPCA del 2008, que en tan solo 8 artículos, sin ninguna sistemática, reguló tan importante tema, debía ser superada.”</w:t>
      </w:r>
      <w:r w:rsidRPr="00E10347">
        <w:rPr>
          <w:rStyle w:val="Refdenotaalpie"/>
          <w:rFonts w:ascii="Palatino Linotype" w:hAnsi="Palatino Linotype"/>
          <w:sz w:val="21"/>
          <w:szCs w:val="21"/>
        </w:rPr>
        <w:footnoteReference w:id="416"/>
      </w:r>
      <w:r w:rsidRPr="00E10347">
        <w:rPr>
          <w:rFonts w:ascii="Palatino Linotype" w:hAnsi="Palatino Linotype"/>
          <w:bCs/>
          <w:sz w:val="21"/>
          <w:szCs w:val="21"/>
        </w:rPr>
        <w:t xml:space="preserve">  </w:t>
      </w:r>
    </w:p>
    <w:p w:rsidR="00563A13" w:rsidRPr="00E10347" w:rsidRDefault="00563A13" w:rsidP="00E10347">
      <w:pPr>
        <w:ind w:firstLine="709"/>
        <w:jc w:val="both"/>
        <w:rPr>
          <w:rFonts w:ascii="Palatino Linotype" w:hAnsi="Palatino Linotype"/>
          <w:bCs/>
          <w:sz w:val="21"/>
          <w:szCs w:val="21"/>
        </w:rPr>
      </w:pPr>
      <w:r w:rsidRPr="00E10347">
        <w:rPr>
          <w:rFonts w:ascii="Palatino Linotype" w:hAnsi="Palatino Linotype"/>
          <w:bCs/>
          <w:sz w:val="21"/>
          <w:szCs w:val="21"/>
        </w:rPr>
        <w:t xml:space="preserve">Por tanto, </w:t>
      </w:r>
      <w:r w:rsidRPr="00E10347">
        <w:rPr>
          <w:rFonts w:ascii="Palatino Linotype" w:hAnsi="Palatino Linotype"/>
          <w:bCs/>
          <w:i/>
          <w:sz w:val="21"/>
          <w:szCs w:val="21"/>
        </w:rPr>
        <w:t xml:space="preserve">mea culpa, </w:t>
      </w:r>
      <w:r w:rsidRPr="00E10347">
        <w:rPr>
          <w:rFonts w:ascii="Palatino Linotype" w:hAnsi="Palatino Linotype"/>
          <w:bCs/>
          <w:sz w:val="21"/>
          <w:szCs w:val="21"/>
        </w:rPr>
        <w:t>en primer término, del legislador, pero además</w:t>
      </w:r>
      <w:r w:rsidRPr="00E10347">
        <w:rPr>
          <w:rFonts w:ascii="Palatino Linotype" w:hAnsi="Palatino Linotype"/>
          <w:bCs/>
          <w:i/>
          <w:sz w:val="21"/>
          <w:szCs w:val="21"/>
        </w:rPr>
        <w:t xml:space="preserve"> </w:t>
      </w:r>
      <w:r w:rsidRPr="00E10347">
        <w:rPr>
          <w:rFonts w:ascii="Palatino Linotype" w:hAnsi="Palatino Linotype"/>
          <w:bCs/>
          <w:sz w:val="21"/>
          <w:szCs w:val="21"/>
        </w:rPr>
        <w:t xml:space="preserve">de </w:t>
      </w:r>
      <w:r w:rsidRPr="00E10347">
        <w:rPr>
          <w:rFonts w:ascii="Palatino Linotype" w:hAnsi="Palatino Linotype"/>
          <w:bCs/>
          <w:sz w:val="21"/>
          <w:szCs w:val="21"/>
        </w:rPr>
        <w:lastRenderedPageBreak/>
        <w:t xml:space="preserve">quienes nos dedicamos a esta rama del Derecho; no obstante, lo cual, nunca es tarde para rectificar y reconquistar las parcelas de nuestra disciplina asumidas por el Derecho procesal civil ante el conformismo de nuestra disciplina.  </w:t>
      </w:r>
    </w:p>
    <w:p w:rsidR="00563A13" w:rsidRPr="00E10347" w:rsidRDefault="00563A13" w:rsidP="00E10347">
      <w:pPr>
        <w:ind w:firstLine="709"/>
        <w:jc w:val="both"/>
        <w:rPr>
          <w:rFonts w:ascii="Palatino Linotype" w:hAnsi="Palatino Linotype"/>
          <w:bCs/>
          <w:sz w:val="21"/>
          <w:szCs w:val="21"/>
        </w:rPr>
      </w:pPr>
      <w:r w:rsidRPr="00E10347">
        <w:rPr>
          <w:rFonts w:ascii="Palatino Linotype" w:hAnsi="Palatino Linotype"/>
          <w:bCs/>
          <w:sz w:val="21"/>
          <w:szCs w:val="21"/>
        </w:rPr>
        <w:t>Efectivamente, el artículo 220 del CPCA indica que: “Para lo no previsto expresamente en este Código, se aplicarán los principios del Derecho público y procesal, en general.” Así, a diferencia de la Ley Reguladora de la Jurisdicción Contencioso Administrativa, que en su numeral 103 expresamente establecía que e</w:t>
      </w:r>
      <w:r w:rsidRPr="00E10347">
        <w:rPr>
          <w:rFonts w:ascii="Palatino Linotype" w:hAnsi="Palatino Linotype"/>
          <w:sz w:val="21"/>
          <w:szCs w:val="21"/>
        </w:rPr>
        <w:t>n lo no previsto regirían, como supletorios, el Código de Procedimiento Civiles y las disposiciones orgánicas generales del Poder Judicial, en el CPCA no se remite a ley alguna, sino a principios, del Derecho público en primer lugar, y procesal general, no procesal civil, en segundo lugar.</w:t>
      </w:r>
      <w:r w:rsidRPr="00E10347">
        <w:rPr>
          <w:rFonts w:ascii="Palatino Linotype" w:hAnsi="Palatino Linotype"/>
          <w:bCs/>
          <w:sz w:val="21"/>
          <w:szCs w:val="21"/>
        </w:rPr>
        <w:t xml:space="preserve"> </w:t>
      </w:r>
    </w:p>
    <w:p w:rsidR="00563A13" w:rsidRPr="00E10347" w:rsidRDefault="00563A13" w:rsidP="00E10347">
      <w:pPr>
        <w:ind w:firstLine="709"/>
        <w:jc w:val="both"/>
        <w:rPr>
          <w:rFonts w:ascii="Palatino Linotype" w:hAnsi="Palatino Linotype"/>
          <w:bCs/>
          <w:sz w:val="21"/>
          <w:szCs w:val="21"/>
        </w:rPr>
      </w:pPr>
      <w:r w:rsidRPr="00E10347">
        <w:rPr>
          <w:rFonts w:ascii="Palatino Linotype" w:hAnsi="Palatino Linotype"/>
          <w:bCs/>
          <w:sz w:val="21"/>
          <w:szCs w:val="21"/>
        </w:rPr>
        <w:t>Hasta ahora, sin embargo, la jurisprudencia nacional ha considerado de manera cuasi-automática que el artículo 220 del Código Procesal Contencioso Administrativo permite, en lo no previsto, la aplicación del CPC.</w:t>
      </w:r>
      <w:r w:rsidRPr="00E10347">
        <w:rPr>
          <w:rFonts w:ascii="Palatino Linotype" w:hAnsi="Palatino Linotype"/>
          <w:sz w:val="21"/>
          <w:szCs w:val="21"/>
          <w:vertAlign w:val="superscript"/>
        </w:rPr>
        <w:footnoteReference w:id="417"/>
      </w:r>
      <w:r w:rsidRPr="00E10347">
        <w:rPr>
          <w:rFonts w:ascii="Palatino Linotype" w:hAnsi="Palatino Linotype"/>
          <w:bCs/>
          <w:sz w:val="21"/>
          <w:szCs w:val="21"/>
        </w:rPr>
        <w:t xml:space="preserve"> </w:t>
      </w:r>
    </w:p>
    <w:p w:rsidR="00563A13" w:rsidRPr="00E10347" w:rsidRDefault="00563A13" w:rsidP="00E10347">
      <w:pPr>
        <w:ind w:firstLine="709"/>
        <w:jc w:val="both"/>
        <w:rPr>
          <w:rFonts w:ascii="Palatino Linotype" w:hAnsi="Palatino Linotype"/>
          <w:bCs/>
          <w:sz w:val="21"/>
          <w:szCs w:val="21"/>
        </w:rPr>
      </w:pPr>
      <w:r w:rsidRPr="00E10347">
        <w:rPr>
          <w:rFonts w:ascii="Palatino Linotype" w:hAnsi="Palatino Linotype"/>
          <w:bCs/>
          <w:sz w:val="21"/>
          <w:szCs w:val="21"/>
        </w:rPr>
        <w:t>A partir de esta tesitura, la Sala Primera de la Corte Suprema de Justicia ha venido entendiendo – por ejemplo - que, aun no estando expresamente previsto en el CPCA, algunas resoluciones resultan del conocimiento del Tribunal de Apelación de lo Contencioso Administrativo por aplicación supletoria del CPC.</w:t>
      </w:r>
      <w:r w:rsidRPr="00E10347">
        <w:rPr>
          <w:rStyle w:val="Refdenotaalpie"/>
          <w:rFonts w:ascii="Palatino Linotype" w:hAnsi="Palatino Linotype"/>
          <w:sz w:val="21"/>
          <w:szCs w:val="21"/>
        </w:rPr>
        <w:footnoteReference w:id="418"/>
      </w:r>
      <w:r w:rsidRPr="00E10347">
        <w:rPr>
          <w:rFonts w:ascii="Palatino Linotype" w:hAnsi="Palatino Linotype"/>
          <w:bCs/>
          <w:sz w:val="21"/>
          <w:szCs w:val="21"/>
        </w:rPr>
        <w:t xml:space="preserve"> De esta forma, “en ausencia de la letra de la ley, o aún más, a contrapelo de ésta, se ha ampliado de ese modo la segunda instancia contencioso administrativa, lo que genera una clara incerteza jurídica y requiere la atención del legislador ordinario.”</w:t>
      </w:r>
      <w:r w:rsidRPr="00E10347">
        <w:rPr>
          <w:rStyle w:val="Refdenotaalpie"/>
          <w:rFonts w:ascii="Palatino Linotype" w:hAnsi="Palatino Linotype"/>
          <w:sz w:val="21"/>
          <w:szCs w:val="21"/>
        </w:rPr>
        <w:footnoteReference w:id="419"/>
      </w:r>
      <w:r w:rsidRPr="00E10347">
        <w:rPr>
          <w:rFonts w:ascii="Palatino Linotype" w:hAnsi="Palatino Linotype"/>
          <w:bCs/>
          <w:sz w:val="21"/>
          <w:szCs w:val="21"/>
        </w:rPr>
        <w:t xml:space="preserve">  </w:t>
      </w:r>
    </w:p>
    <w:p w:rsidR="00563A13" w:rsidRPr="00E10347" w:rsidRDefault="00563A13" w:rsidP="00E10347">
      <w:pPr>
        <w:ind w:firstLine="709"/>
        <w:jc w:val="both"/>
        <w:rPr>
          <w:rFonts w:ascii="Palatino Linotype" w:hAnsi="Palatino Linotype"/>
          <w:smallCaps/>
          <w:sz w:val="21"/>
          <w:szCs w:val="21"/>
        </w:rPr>
      </w:pPr>
      <w:r w:rsidRPr="00E10347">
        <w:rPr>
          <w:rFonts w:ascii="Palatino Linotype" w:hAnsi="Palatino Linotype"/>
          <w:sz w:val="21"/>
          <w:szCs w:val="21"/>
        </w:rPr>
        <w:t xml:space="preserve">Otra doctrina - empero - ha hecho un llamado a cuestionarse si: “¿Es la legislación civil fuente material para la resolución de problemas administrativos allí donde hay anomia, ausencia de </w:t>
      </w:r>
      <w:r w:rsidRPr="00E10347">
        <w:rPr>
          <w:rFonts w:ascii="Palatino Linotype" w:hAnsi="Palatino Linotype"/>
          <w:i/>
          <w:sz w:val="21"/>
          <w:szCs w:val="21"/>
        </w:rPr>
        <w:t xml:space="preserve">lex </w:t>
      </w:r>
      <w:r w:rsidRPr="00E10347">
        <w:rPr>
          <w:rFonts w:ascii="Palatino Linotype" w:hAnsi="Palatino Linotype"/>
          <w:sz w:val="21"/>
          <w:szCs w:val="21"/>
        </w:rPr>
        <w:t>administrativa?”</w:t>
      </w:r>
      <w:r w:rsidRPr="00E10347">
        <w:rPr>
          <w:rStyle w:val="Refdenotaalpie"/>
          <w:rFonts w:ascii="Palatino Linotype" w:hAnsi="Palatino Linotype"/>
          <w:sz w:val="21"/>
          <w:szCs w:val="21"/>
        </w:rPr>
        <w:footnoteReference w:id="420"/>
      </w:r>
      <w:r w:rsidRPr="00E10347">
        <w:rPr>
          <w:rFonts w:ascii="Palatino Linotype" w:hAnsi="Palatino Linotype"/>
          <w:sz w:val="21"/>
          <w:szCs w:val="21"/>
        </w:rPr>
        <w:t xml:space="preserve"> Más aún, un procesalista tan reconocido como G</w:t>
      </w:r>
      <w:r w:rsidRPr="00E10347">
        <w:rPr>
          <w:rFonts w:ascii="Palatino Linotype" w:hAnsi="Palatino Linotype"/>
          <w:smallCaps/>
          <w:sz w:val="21"/>
          <w:szCs w:val="21"/>
        </w:rPr>
        <w:t xml:space="preserve">onzález Pérez </w:t>
      </w:r>
      <w:r w:rsidRPr="00E10347">
        <w:rPr>
          <w:rFonts w:ascii="Palatino Linotype" w:hAnsi="Palatino Linotype"/>
          <w:sz w:val="21"/>
          <w:szCs w:val="21"/>
        </w:rPr>
        <w:t xml:space="preserve">confiesa que: “(l)as prerrogativas de la </w:t>
      </w:r>
      <w:r w:rsidRPr="00E10347">
        <w:rPr>
          <w:rFonts w:ascii="Palatino Linotype" w:hAnsi="Palatino Linotype"/>
          <w:sz w:val="21"/>
          <w:szCs w:val="21"/>
        </w:rPr>
        <w:lastRenderedPageBreak/>
        <w:t>Administración en un régimen administrativo impiden la existencia de un proceso análogo al civil”.</w:t>
      </w:r>
      <w:r w:rsidRPr="00E10347">
        <w:rPr>
          <w:rStyle w:val="Refdenotaalpie"/>
          <w:rFonts w:ascii="Palatino Linotype" w:hAnsi="Palatino Linotype"/>
          <w:sz w:val="21"/>
          <w:szCs w:val="21"/>
        </w:rPr>
        <w:t xml:space="preserve"> </w:t>
      </w:r>
      <w:r w:rsidRPr="00E10347">
        <w:rPr>
          <w:rStyle w:val="Refdenotaalpie"/>
          <w:rFonts w:ascii="Palatino Linotype" w:hAnsi="Palatino Linotype"/>
          <w:sz w:val="21"/>
          <w:szCs w:val="21"/>
        </w:rPr>
        <w:footnoteReference w:id="421"/>
      </w:r>
      <w:r w:rsidRPr="00E10347">
        <w:rPr>
          <w:rFonts w:ascii="Palatino Linotype" w:hAnsi="Palatino Linotype"/>
          <w:sz w:val="21"/>
          <w:szCs w:val="21"/>
        </w:rPr>
        <w:t xml:space="preserve"> Con la misma estatura académica, también el profesor francés </w:t>
      </w:r>
      <w:r w:rsidRPr="00E10347">
        <w:rPr>
          <w:rFonts w:ascii="Palatino Linotype" w:hAnsi="Palatino Linotype"/>
          <w:smallCaps/>
          <w:sz w:val="21"/>
          <w:szCs w:val="21"/>
        </w:rPr>
        <w:t xml:space="preserve">Chapus </w:t>
      </w:r>
      <w:r w:rsidRPr="00E10347">
        <w:rPr>
          <w:rFonts w:ascii="Palatino Linotype" w:hAnsi="Palatino Linotype"/>
          <w:sz w:val="21"/>
          <w:szCs w:val="21"/>
        </w:rPr>
        <w:t>ha podido señalar</w:t>
      </w:r>
      <w:r w:rsidRPr="00E10347">
        <w:rPr>
          <w:rFonts w:ascii="Palatino Linotype" w:hAnsi="Palatino Linotype"/>
          <w:smallCaps/>
          <w:sz w:val="21"/>
          <w:szCs w:val="21"/>
        </w:rPr>
        <w:t>:</w:t>
      </w:r>
    </w:p>
    <w:p w:rsidR="00563A13" w:rsidRPr="00E10347" w:rsidRDefault="00563A13" w:rsidP="00E10347">
      <w:pPr>
        <w:pStyle w:val="HTMLconformatoprevio"/>
        <w:ind w:left="1418" w:right="902" w:firstLine="709"/>
        <w:jc w:val="both"/>
        <w:rPr>
          <w:rFonts w:ascii="Palatino Linotype" w:hAnsi="Palatino Linotype" w:cs="Arial"/>
          <w:sz w:val="21"/>
          <w:szCs w:val="21"/>
          <w:lang w:val="fr-FR"/>
        </w:rPr>
      </w:pPr>
      <w:r w:rsidRPr="00E10347">
        <w:rPr>
          <w:rFonts w:ascii="Palatino Linotype" w:hAnsi="Palatino Linotype" w:cs="Arial"/>
          <w:smallCaps/>
          <w:sz w:val="21"/>
          <w:szCs w:val="21"/>
          <w:lang w:val="es-ES"/>
        </w:rPr>
        <w:t>“</w:t>
      </w:r>
      <w:r w:rsidRPr="00E10347">
        <w:rPr>
          <w:rFonts w:ascii="Palatino Linotype" w:hAnsi="Palatino Linotype" w:cs="Arial"/>
          <w:sz w:val="21"/>
          <w:szCs w:val="21"/>
          <w:lang w:val="es-ES"/>
        </w:rPr>
        <w:t xml:space="preserve">Le fait que la procédure civile a tojours été codifiée et que, para </w:t>
      </w:r>
      <w:r w:rsidRPr="00E10347">
        <w:rPr>
          <w:rFonts w:ascii="Palatino Linotype" w:hAnsi="Palatino Linotype" w:cs="Arial"/>
          <w:sz w:val="21"/>
          <w:szCs w:val="21"/>
          <w:lang w:val="fr-FR"/>
        </w:rPr>
        <w:t>là</w:t>
      </w:r>
      <w:r w:rsidRPr="00E10347">
        <w:rPr>
          <w:rFonts w:ascii="Palatino Linotype" w:hAnsi="Palatino Linotype" w:cs="Arial"/>
          <w:sz w:val="21"/>
          <w:szCs w:val="21"/>
          <w:lang w:val="es-ES"/>
        </w:rPr>
        <w:t xml:space="preserve"> </w:t>
      </w:r>
      <w:r w:rsidRPr="00E10347">
        <w:rPr>
          <w:rStyle w:val="nfasis"/>
          <w:rFonts w:ascii="Palatino Linotype" w:hAnsi="Palatino Linotype" w:cs="Arial"/>
          <w:sz w:val="21"/>
          <w:szCs w:val="21"/>
          <w:lang w:val="es-419"/>
        </w:rPr>
        <w:t xml:space="preserve">même san doute, elle a été lontemps beaucoup plus élaborée que la procédure jurisdictionelle administrative, aurait pu conduire </w:t>
      </w:r>
      <w:r w:rsidRPr="00E10347">
        <w:rPr>
          <w:rFonts w:ascii="Palatino Linotype" w:hAnsi="Palatino Linotype" w:cs="Arial"/>
          <w:sz w:val="21"/>
          <w:szCs w:val="21"/>
          <w:lang w:val="fr-FR"/>
        </w:rPr>
        <w:t xml:space="preserve">à la considérer comme ayant valeur d´example ou </w:t>
      </w:r>
      <w:r w:rsidRPr="00E10347">
        <w:rPr>
          <w:rStyle w:val="nfasis"/>
          <w:rFonts w:ascii="Palatino Linotype" w:hAnsi="Palatino Linotype" w:cs="Arial"/>
          <w:sz w:val="21"/>
          <w:szCs w:val="21"/>
          <w:lang w:val="es-419"/>
        </w:rPr>
        <w:t xml:space="preserve">même </w:t>
      </w:r>
      <w:r w:rsidRPr="00E10347">
        <w:rPr>
          <w:rFonts w:ascii="Palatino Linotype" w:hAnsi="Palatino Linotype" w:cs="Arial"/>
          <w:sz w:val="21"/>
          <w:szCs w:val="21"/>
          <w:lang w:val="fr-FR"/>
        </w:rPr>
        <w:t>modèle, et cela au point qu´on lui aurait reconnu juridiquemente vocation à régir aussi les jurisdictions administratives; au moins en principe, c´est-à-dire réserve faite des dispositions particulières édictées relativement à ces jurisdictions et à condition qu´il n´y ait pas incompatibilité entre l´organisation de ces jurisdictions et les règles de procédure civile.</w:t>
      </w:r>
    </w:p>
    <w:p w:rsidR="00563A13" w:rsidRPr="00E10347" w:rsidRDefault="00563A13" w:rsidP="00E10347">
      <w:pPr>
        <w:pStyle w:val="HTMLconformatoprevio"/>
        <w:ind w:left="1418" w:right="902" w:firstLine="709"/>
        <w:jc w:val="both"/>
        <w:rPr>
          <w:rFonts w:ascii="Palatino Linotype" w:hAnsi="Palatino Linotype" w:cs="Arial"/>
          <w:sz w:val="21"/>
          <w:szCs w:val="21"/>
          <w:lang w:val="fr-FR"/>
        </w:rPr>
      </w:pPr>
      <w:r w:rsidRPr="00E10347">
        <w:rPr>
          <w:rFonts w:ascii="Palatino Linotype" w:hAnsi="Palatino Linotype" w:cs="Arial"/>
          <w:sz w:val="21"/>
          <w:szCs w:val="21"/>
          <w:lang w:val="fr-FR"/>
        </w:rPr>
        <w:t xml:space="preserve">Ce principe aurait pu être posé, à un moment quelconque, par un texte édicté par l´autorité compétente. Il aurait pu aussi, à défault de texte, être consacré para voie jurisprudentielle. </w:t>
      </w:r>
    </w:p>
    <w:p w:rsidR="00563A13" w:rsidRPr="00E10347" w:rsidRDefault="00563A13" w:rsidP="00E10347">
      <w:pPr>
        <w:pStyle w:val="HTMLconformatoprevio"/>
        <w:ind w:left="1418" w:right="902" w:firstLine="709"/>
        <w:jc w:val="both"/>
        <w:rPr>
          <w:rFonts w:ascii="Palatino Linotype" w:hAnsi="Palatino Linotype" w:cs="Arial"/>
          <w:sz w:val="21"/>
          <w:szCs w:val="21"/>
          <w:lang w:val="fr-FR"/>
        </w:rPr>
      </w:pPr>
      <w:r w:rsidRPr="00E10347">
        <w:rPr>
          <w:rFonts w:ascii="Palatino Linotype" w:hAnsi="Palatino Linotype" w:cs="Arial"/>
          <w:sz w:val="21"/>
          <w:szCs w:val="21"/>
          <w:lang w:val="fr-FR"/>
        </w:rPr>
        <w:t>C´est ce qui n´a pas été. Le Conseil de´Etat, auquel aucune disposition textuelle n´imposait et n´impose de se prononcer autrement, a opté pour l´autonomié. Le principe est que le caractère administratif d´une jurisdiction provoque le rejet des règles de procédure civile. Telle jurisdiction est administrative : « par suite, les règles du Code de procédure civile ne sont pas, para elles-</w:t>
      </w:r>
      <w:r w:rsidRPr="00E10347">
        <w:rPr>
          <w:rStyle w:val="nfasis"/>
          <w:rFonts w:ascii="Palatino Linotype" w:hAnsi="Palatino Linotype" w:cs="Arial"/>
          <w:sz w:val="21"/>
          <w:szCs w:val="21"/>
          <w:lang w:val="fr-FR"/>
        </w:rPr>
        <w:t xml:space="preserve"> mêmes, aplicables » </w:t>
      </w:r>
      <w:r w:rsidRPr="00E10347">
        <w:rPr>
          <w:rFonts w:ascii="Palatino Linotype" w:hAnsi="Palatino Linotype" w:cs="Arial"/>
          <w:sz w:val="21"/>
          <w:szCs w:val="21"/>
          <w:lang w:val="fr-FR"/>
        </w:rPr>
        <w:t>à cette jurisdiction. (…)</w:t>
      </w:r>
    </w:p>
    <w:p w:rsidR="00563A13" w:rsidRPr="00E10347" w:rsidRDefault="00563A13" w:rsidP="00E10347">
      <w:pPr>
        <w:pStyle w:val="HTMLconformatoprevio"/>
        <w:ind w:left="1418" w:right="902" w:firstLine="709"/>
        <w:jc w:val="both"/>
        <w:rPr>
          <w:rFonts w:ascii="Palatino Linotype" w:hAnsi="Palatino Linotype" w:cs="Arial"/>
          <w:b/>
          <w:sz w:val="21"/>
          <w:szCs w:val="21"/>
          <w:lang w:val="fr-FR"/>
        </w:rPr>
      </w:pPr>
      <w:r w:rsidRPr="00E10347">
        <w:rPr>
          <w:rFonts w:ascii="Palatino Linotype" w:hAnsi="Palatino Linotype" w:cs="Arial"/>
          <w:sz w:val="21"/>
          <w:szCs w:val="21"/>
          <w:lang w:val="fr-FR"/>
        </w:rPr>
        <w:t xml:space="preserve">Le Code de procédure civile est ainsi, et autant que le Code civil, sans autorité, en principe, à l´égard des jurisdiction administratives : elles ne sont pas plus tenues de juger selon les formes que prescrit le premier, qu´elles </w:t>
      </w:r>
      <w:r w:rsidRPr="00E10347">
        <w:rPr>
          <w:rFonts w:ascii="Palatino Linotype" w:hAnsi="Palatino Linotype" w:cs="Arial"/>
          <w:sz w:val="21"/>
          <w:szCs w:val="21"/>
          <w:lang w:val="fr-FR"/>
        </w:rPr>
        <w:lastRenderedPageBreak/>
        <w:t>ne sont tenues de faire application des règles du fond du second.</w:t>
      </w:r>
      <w:r w:rsidRPr="00E10347">
        <w:rPr>
          <w:rFonts w:ascii="Palatino Linotype" w:hAnsi="Palatino Linotype" w:cs="Arial"/>
          <w:sz w:val="21"/>
          <w:szCs w:val="21"/>
          <w:lang w:val="es-ES"/>
        </w:rPr>
        <w:t>”</w:t>
      </w:r>
      <w:r w:rsidRPr="00E10347">
        <w:rPr>
          <w:rStyle w:val="Refdenotaalpie"/>
          <w:rFonts w:ascii="Palatino Linotype" w:eastAsiaTheme="majorEastAsia" w:hAnsi="Palatino Linotype" w:cs="Arial"/>
          <w:sz w:val="21"/>
          <w:szCs w:val="21"/>
        </w:rPr>
        <w:footnoteReference w:id="422"/>
      </w:r>
      <w:r w:rsidRPr="00E10347">
        <w:rPr>
          <w:rFonts w:ascii="Palatino Linotype" w:hAnsi="Palatino Linotype" w:cs="Arial"/>
          <w:sz w:val="21"/>
          <w:szCs w:val="21"/>
          <w:lang w:val="fr-FR"/>
        </w:rPr>
        <w:t> </w:t>
      </w:r>
    </w:p>
    <w:p w:rsidR="00563A13" w:rsidRPr="00E10347" w:rsidRDefault="00563A13" w:rsidP="00E10347">
      <w:pPr>
        <w:ind w:firstLine="709"/>
        <w:jc w:val="both"/>
        <w:rPr>
          <w:rFonts w:ascii="Palatino Linotype" w:hAnsi="Palatino Linotype"/>
          <w:bCs/>
          <w:sz w:val="21"/>
          <w:szCs w:val="21"/>
        </w:rPr>
      </w:pPr>
      <w:r w:rsidRPr="00E10347">
        <w:rPr>
          <w:rFonts w:ascii="Palatino Linotype" w:hAnsi="Palatino Linotype"/>
          <w:sz w:val="21"/>
          <w:szCs w:val="21"/>
        </w:rPr>
        <w:t xml:space="preserve">De todo lo anterior hace eco el artículo 229 de la Ley General de la Administración Pública, que prevé en ausencia de disposición expresa de su texto, la aplicación supletoria, en primer término, de los demás Libros de esa ley, de la Ley Reguladora de la Jurisdicción Contencioso Administrativa (hoy CPCA), de las demás normas, escritas y no escritas, con rango legal o reglamentario, del ordenamiento administrativo y, en último término, del Código de Procedimientos Civiles (hoy CPC y en poco tiempo NCPC), la Ley Orgánica del Poder Judicial y el resto del Derecho común. Sobre esta disposición explicaba </w:t>
      </w:r>
      <w:r w:rsidRPr="00E10347">
        <w:rPr>
          <w:rFonts w:ascii="Palatino Linotype" w:hAnsi="Palatino Linotype"/>
          <w:smallCaps/>
          <w:sz w:val="21"/>
          <w:szCs w:val="21"/>
        </w:rPr>
        <w:t>Ortiz Ortiz</w:t>
      </w:r>
      <w:r w:rsidRPr="00E10347">
        <w:rPr>
          <w:rFonts w:ascii="Palatino Linotype" w:hAnsi="Palatino Linotype"/>
          <w:sz w:val="21"/>
          <w:szCs w:val="21"/>
        </w:rPr>
        <w:t xml:space="preserve"> ante la Comisión Legislativa que: </w:t>
      </w:r>
    </w:p>
    <w:p w:rsidR="00563A13" w:rsidRPr="00E10347" w:rsidRDefault="00563A13" w:rsidP="00E10347">
      <w:pPr>
        <w:pStyle w:val="Prrafodelista"/>
        <w:ind w:left="1418" w:right="900" w:firstLine="709"/>
        <w:jc w:val="both"/>
        <w:rPr>
          <w:rFonts w:ascii="Palatino Linotype" w:hAnsi="Palatino Linotype"/>
          <w:sz w:val="21"/>
          <w:szCs w:val="21"/>
        </w:rPr>
      </w:pPr>
      <w:r w:rsidRPr="00E10347">
        <w:rPr>
          <w:rFonts w:ascii="Palatino Linotype" w:hAnsi="Palatino Linotype"/>
          <w:sz w:val="21"/>
          <w:szCs w:val="21"/>
        </w:rPr>
        <w:t xml:space="preserve">“Esto configura lo que se llama la autonomía del derecho administrativo. En que cuando no hay norma expresa que regule un caso de derecho administrativo, se va a aplicar los principios doctrinarios que regulan ese caso. </w:t>
      </w:r>
      <w:r w:rsidR="002A76CC">
        <w:rPr>
          <w:rFonts w:ascii="Palatino Linotype" w:hAnsi="Palatino Linotype"/>
          <w:sz w:val="21"/>
          <w:szCs w:val="21"/>
        </w:rPr>
        <w:t xml:space="preserve">Solo </w:t>
      </w:r>
      <w:r w:rsidRPr="00E10347">
        <w:rPr>
          <w:rFonts w:ascii="Palatino Linotype" w:hAnsi="Palatino Linotype"/>
          <w:sz w:val="21"/>
          <w:szCs w:val="21"/>
        </w:rPr>
        <w:t xml:space="preserve">si es que no hay doctrina al respecto o jurisprudencia aplicable a los Tribunales como principio general del derecho, se acude al ordenamiento privado. Es decir, al Código de Procedimientos Civiles, Ley Orgánica del Poder Judicial, etc. Primero el ordenamiento jurídico administrativo y </w:t>
      </w:r>
      <w:r w:rsidR="002A76CC">
        <w:rPr>
          <w:rFonts w:ascii="Palatino Linotype" w:hAnsi="Palatino Linotype"/>
          <w:sz w:val="21"/>
          <w:szCs w:val="21"/>
        </w:rPr>
        <w:t xml:space="preserve">solo </w:t>
      </w:r>
      <w:r w:rsidRPr="00E10347">
        <w:rPr>
          <w:rFonts w:ascii="Palatino Linotype" w:hAnsi="Palatino Linotype"/>
          <w:sz w:val="21"/>
          <w:szCs w:val="21"/>
        </w:rPr>
        <w:t>en ausencia del mismo, el ordenamiento procedimental privado.”</w:t>
      </w:r>
      <w:r w:rsidRPr="00E10347">
        <w:rPr>
          <w:rStyle w:val="Refdenotaalpie"/>
          <w:rFonts w:ascii="Palatino Linotype" w:hAnsi="Palatino Linotype"/>
          <w:sz w:val="21"/>
          <w:szCs w:val="21"/>
        </w:rPr>
        <w:footnoteReference w:id="423"/>
      </w:r>
    </w:p>
    <w:p w:rsidR="00563A13" w:rsidRPr="00E10347" w:rsidRDefault="00563A13" w:rsidP="00E10347">
      <w:pPr>
        <w:ind w:right="-93" w:firstLine="709"/>
        <w:jc w:val="both"/>
        <w:rPr>
          <w:rFonts w:ascii="Palatino Linotype" w:hAnsi="Palatino Linotype"/>
          <w:sz w:val="21"/>
          <w:szCs w:val="21"/>
        </w:rPr>
      </w:pPr>
      <w:r w:rsidRPr="00E10347">
        <w:rPr>
          <w:rFonts w:ascii="Palatino Linotype" w:hAnsi="Palatino Linotype"/>
          <w:sz w:val="21"/>
          <w:szCs w:val="21"/>
        </w:rPr>
        <w:t xml:space="preserve">También la Ley de la Jurisdicción Constitucional contiene similar disposición en su artículo 14 que dice: </w:t>
      </w:r>
    </w:p>
    <w:p w:rsidR="00563A13" w:rsidRPr="00E10347" w:rsidRDefault="00563A13" w:rsidP="00E10347">
      <w:pPr>
        <w:pStyle w:val="Prrafodelista"/>
        <w:ind w:left="1418" w:right="900" w:firstLine="709"/>
        <w:jc w:val="both"/>
        <w:rPr>
          <w:rFonts w:ascii="Palatino Linotype" w:hAnsi="Palatino Linotype"/>
          <w:sz w:val="21"/>
          <w:szCs w:val="21"/>
        </w:rPr>
      </w:pPr>
      <w:r w:rsidRPr="00E10347">
        <w:rPr>
          <w:rFonts w:ascii="Palatino Linotype" w:hAnsi="Palatino Linotype"/>
          <w:sz w:val="21"/>
          <w:szCs w:val="21"/>
        </w:rPr>
        <w:t xml:space="preserve">“La Sala Constitucional y su jurisdicción estarán sometidas únicamente a la Constitución y a la ley. A falta de disposición expresa, se aplicarán los principios del Derecho Constitucional, así como los del Derecho Público y Procesal generales, o, en su caso, los del Derecho Internacional o Comunitario, y, además, por su orden, la Ley General de la Administración Pública, la Ley Reguladora de la Jurisdicción Contencioso Administrativa </w:t>
      </w:r>
      <w:r w:rsidRPr="00E10347">
        <w:rPr>
          <w:rFonts w:ascii="Palatino Linotype" w:hAnsi="Palatino Linotype"/>
          <w:sz w:val="21"/>
          <w:szCs w:val="21"/>
        </w:rPr>
        <w:lastRenderedPageBreak/>
        <w:t>y los Códigos Procesales.”</w:t>
      </w:r>
    </w:p>
    <w:p w:rsidR="00563A13" w:rsidRPr="00E10347" w:rsidRDefault="00563A13" w:rsidP="00E10347">
      <w:pPr>
        <w:ind w:right="-93" w:firstLine="709"/>
        <w:jc w:val="both"/>
        <w:rPr>
          <w:rFonts w:ascii="Palatino Linotype" w:hAnsi="Palatino Linotype"/>
          <w:sz w:val="21"/>
          <w:szCs w:val="21"/>
        </w:rPr>
      </w:pPr>
      <w:r w:rsidRPr="00E10347">
        <w:rPr>
          <w:rFonts w:ascii="Palatino Linotype" w:hAnsi="Palatino Linotype"/>
          <w:sz w:val="21"/>
          <w:szCs w:val="21"/>
        </w:rPr>
        <w:t>Lo anterior dice mucho, no solo de la independencia que, por supuesto, tiene el Derecho administrativo y su sombra: el Derecho procesal administrativo frente al Derecho civil y procesal civil, sino además de la expresa intención que tuvo el legislador de desanexar</w:t>
      </w:r>
      <w:r w:rsidRPr="00E10347">
        <w:rPr>
          <w:rStyle w:val="Refdenotaalpie"/>
          <w:rFonts w:ascii="Palatino Linotype" w:hAnsi="Palatino Linotype"/>
          <w:sz w:val="21"/>
          <w:szCs w:val="21"/>
        </w:rPr>
        <w:footnoteReference w:id="424"/>
      </w:r>
      <w:r w:rsidRPr="00E10347">
        <w:rPr>
          <w:rFonts w:ascii="Palatino Linotype" w:hAnsi="Palatino Linotype"/>
          <w:sz w:val="21"/>
          <w:szCs w:val="21"/>
        </w:rPr>
        <w:t xml:space="preserve"> al primero del segundo, sabedor de que si se acepta como válida la tesis de la supletoriedad del CPC al CPCA y/o a la LGAP en cualquier caso, simple y sencillamente el Derecho procesal administrativo se convertiría en un brazo o rama del Derecho procesal civil. Como bien apunta </w:t>
      </w:r>
      <w:r w:rsidRPr="00E10347">
        <w:rPr>
          <w:rFonts w:ascii="Palatino Linotype" w:hAnsi="Palatino Linotype"/>
          <w:smallCaps/>
          <w:sz w:val="21"/>
          <w:szCs w:val="21"/>
        </w:rPr>
        <w:t>Vergara Blanco</w:t>
      </w:r>
      <w:r w:rsidRPr="00E10347">
        <w:rPr>
          <w:rFonts w:ascii="Palatino Linotype" w:hAnsi="Palatino Linotype"/>
          <w:sz w:val="21"/>
          <w:szCs w:val="21"/>
        </w:rPr>
        <w:t xml:space="preserve">:  </w:t>
      </w:r>
    </w:p>
    <w:p w:rsidR="00563A13" w:rsidRPr="00E10347" w:rsidRDefault="00563A13" w:rsidP="00E10347">
      <w:pPr>
        <w:pStyle w:val="Prrafodelista"/>
        <w:ind w:left="1418" w:right="900" w:firstLine="709"/>
        <w:jc w:val="both"/>
        <w:rPr>
          <w:rFonts w:ascii="Palatino Linotype" w:hAnsi="Palatino Linotype"/>
          <w:sz w:val="21"/>
          <w:szCs w:val="21"/>
        </w:rPr>
      </w:pPr>
      <w:r w:rsidRPr="00E10347">
        <w:rPr>
          <w:rFonts w:ascii="Palatino Linotype" w:hAnsi="Palatino Linotype"/>
          <w:sz w:val="21"/>
          <w:szCs w:val="21"/>
        </w:rPr>
        <w:t xml:space="preserve">“El sistema normativo (salvo jerarquías o mandatos de integración normativa expresos) originan esquemas de auto-relleno de lagunas normativas. Igualmente, cada disciplina autónoma, conforma su sistema de instituciones y principios, que ayudan a esa auto integración, y la única argamasa son los principios jurídicos, pero no la burda práctica de trasladar, sin tamiz alguno, leyes desde un sistema a otro, sin percibir la incoherencia que puede significar ese arrastre desde disciplinas que no </w:t>
      </w:r>
      <w:r w:rsidR="002A76CC">
        <w:rPr>
          <w:rFonts w:ascii="Palatino Linotype" w:hAnsi="Palatino Linotype"/>
          <w:sz w:val="21"/>
          <w:szCs w:val="21"/>
        </w:rPr>
        <w:t xml:space="preserve">solo </w:t>
      </w:r>
      <w:r w:rsidRPr="00E10347">
        <w:rPr>
          <w:rFonts w:ascii="Palatino Linotype" w:hAnsi="Palatino Linotype"/>
          <w:sz w:val="21"/>
          <w:szCs w:val="21"/>
        </w:rPr>
        <w:t xml:space="preserve">son distintas en cuanto a su esencia a su célula más básica: la relación jurídica, su naturaleza y los sujetos que la componen, sino que al ser de sectores distintos de la </w:t>
      </w:r>
      <w:r w:rsidRPr="00E10347">
        <w:rPr>
          <w:rFonts w:ascii="Palatino Linotype" w:hAnsi="Palatino Linotype"/>
          <w:i/>
          <w:sz w:val="21"/>
          <w:szCs w:val="21"/>
        </w:rPr>
        <w:t xml:space="preserve">summa divisio </w:t>
      </w:r>
      <w:r w:rsidRPr="00E10347">
        <w:rPr>
          <w:rFonts w:ascii="Palatino Linotype" w:hAnsi="Palatino Linotype"/>
          <w:sz w:val="21"/>
          <w:szCs w:val="21"/>
        </w:rPr>
        <w:t>del derecho (privado/público), implicar postular soluciones mediante principios jurídicos que pueden resultar incoherentes; es que el relleno de lagunas de cada disciplina debe ser auto-gestionado y no con arrastre de soluciones desde disciplinas vecinas, por rancias y prestigiosas que sean.”</w:t>
      </w:r>
      <w:r w:rsidRPr="00E10347">
        <w:rPr>
          <w:rStyle w:val="Refdenotaalpie"/>
          <w:rFonts w:ascii="Palatino Linotype" w:hAnsi="Palatino Linotype"/>
          <w:sz w:val="21"/>
          <w:szCs w:val="21"/>
        </w:rPr>
        <w:footnoteReference w:id="425"/>
      </w:r>
    </w:p>
    <w:p w:rsidR="00563A13" w:rsidRPr="00E10347" w:rsidRDefault="00563A13" w:rsidP="00E10347">
      <w:pPr>
        <w:ind w:right="51" w:firstLine="709"/>
        <w:jc w:val="both"/>
        <w:rPr>
          <w:rFonts w:ascii="Palatino Linotype" w:hAnsi="Palatino Linotype"/>
          <w:sz w:val="21"/>
          <w:szCs w:val="21"/>
        </w:rPr>
      </w:pPr>
      <w:r w:rsidRPr="00E10347">
        <w:rPr>
          <w:rFonts w:ascii="Palatino Linotype" w:hAnsi="Palatino Linotype"/>
          <w:sz w:val="21"/>
          <w:szCs w:val="21"/>
        </w:rPr>
        <w:t xml:space="preserve">Y es que, si bien el fenómeno de la supletoriedad de las normas civiles en general y procesales civiles en específico para resolver casos administrativos se explica por la fértil utilización de sus instituciones en el nacimiento del Derecho administrativo, lo cierto es que actualmente éste último cuenta con suficientes instituciones y principios propios para el relleno coherente de sus propias lagunas </w:t>
      </w:r>
      <w:r w:rsidRPr="00E10347">
        <w:rPr>
          <w:rFonts w:ascii="Palatino Linotype" w:hAnsi="Palatino Linotype"/>
          <w:sz w:val="21"/>
          <w:szCs w:val="21"/>
        </w:rPr>
        <w:lastRenderedPageBreak/>
        <w:t>normativas.</w:t>
      </w:r>
      <w:r w:rsidRPr="00E10347">
        <w:rPr>
          <w:rStyle w:val="Refdenotaalpie"/>
          <w:rFonts w:ascii="Palatino Linotype" w:hAnsi="Palatino Linotype"/>
          <w:sz w:val="21"/>
          <w:szCs w:val="21"/>
        </w:rPr>
        <w:footnoteReference w:id="426"/>
      </w:r>
    </w:p>
    <w:p w:rsidR="00563A13" w:rsidRPr="00E10347" w:rsidRDefault="00563A13" w:rsidP="00E10347">
      <w:pPr>
        <w:ind w:right="51" w:firstLine="709"/>
        <w:jc w:val="both"/>
        <w:rPr>
          <w:rFonts w:ascii="Palatino Linotype" w:hAnsi="Palatino Linotype"/>
          <w:sz w:val="21"/>
          <w:szCs w:val="21"/>
        </w:rPr>
      </w:pPr>
      <w:r w:rsidRPr="00E10347">
        <w:rPr>
          <w:rFonts w:ascii="Palatino Linotype" w:hAnsi="Palatino Linotype"/>
          <w:sz w:val="21"/>
          <w:szCs w:val="21"/>
        </w:rPr>
        <w:t xml:space="preserve">Efectivamente, en un magistral ensayo publicado en la RAP N° 6 titulado “Los principios generales del Derecho en el Derecho Administrativo Francés Contemporáneo”, planteaba el Profesor Jean Rivero que “si se aborda el problema de las fuentes del Derecho administrativo, no a partir de un postulado constitucional, sino a partir de los hechos; si se trata de saber, no cuáles deben ser según la teoría constitucional, los modos de elaboración del Derecho administrativo, sino cuáles son en la práctica; es obligado constatar que las dos cuestiones no admiten la misma respuesta.” En efecto – continuaría el Profesor Rivero – en la elaboración de la regla de Derecho administrativo el papel preponderante no corresponde al legislador, sino al Juez; de hecho, en la práctica, el </w:t>
      </w:r>
      <w:r w:rsidRPr="00E10347">
        <w:rPr>
          <w:rFonts w:ascii="Palatino Linotype" w:hAnsi="Palatino Linotype"/>
          <w:i/>
          <w:sz w:val="21"/>
          <w:szCs w:val="21"/>
        </w:rPr>
        <w:t>iuspublicista</w:t>
      </w:r>
      <w:r w:rsidRPr="00E10347">
        <w:rPr>
          <w:rFonts w:ascii="Palatino Linotype" w:hAnsi="Palatino Linotype"/>
          <w:sz w:val="21"/>
          <w:szCs w:val="21"/>
        </w:rPr>
        <w:t xml:space="preserve"> que desea descubrir el principio de solución de un litigio, cuando su colega de Derecho privado abre en primer su Código Civil, tiene él que dirigirse a la jurisprudencia.</w:t>
      </w:r>
    </w:p>
    <w:p w:rsidR="00563A13" w:rsidRPr="00E10347" w:rsidRDefault="00563A13" w:rsidP="00E10347">
      <w:pPr>
        <w:ind w:right="51" w:firstLine="709"/>
        <w:jc w:val="both"/>
        <w:rPr>
          <w:rFonts w:ascii="Palatino Linotype" w:hAnsi="Palatino Linotype"/>
          <w:sz w:val="21"/>
          <w:szCs w:val="21"/>
        </w:rPr>
      </w:pPr>
      <w:r w:rsidRPr="00E10347">
        <w:rPr>
          <w:rFonts w:ascii="Palatino Linotype" w:hAnsi="Palatino Linotype"/>
          <w:sz w:val="21"/>
          <w:szCs w:val="21"/>
        </w:rPr>
        <w:t xml:space="preserve">¿Cuál es la razón de esta diferencia tan radical? Napoleón dejó a la Francia del siglo XIX el monumento legislativo del Derecho privado que, con sus Códigos, especialmente el Código Civil, es lo suficientemente amplio como para facilitar un principio de solución de todos los litigios. Además, esta obra era heredera de un largo pasado de elaboración jurídica, de ahí que tenía a su disposición unas nociones precisas y vocabulario técnico que reflejaba exactamente los conceptos, puestos a punto por siglos de reflexión y práctica. Es por ello que, en el Derecho privado, la ley puede bastarse a sí misma y ser suficiente para todos los supuestos. </w:t>
      </w:r>
    </w:p>
    <w:p w:rsidR="00563A13" w:rsidRPr="00E10347" w:rsidRDefault="00563A13" w:rsidP="00E10347">
      <w:pPr>
        <w:ind w:right="51" w:firstLine="709"/>
        <w:jc w:val="both"/>
        <w:rPr>
          <w:rFonts w:ascii="Palatino Linotype" w:hAnsi="Palatino Linotype"/>
          <w:sz w:val="21"/>
          <w:szCs w:val="21"/>
        </w:rPr>
      </w:pPr>
      <w:r w:rsidRPr="00E10347">
        <w:rPr>
          <w:rFonts w:ascii="Palatino Linotype" w:hAnsi="Palatino Linotype"/>
          <w:sz w:val="21"/>
          <w:szCs w:val="21"/>
        </w:rPr>
        <w:t>La ley administrativa, sin embargo, ofrece un espectáculo menos majestuoso pues aquí no hay codificación. Las bases del régimen administrativo fueron casi totalmente renovadas por la Revolución y el Imperio, por lo que la tradición no aportaba apenas ningún elemento utilizable para el nuevo Derecho que debía regir. Así, vocabulario, conceptos correspondientes a las nuevas situaciones, todo estaba por construir (</w:t>
      </w:r>
      <w:r w:rsidRPr="00E10347">
        <w:rPr>
          <w:rFonts w:ascii="Palatino Linotype" w:hAnsi="Palatino Linotype"/>
          <w:smallCaps/>
          <w:sz w:val="21"/>
          <w:szCs w:val="21"/>
        </w:rPr>
        <w:t>García de Enterría</w:t>
      </w:r>
      <w:r w:rsidRPr="00E10347">
        <w:rPr>
          <w:rFonts w:ascii="Palatino Linotype" w:hAnsi="Palatino Linotype"/>
          <w:sz w:val="21"/>
          <w:szCs w:val="21"/>
        </w:rPr>
        <w:t xml:space="preserve"> “La lengua de los derechos”). Desde entonces las leyes administrativas van a nacer sin plan preconcebido, a medida que los Gobiernos van juzgándolas necesarias, siendo pragmáticas, sin ambición de suministrar principios de solución jurídica a litigios que ni siquiera se prevén y que solo serán revelados por su aplicación.</w:t>
      </w:r>
    </w:p>
    <w:p w:rsidR="00563A13" w:rsidRPr="00E10347" w:rsidRDefault="00563A13" w:rsidP="00E10347">
      <w:pPr>
        <w:ind w:right="51" w:firstLine="709"/>
        <w:jc w:val="both"/>
        <w:rPr>
          <w:rFonts w:ascii="Palatino Linotype" w:hAnsi="Palatino Linotype"/>
          <w:sz w:val="21"/>
          <w:szCs w:val="21"/>
        </w:rPr>
      </w:pPr>
      <w:r w:rsidRPr="00E10347">
        <w:rPr>
          <w:rFonts w:ascii="Palatino Linotype" w:hAnsi="Palatino Linotype"/>
          <w:sz w:val="21"/>
          <w:szCs w:val="21"/>
        </w:rPr>
        <w:t xml:space="preserve">Por ello </w:t>
      </w:r>
      <w:r w:rsidRPr="00E10347">
        <w:rPr>
          <w:rFonts w:ascii="Palatino Linotype" w:hAnsi="Palatino Linotype"/>
          <w:smallCaps/>
          <w:sz w:val="21"/>
          <w:szCs w:val="21"/>
        </w:rPr>
        <w:t>Laferrière</w:t>
      </w:r>
      <w:r w:rsidRPr="00E10347">
        <w:rPr>
          <w:rFonts w:ascii="Palatino Linotype" w:hAnsi="Palatino Linotype"/>
          <w:sz w:val="21"/>
          <w:szCs w:val="21"/>
        </w:rPr>
        <w:t xml:space="preserve"> ponía de relieve ya desde 1887, que al ser la ley </w:t>
      </w:r>
      <w:r w:rsidRPr="00E10347">
        <w:rPr>
          <w:rFonts w:ascii="Palatino Linotype" w:hAnsi="Palatino Linotype"/>
          <w:sz w:val="21"/>
          <w:szCs w:val="21"/>
        </w:rPr>
        <w:lastRenderedPageBreak/>
        <w:t>administrativa una de organización y de acción que se preocupa más de asegurar la marcha de los servicios públicos que de prever y resolver las dificultades jurídicas, el papel creador que estas características imponen al Juez contencioso administrativo es mucho más amplia que la del Juez ordinario, debiendo echar mano, cuando faltan las leyes escritas, a principios tradicionales, escritos o no escritos, que son en cierto modo inherentes a nuestro Derecho público.</w:t>
      </w:r>
    </w:p>
    <w:p w:rsidR="00563A13" w:rsidRPr="00E10347" w:rsidRDefault="00563A13" w:rsidP="00E10347">
      <w:pPr>
        <w:ind w:right="51" w:firstLine="709"/>
        <w:jc w:val="both"/>
        <w:rPr>
          <w:rFonts w:ascii="Palatino Linotype" w:hAnsi="Palatino Linotype"/>
          <w:sz w:val="21"/>
          <w:szCs w:val="21"/>
        </w:rPr>
      </w:pPr>
      <w:r w:rsidRPr="00E10347">
        <w:rPr>
          <w:rFonts w:ascii="Palatino Linotype" w:hAnsi="Palatino Linotype"/>
          <w:sz w:val="21"/>
          <w:szCs w:val="21"/>
        </w:rPr>
        <w:t xml:space="preserve">Pues bien, con la pretensión de positivizar lo que es inminente desde la misma génesis del Derecho administrativo, la LGAP no </w:t>
      </w:r>
      <w:r w:rsidR="002A76CC">
        <w:rPr>
          <w:rFonts w:ascii="Palatino Linotype" w:hAnsi="Palatino Linotype"/>
          <w:sz w:val="21"/>
          <w:szCs w:val="21"/>
        </w:rPr>
        <w:t xml:space="preserve">solo </w:t>
      </w:r>
      <w:r w:rsidRPr="00E10347">
        <w:rPr>
          <w:rFonts w:ascii="Palatino Linotype" w:hAnsi="Palatino Linotype"/>
          <w:sz w:val="21"/>
          <w:szCs w:val="21"/>
        </w:rPr>
        <w:t>establece una completa regulación sobre las fuentes del derecho administrativo y su jerarquía, sino que también determina las normas básicas de integración del derecho escrito y su interpretación. De hecho, consagra con carácter de derecho positivo el principio de plenitud del ordenamiento jurídico administrativo, de manera que no puedan existir lagunas.</w:t>
      </w:r>
    </w:p>
    <w:p w:rsidR="00563A13" w:rsidRPr="00E10347" w:rsidRDefault="00563A13" w:rsidP="00E10347">
      <w:pPr>
        <w:ind w:right="51" w:firstLine="709"/>
        <w:jc w:val="both"/>
        <w:rPr>
          <w:rFonts w:ascii="Palatino Linotype" w:hAnsi="Palatino Linotype"/>
          <w:sz w:val="21"/>
          <w:szCs w:val="21"/>
        </w:rPr>
      </w:pPr>
      <w:r w:rsidRPr="00E10347">
        <w:rPr>
          <w:rFonts w:ascii="Palatino Linotype" w:hAnsi="Palatino Linotype"/>
          <w:sz w:val="21"/>
          <w:szCs w:val="21"/>
        </w:rPr>
        <w:t xml:space="preserve">Efectivamente, el artículo 6 de la LGAP establece la jerarquía de las fuentes escritas del Derecho administrativo. Lo complementa el numeral 7 que reconoce la existencia de fuentes no escritas del ordenamiento administrativo como son: la jurisprudencia, los principios generales de derecho y la costumbre. Sus funciones son: interpretar las fuentes escritas, determinando su sentido para el caso; integrarlas cuando falte norma, llenando la laguna, que puede ser la falla de una regla escrita incompleta o la del ordenamiento como un todo, si en lugar de mera insuficiencia hay ausencia total de regulación; y finalmente la de delimitar el ámbito de aplicación por materia de la norma, fijando los casos que cubre y los que excluye. Y se establece además que, cuando haya una norma escrita de referencia para la fuente no escrita, esta tendrá el rango de aquella, con lo que se quiere decir el de la misma norma escrita que interpreta, integra o delimita; disponiéndose, sin embargo, al mismo tiempo, que cuando la integración se realice por ausencia total de regulación y laguna del ordenamiento, el rango de la fuente no escrita será el de la ley. Se dispone, acto seguido, que las normas no escritas serán superiores a las escritas de inferior categoría. </w:t>
      </w:r>
    </w:p>
    <w:p w:rsidR="00563A13" w:rsidRPr="00E10347" w:rsidRDefault="00563A13" w:rsidP="00E10347">
      <w:pPr>
        <w:ind w:right="51" w:firstLine="709"/>
        <w:jc w:val="both"/>
        <w:rPr>
          <w:rFonts w:ascii="Palatino Linotype" w:hAnsi="Palatino Linotype"/>
          <w:sz w:val="21"/>
          <w:szCs w:val="21"/>
        </w:rPr>
      </w:pPr>
      <w:r w:rsidRPr="00E10347">
        <w:rPr>
          <w:rFonts w:ascii="Palatino Linotype" w:hAnsi="Palatino Linotype"/>
          <w:sz w:val="21"/>
          <w:szCs w:val="21"/>
        </w:rPr>
        <w:t xml:space="preserve">No menos importante resulta la independencia del Derecho administrativo respecto de otras ramas del derecho que declara el artículo 9 se consagra la independencia del Derecho administrativo respecto de otras ramas del derecho, estableciéndose que solamente en ausencia total de norma administrativa aplicable, escrita o no escrita, se puede recurrir al Derecho privado para integrar el administrativo. Asimismo, para los casos de lagunas, se establece claramente la </w:t>
      </w:r>
      <w:r w:rsidRPr="00E10347">
        <w:rPr>
          <w:rFonts w:ascii="Palatino Linotype" w:hAnsi="Palatino Linotype"/>
          <w:sz w:val="21"/>
          <w:szCs w:val="21"/>
        </w:rPr>
        <w:lastRenderedPageBreak/>
        <w:t xml:space="preserve">jerarquía de las normas administrativas no escritas en el proceso de integración, colocándose a la jurisprudencia en primera lugar, a los principios generales del derecho público de segundo, la costumbre en tercer lugar, y en último lugar el derecho privado y sus principios. </w:t>
      </w:r>
    </w:p>
    <w:p w:rsidR="00563A13" w:rsidRPr="00E10347" w:rsidRDefault="00563A13" w:rsidP="00E10347">
      <w:pPr>
        <w:ind w:right="51" w:firstLine="709"/>
        <w:jc w:val="both"/>
        <w:rPr>
          <w:rFonts w:ascii="Palatino Linotype" w:hAnsi="Palatino Linotype"/>
          <w:sz w:val="21"/>
          <w:szCs w:val="21"/>
        </w:rPr>
      </w:pPr>
      <w:r w:rsidRPr="00E10347">
        <w:rPr>
          <w:rFonts w:ascii="Palatino Linotype" w:hAnsi="Palatino Linotype"/>
          <w:sz w:val="21"/>
          <w:szCs w:val="21"/>
        </w:rPr>
        <w:t xml:space="preserve">Pero hay más, pues el artículo 10 establece la necesidad de una interpretación teleológica del Derecho administrativo, con la mente puesta en los intereses sociales o públicos protegidos y en la naturaleza social o científica de los hechos y circunstancias en que ha de actuar la Administración para satisfacer aquellos, con lo que no se hace otra cosa que hacer del motivo, del contenido y del fin los elementos más importantes del acto o de la conducta administrativa. Incluso, en el proyecto original de esta ley se disponía que, dada la preeminencia de dichos elementos, debía descartarse la letra de la ley en bien de su espíritu, cuando se determinara la existencia de un insalvable conflicto entre ambos. En esta hipótesis, el administrador tanto como el juez quedaban autorizados para crear una norma nueva de alcance concreto y más acorde con el espíritu de la ley, como si hubiese laguna de derecho en el caso, lo que dice mucho de la independencia que debe tener el Derecho administrativo, y por añadidura lógica, también el Derecho procesal administrativo. </w:t>
      </w:r>
    </w:p>
    <w:p w:rsidR="00563A13" w:rsidRPr="00E10347" w:rsidRDefault="00563A13" w:rsidP="00E10347">
      <w:pPr>
        <w:ind w:right="51" w:firstLine="709"/>
        <w:jc w:val="both"/>
        <w:rPr>
          <w:rFonts w:ascii="Palatino Linotype" w:hAnsi="Palatino Linotype"/>
          <w:sz w:val="21"/>
          <w:szCs w:val="21"/>
        </w:rPr>
      </w:pPr>
      <w:r w:rsidRPr="00E10347">
        <w:rPr>
          <w:rFonts w:ascii="Palatino Linotype" w:hAnsi="Palatino Linotype"/>
          <w:sz w:val="21"/>
          <w:szCs w:val="21"/>
        </w:rPr>
        <w:t xml:space="preserve">Es por ello que, en el estadio actual de nuestra ciencia, la tarea para jueces, Administraciones públicas y litigantes está en no recurrir al camino más fácil, que es aplicar el CPC ante la menor laguna que se detecte, sino una mucho más compleja, que es hurgar en el ordenamiento jurídico administrativo para extraer de éste, en primer término, los </w:t>
      </w:r>
      <w:r w:rsidRPr="00E10347">
        <w:rPr>
          <w:rFonts w:ascii="Palatino Linotype" w:hAnsi="Palatino Linotype"/>
          <w:bCs/>
          <w:sz w:val="21"/>
          <w:szCs w:val="21"/>
        </w:rPr>
        <w:t>principios del Derecho público que permitan colmar la laguna, y únicamente si ni la jurisprudencia, ni los principios generales, ni la costumbre permiten dar una adecuada</w:t>
      </w:r>
      <w:r w:rsidRPr="00E10347">
        <w:rPr>
          <w:rFonts w:ascii="Palatino Linotype" w:hAnsi="Palatino Linotype"/>
          <w:sz w:val="21"/>
          <w:szCs w:val="21"/>
        </w:rPr>
        <w:t xml:space="preserve"> solución al problema, entonces sí recurrir al Derecho procesal civil, atendiendo al mandato claro y contundente, no </w:t>
      </w:r>
      <w:r w:rsidR="002A76CC">
        <w:rPr>
          <w:rFonts w:ascii="Palatino Linotype" w:hAnsi="Palatino Linotype"/>
          <w:sz w:val="21"/>
          <w:szCs w:val="21"/>
        </w:rPr>
        <w:t xml:space="preserve">solo </w:t>
      </w:r>
      <w:r w:rsidRPr="00E10347">
        <w:rPr>
          <w:rFonts w:ascii="Palatino Linotype" w:hAnsi="Palatino Linotype"/>
          <w:sz w:val="21"/>
          <w:szCs w:val="21"/>
        </w:rPr>
        <w:t>de la normativa procesal antes descrita, sino al artículo 9 de la Ley General de la Administración Pública.</w:t>
      </w:r>
      <w:r w:rsidRPr="00E10347">
        <w:rPr>
          <w:rStyle w:val="Refdenotaalpie"/>
          <w:rFonts w:ascii="Palatino Linotype" w:hAnsi="Palatino Linotype"/>
          <w:sz w:val="21"/>
          <w:szCs w:val="21"/>
        </w:rPr>
        <w:footnoteReference w:id="427"/>
      </w:r>
      <w:r w:rsidRPr="00E10347">
        <w:rPr>
          <w:rFonts w:ascii="Palatino Linotype" w:hAnsi="Palatino Linotype"/>
          <w:sz w:val="21"/>
          <w:szCs w:val="21"/>
        </w:rPr>
        <w:t xml:space="preserve"> </w:t>
      </w:r>
    </w:p>
    <w:p w:rsidR="00467BDB" w:rsidRDefault="00467BDB" w:rsidP="00E10347">
      <w:pPr>
        <w:widowControl/>
        <w:autoSpaceDE/>
        <w:autoSpaceDN/>
        <w:adjustRightInd/>
        <w:ind w:right="-93"/>
        <w:jc w:val="both"/>
        <w:rPr>
          <w:rFonts w:ascii="Palatino Linotype" w:hAnsi="Palatino Linotype"/>
          <w:b/>
          <w:bCs/>
          <w:smallCaps/>
          <w:sz w:val="21"/>
          <w:szCs w:val="21"/>
        </w:rPr>
      </w:pPr>
    </w:p>
    <w:p w:rsidR="00563A13" w:rsidRPr="00E10347" w:rsidRDefault="00563A13" w:rsidP="00E10347">
      <w:pPr>
        <w:widowControl/>
        <w:autoSpaceDE/>
        <w:autoSpaceDN/>
        <w:adjustRightInd/>
        <w:ind w:right="-93"/>
        <w:jc w:val="both"/>
        <w:rPr>
          <w:rFonts w:ascii="Palatino Linotype" w:hAnsi="Palatino Linotype"/>
          <w:b/>
          <w:sz w:val="21"/>
          <w:szCs w:val="21"/>
        </w:rPr>
      </w:pPr>
      <w:r w:rsidRPr="00E10347">
        <w:rPr>
          <w:rFonts w:ascii="Palatino Linotype" w:hAnsi="Palatino Linotype"/>
          <w:b/>
          <w:bCs/>
          <w:smallCaps/>
          <w:sz w:val="21"/>
          <w:szCs w:val="21"/>
        </w:rPr>
        <w:t>Conclusión</w:t>
      </w:r>
    </w:p>
    <w:p w:rsidR="00563A13" w:rsidRPr="00E10347" w:rsidRDefault="00563A13" w:rsidP="00E10347">
      <w:pPr>
        <w:ind w:right="-93" w:firstLine="709"/>
        <w:jc w:val="both"/>
        <w:rPr>
          <w:rFonts w:ascii="Palatino Linotype" w:hAnsi="Palatino Linotype"/>
          <w:sz w:val="21"/>
          <w:szCs w:val="21"/>
        </w:rPr>
      </w:pPr>
      <w:r w:rsidRPr="00E10347">
        <w:rPr>
          <w:rFonts w:ascii="Palatino Linotype" w:hAnsi="Palatino Linotype"/>
          <w:sz w:val="21"/>
          <w:szCs w:val="21"/>
        </w:rPr>
        <w:t>Ya adelantamos en el apartado anterior que, dada la especialidad del procedimiento administrativo por una parte y del proceso contencioso administrativo por otra, únicamente puede aplicarse la legislación procesal civil ante laguna de derecho escrito, cuando no exista jurisprudencia, principios generales del Derecho público o costumbre administrativa que resulte aplicable en el caso concreto. Pero, adicionalmente, hay que tomar en consideración el objeto tan diverso, tanto de la jurisdicción contencioso administrativa</w:t>
      </w:r>
      <w:r w:rsidRPr="00E10347">
        <w:rPr>
          <w:rStyle w:val="Refdenotaalpie"/>
          <w:rFonts w:ascii="Palatino Linotype" w:hAnsi="Palatino Linotype"/>
          <w:sz w:val="21"/>
          <w:szCs w:val="21"/>
        </w:rPr>
        <w:footnoteReference w:id="428"/>
      </w:r>
      <w:r w:rsidRPr="00E10347">
        <w:rPr>
          <w:rFonts w:ascii="Palatino Linotype" w:hAnsi="Palatino Linotype"/>
          <w:sz w:val="21"/>
          <w:szCs w:val="21"/>
        </w:rPr>
        <w:t xml:space="preserve"> - incluso de rango constitucional -, como del procedimiento administrativo, ambos los cuales tienen una fuerte inspiración inquisitiva dada la naturaleza de los intereses públicos que tutelan, frente al proceso civil, inspirado en el principio dispositivo por antonomasia, en razón de los intereses particulares en juego. </w:t>
      </w:r>
    </w:p>
    <w:p w:rsidR="00563A13" w:rsidRPr="00E10347" w:rsidRDefault="00563A13" w:rsidP="00E10347">
      <w:pPr>
        <w:ind w:right="-93" w:firstLine="709"/>
        <w:jc w:val="both"/>
        <w:rPr>
          <w:rFonts w:ascii="Palatino Linotype" w:hAnsi="Palatino Linotype"/>
          <w:sz w:val="21"/>
          <w:szCs w:val="21"/>
        </w:rPr>
      </w:pPr>
      <w:r w:rsidRPr="00E10347">
        <w:rPr>
          <w:rFonts w:ascii="Palatino Linotype" w:hAnsi="Palatino Linotype"/>
          <w:sz w:val="21"/>
          <w:szCs w:val="21"/>
        </w:rPr>
        <w:t xml:space="preserve">Por tanto, como bien señalara </w:t>
      </w:r>
      <w:r w:rsidRPr="00E10347">
        <w:rPr>
          <w:rFonts w:ascii="Palatino Linotype" w:hAnsi="Palatino Linotype"/>
          <w:smallCaps/>
          <w:sz w:val="21"/>
          <w:szCs w:val="21"/>
        </w:rPr>
        <w:t>Aguilar Méndez</w:t>
      </w:r>
      <w:r w:rsidRPr="00E10347">
        <w:rPr>
          <w:rFonts w:ascii="Palatino Linotype" w:hAnsi="Palatino Linotype"/>
          <w:sz w:val="21"/>
          <w:szCs w:val="21"/>
        </w:rPr>
        <w:t>, en su ponencia intitulada “El impacto del nuevo CPC en el contencioso administrativo”:</w:t>
      </w:r>
    </w:p>
    <w:p w:rsidR="00563A13" w:rsidRPr="00E10347" w:rsidRDefault="00563A13" w:rsidP="00E10347">
      <w:pPr>
        <w:pStyle w:val="Prrafodelista"/>
        <w:ind w:left="1276" w:right="900" w:firstLine="709"/>
        <w:jc w:val="both"/>
        <w:rPr>
          <w:rFonts w:ascii="Palatino Linotype" w:hAnsi="Palatino Linotype"/>
          <w:sz w:val="21"/>
          <w:szCs w:val="21"/>
        </w:rPr>
      </w:pPr>
      <w:r w:rsidRPr="00E10347">
        <w:rPr>
          <w:rFonts w:ascii="Palatino Linotype" w:hAnsi="Palatino Linotype"/>
          <w:sz w:val="21"/>
          <w:szCs w:val="21"/>
        </w:rPr>
        <w:t xml:space="preserve">“La influencia del NCPC debería limitarse a aquellas áreas de los procesos ante la jurisdicción de lo Contencioso Administrativo y Civil de Hacienda… </w:t>
      </w:r>
    </w:p>
    <w:p w:rsidR="00563A13" w:rsidRPr="00E10347" w:rsidRDefault="00563A13" w:rsidP="00E10347">
      <w:pPr>
        <w:pStyle w:val="Prrafodelista"/>
        <w:ind w:left="1276" w:right="900" w:firstLine="709"/>
        <w:jc w:val="both"/>
        <w:rPr>
          <w:rFonts w:ascii="Palatino Linotype" w:hAnsi="Palatino Linotype"/>
          <w:sz w:val="21"/>
          <w:szCs w:val="21"/>
        </w:rPr>
      </w:pPr>
      <w:r w:rsidRPr="00E10347">
        <w:rPr>
          <w:rFonts w:ascii="Palatino Linotype" w:hAnsi="Palatino Linotype"/>
          <w:sz w:val="21"/>
          <w:szCs w:val="21"/>
        </w:rPr>
        <w:t xml:space="preserve">1. Donde no exista norma expresa del CPCA </w:t>
      </w:r>
    </w:p>
    <w:p w:rsidR="00563A13" w:rsidRPr="00E10347" w:rsidRDefault="00563A13" w:rsidP="00E10347">
      <w:pPr>
        <w:pStyle w:val="Prrafodelista"/>
        <w:ind w:left="1276" w:right="900" w:firstLine="709"/>
        <w:jc w:val="both"/>
        <w:rPr>
          <w:rFonts w:ascii="Palatino Linotype" w:hAnsi="Palatino Linotype"/>
          <w:sz w:val="21"/>
          <w:szCs w:val="21"/>
        </w:rPr>
      </w:pPr>
      <w:r w:rsidRPr="00E10347">
        <w:rPr>
          <w:rFonts w:ascii="Palatino Linotype" w:hAnsi="Palatino Linotype"/>
          <w:sz w:val="21"/>
          <w:szCs w:val="21"/>
        </w:rPr>
        <w:t xml:space="preserve">2. Donde no exista un instituto jurídico del Derecho Público que deba prevalecer </w:t>
      </w:r>
    </w:p>
    <w:p w:rsidR="00563A13" w:rsidRPr="00E10347" w:rsidRDefault="00563A13" w:rsidP="00E10347">
      <w:pPr>
        <w:pStyle w:val="Prrafodelista"/>
        <w:ind w:left="1276" w:right="900" w:firstLine="709"/>
        <w:jc w:val="both"/>
        <w:rPr>
          <w:rFonts w:ascii="Palatino Linotype" w:hAnsi="Palatino Linotype"/>
          <w:b/>
          <w:sz w:val="21"/>
          <w:szCs w:val="21"/>
        </w:rPr>
      </w:pPr>
      <w:r w:rsidRPr="00E10347">
        <w:rPr>
          <w:rFonts w:ascii="Palatino Linotype" w:hAnsi="Palatino Linotype"/>
          <w:sz w:val="21"/>
          <w:szCs w:val="21"/>
        </w:rPr>
        <w:t>3. Donde la simetría o igualdad formal del Derecho Privado no pueda implicar una desprotección a los intereses legítimos y derechos subjetivos de las personas frente a la Administración Pública o del control de legalidad de sus conductas.”</w:t>
      </w:r>
      <w:r w:rsidRPr="00E10347">
        <w:rPr>
          <w:rStyle w:val="Refdenotaalpie"/>
          <w:rFonts w:ascii="Palatino Linotype" w:hAnsi="Palatino Linotype"/>
          <w:sz w:val="21"/>
          <w:szCs w:val="21"/>
        </w:rPr>
        <w:t xml:space="preserve"> </w:t>
      </w:r>
      <w:r w:rsidRPr="00E10347">
        <w:rPr>
          <w:rStyle w:val="Refdenotaalpie"/>
          <w:rFonts w:ascii="Palatino Linotype" w:hAnsi="Palatino Linotype"/>
          <w:sz w:val="21"/>
          <w:szCs w:val="21"/>
        </w:rPr>
        <w:footnoteReference w:id="429"/>
      </w:r>
      <w:r w:rsidRPr="00E10347">
        <w:rPr>
          <w:rFonts w:ascii="Palatino Linotype" w:hAnsi="Palatino Linotype"/>
          <w:sz w:val="21"/>
          <w:szCs w:val="21"/>
        </w:rPr>
        <w:t xml:space="preserve">   </w:t>
      </w:r>
    </w:p>
    <w:p w:rsidR="00563A13" w:rsidRPr="00E10347" w:rsidRDefault="00563A13" w:rsidP="00E10347">
      <w:pPr>
        <w:ind w:right="-93" w:firstLine="709"/>
        <w:jc w:val="both"/>
        <w:rPr>
          <w:rFonts w:ascii="Palatino Linotype" w:hAnsi="Palatino Linotype"/>
          <w:sz w:val="21"/>
          <w:szCs w:val="21"/>
        </w:rPr>
      </w:pPr>
      <w:r w:rsidRPr="00E10347">
        <w:rPr>
          <w:rFonts w:ascii="Palatino Linotype" w:hAnsi="Palatino Linotype"/>
          <w:sz w:val="21"/>
          <w:szCs w:val="21"/>
        </w:rPr>
        <w:t xml:space="preserve">En conclusión, el recurso al CPC y/o al NCPC como norma de aplicación supletoria es </w:t>
      </w:r>
      <w:r w:rsidRPr="00E10347">
        <w:rPr>
          <w:rFonts w:ascii="Palatino Linotype" w:hAnsi="Palatino Linotype"/>
          <w:bCs/>
          <w:sz w:val="21"/>
          <w:szCs w:val="21"/>
        </w:rPr>
        <w:t>excepcional</w:t>
      </w:r>
      <w:r w:rsidRPr="00E10347">
        <w:rPr>
          <w:rFonts w:ascii="Palatino Linotype" w:hAnsi="Palatino Linotype"/>
          <w:sz w:val="21"/>
          <w:szCs w:val="21"/>
        </w:rPr>
        <w:t xml:space="preserve">, como última alternativa y </w:t>
      </w:r>
      <w:r w:rsidR="002A76CC">
        <w:rPr>
          <w:rFonts w:ascii="Palatino Linotype" w:hAnsi="Palatino Linotype"/>
          <w:bCs/>
          <w:sz w:val="21"/>
          <w:szCs w:val="21"/>
        </w:rPr>
        <w:t xml:space="preserve">solo </w:t>
      </w:r>
      <w:r w:rsidRPr="00E10347">
        <w:rPr>
          <w:rFonts w:ascii="Palatino Linotype" w:hAnsi="Palatino Linotype"/>
          <w:sz w:val="21"/>
          <w:szCs w:val="21"/>
        </w:rPr>
        <w:t xml:space="preserve">en el tanto y cuanto la </w:t>
      </w:r>
      <w:r w:rsidRPr="00E10347">
        <w:rPr>
          <w:rFonts w:ascii="Palatino Linotype" w:hAnsi="Palatino Linotype"/>
          <w:sz w:val="21"/>
          <w:szCs w:val="21"/>
        </w:rPr>
        <w:lastRenderedPageBreak/>
        <w:t>norma a aplicar posea identidad de razón con la norma que debería contener el CPCA y/o la LGAP.</w:t>
      </w:r>
      <w:r w:rsidRPr="00E10347">
        <w:rPr>
          <w:rStyle w:val="Refdenotaalpie"/>
          <w:rFonts w:ascii="Palatino Linotype" w:hAnsi="Palatino Linotype"/>
          <w:sz w:val="21"/>
          <w:szCs w:val="21"/>
        </w:rPr>
        <w:footnoteReference w:id="430"/>
      </w:r>
      <w:r w:rsidRPr="00E10347">
        <w:rPr>
          <w:rFonts w:ascii="Palatino Linotype" w:hAnsi="Palatino Linotype"/>
          <w:sz w:val="21"/>
          <w:szCs w:val="21"/>
        </w:rPr>
        <w:t xml:space="preserve"> Parafraseando al profesor </w:t>
      </w:r>
      <w:r w:rsidRPr="00E10347">
        <w:rPr>
          <w:rFonts w:ascii="Palatino Linotype" w:hAnsi="Palatino Linotype"/>
          <w:smallCaps/>
          <w:sz w:val="21"/>
          <w:szCs w:val="21"/>
        </w:rPr>
        <w:t xml:space="preserve">Chapus: </w:t>
      </w:r>
      <w:r w:rsidRPr="00E10347">
        <w:rPr>
          <w:rFonts w:ascii="Palatino Linotype" w:hAnsi="Palatino Linotype"/>
          <w:sz w:val="21"/>
          <w:szCs w:val="21"/>
        </w:rPr>
        <w:t>El Código Procesal Civil, al igual que el Código Civil, carecen de autoridad, en principio, respecto del procedimiento administrativo y  la jurisdicción contencioso administrativa</w:t>
      </w:r>
      <w:r w:rsidRPr="00E10347">
        <w:rPr>
          <w:rFonts w:ascii="Palatino Linotype" w:hAnsi="Palatino Linotype"/>
          <w:sz w:val="21"/>
          <w:szCs w:val="21"/>
          <w:lang w:val="fr-FR"/>
        </w:rPr>
        <w:t>: ni para ju</w:t>
      </w:r>
      <w:r w:rsidRPr="00E10347">
        <w:rPr>
          <w:rFonts w:ascii="Palatino Linotype" w:hAnsi="Palatino Linotype"/>
          <w:sz w:val="21"/>
          <w:szCs w:val="21"/>
        </w:rPr>
        <w:t>zgar de acuerdo con las formas prescritas por la primera, ni para la aplicación de las normas sustantivas de la segunda.</w:t>
      </w:r>
      <w:r w:rsidRPr="00E10347">
        <w:rPr>
          <w:rStyle w:val="Refdenotaalpie"/>
          <w:rFonts w:ascii="Palatino Linotype" w:hAnsi="Palatino Linotype"/>
          <w:sz w:val="21"/>
          <w:szCs w:val="21"/>
        </w:rPr>
        <w:footnoteReference w:id="431"/>
      </w:r>
    </w:p>
    <w:p w:rsidR="00F350F6" w:rsidRPr="00E10347" w:rsidRDefault="00F350F6" w:rsidP="00E10347">
      <w:pPr>
        <w:pStyle w:val="Predeterminado"/>
        <w:spacing w:after="0" w:line="240" w:lineRule="auto"/>
        <w:ind w:firstLine="709"/>
        <w:jc w:val="center"/>
        <w:rPr>
          <w:rFonts w:ascii="Palatino Linotype" w:hAnsi="Palatino Linotype" w:cs="Arial"/>
          <w:b/>
          <w:color w:val="auto"/>
          <w:sz w:val="21"/>
          <w:szCs w:val="21"/>
        </w:rPr>
        <w:sectPr w:rsidR="00F350F6" w:rsidRPr="00E10347" w:rsidSect="00FC1DF6">
          <w:headerReference w:type="even" r:id="rId51"/>
          <w:headerReference w:type="default" r:id="rId52"/>
          <w:type w:val="oddPage"/>
          <w:pgSz w:w="12240" w:h="15840" w:code="1"/>
          <w:pgMar w:top="1667" w:right="851" w:bottom="4253" w:left="3686" w:header="1021" w:footer="3005" w:gutter="0"/>
          <w:cols w:space="708"/>
          <w:titlePg/>
          <w:docGrid w:linePitch="360"/>
        </w:sectPr>
      </w:pPr>
    </w:p>
    <w:p w:rsidR="00244C82" w:rsidRPr="00E10347" w:rsidRDefault="00244C82" w:rsidP="00E10347">
      <w:pPr>
        <w:ind w:firstLine="709"/>
        <w:rPr>
          <w:rFonts w:ascii="Palatino Linotype" w:hAnsi="Palatino Linotype"/>
          <w:sz w:val="21"/>
          <w:szCs w:val="21"/>
          <w:lang w:val="es-CR"/>
        </w:rPr>
      </w:pPr>
    </w:p>
    <w:p w:rsidR="00E10347" w:rsidRDefault="00E10347" w:rsidP="00E10347">
      <w:pPr>
        <w:jc w:val="center"/>
        <w:rPr>
          <w:rFonts w:ascii="Palatino Linotype" w:hAnsi="Palatino Linotype" w:cs="Times New Roman"/>
          <w:b/>
          <w:sz w:val="21"/>
          <w:szCs w:val="21"/>
        </w:rPr>
      </w:pPr>
      <w:bookmarkStart w:id="62" w:name="_Hlk479197788"/>
      <w:r w:rsidRPr="00E10347">
        <w:rPr>
          <w:rFonts w:ascii="Palatino Linotype" w:hAnsi="Palatino Linotype" w:cs="Times New Roman"/>
          <w:b/>
          <w:sz w:val="21"/>
          <w:szCs w:val="21"/>
        </w:rPr>
        <w:t>LA PRUEBA DESDE LA PERSPECTIVA CONSTITUCIONAL</w:t>
      </w:r>
    </w:p>
    <w:p w:rsidR="00467BDB" w:rsidRDefault="00467BDB" w:rsidP="00467BDB">
      <w:pPr>
        <w:pStyle w:val="Textoindependiente"/>
        <w:spacing w:after="0"/>
        <w:ind w:left="2124" w:firstLine="708"/>
        <w:jc w:val="center"/>
        <w:rPr>
          <w:rFonts w:ascii="Palatino Linotype" w:hAnsi="Palatino Linotype"/>
          <w:i/>
          <w:iCs/>
          <w:sz w:val="21"/>
          <w:szCs w:val="21"/>
          <w:vertAlign w:val="superscript"/>
        </w:rPr>
      </w:pPr>
      <w:r w:rsidRPr="00E10347">
        <w:rPr>
          <w:rFonts w:ascii="Palatino Linotype" w:hAnsi="Palatino Linotype"/>
          <w:sz w:val="21"/>
          <w:szCs w:val="21"/>
        </w:rPr>
        <w:t>Haideer Miranda Bonilla</w:t>
      </w:r>
      <w:r w:rsidRPr="00E10347">
        <w:rPr>
          <w:rFonts w:ascii="Palatino Linotype" w:hAnsi="Palatino Linotype"/>
          <w:i/>
          <w:iCs/>
          <w:sz w:val="21"/>
          <w:szCs w:val="21"/>
          <w:vertAlign w:val="superscript"/>
        </w:rPr>
        <w:t xml:space="preserve"> </w:t>
      </w:r>
      <w:bookmarkEnd w:id="62"/>
      <w:r w:rsidRPr="00E10347">
        <w:rPr>
          <w:rFonts w:ascii="Palatino Linotype" w:hAnsi="Palatino Linotype"/>
          <w:i/>
          <w:iCs/>
          <w:sz w:val="21"/>
          <w:szCs w:val="21"/>
          <w:vertAlign w:val="superscript"/>
        </w:rPr>
        <w:t>*</w:t>
      </w:r>
    </w:p>
    <w:p w:rsidR="00A05EF6" w:rsidRDefault="00A05EF6" w:rsidP="00A05EF6">
      <w:pPr>
        <w:pStyle w:val="Textoindependiente"/>
        <w:spacing w:after="0"/>
        <w:rPr>
          <w:rFonts w:ascii="Palatino Linotype" w:hAnsi="Palatino Linotype"/>
          <w:i/>
          <w:iCs/>
          <w:sz w:val="21"/>
          <w:szCs w:val="21"/>
          <w:vertAlign w:val="superscript"/>
        </w:rPr>
      </w:pPr>
    </w:p>
    <w:p w:rsidR="00E10347" w:rsidRPr="00E10347" w:rsidRDefault="00A05EF6" w:rsidP="00A05EF6">
      <w:pPr>
        <w:pStyle w:val="Textoindependiente"/>
        <w:spacing w:after="0"/>
        <w:rPr>
          <w:rFonts w:ascii="Palatino Linotype" w:hAnsi="Palatino Linotype"/>
          <w:b/>
          <w:i/>
          <w:sz w:val="21"/>
          <w:szCs w:val="21"/>
        </w:rPr>
      </w:pPr>
      <w:r w:rsidRPr="00D1279A">
        <w:rPr>
          <w:rFonts w:ascii="Palatino Linotype" w:hAnsi="Palatino Linotype" w:cs="Times New Roman"/>
          <w:sz w:val="21"/>
          <w:szCs w:val="21"/>
        </w:rPr>
        <w:t>SUMARIO: 1. Introducción. 2. La prueba en el derecho procesal constitucional. 3. Los medios de prueba. 4. El objeto de la prueba. 5. La prueba en los procesos ante la Sala Constitucional. a. En los recursos de amparo contra órganos o servidores públicos.  b. En los recursos de hábeas corpus. c. En el control de constitucionalidad de las leyes. 6. La carga de la prueba. 7. Poderes del juez constitucional para ordenar medidas de instrucción. 8. Apreciación de la prueba. 9. Legitimidad o licitud de la prueba en los procesos penales. 10. Conclusiones. 11. Bibliografía.</w:t>
      </w:r>
      <w:r w:rsidRPr="00E10347">
        <w:rPr>
          <w:rFonts w:ascii="Palatino Linotype" w:hAnsi="Palatino Linotype"/>
          <w:b/>
          <w:i/>
          <w:sz w:val="21"/>
          <w:szCs w:val="21"/>
        </w:rPr>
        <w:t xml:space="preserve"> </w:t>
      </w:r>
    </w:p>
    <w:p w:rsidR="00E10347" w:rsidRPr="00E10347" w:rsidRDefault="00E10347" w:rsidP="00E10347">
      <w:pPr>
        <w:pStyle w:val="Textoindependiente"/>
        <w:spacing w:after="0"/>
        <w:ind w:firstLine="708"/>
        <w:jc w:val="right"/>
        <w:rPr>
          <w:rFonts w:ascii="Palatino Linotype" w:hAnsi="Palatino Linotype"/>
          <w:b/>
          <w:i/>
          <w:sz w:val="21"/>
          <w:szCs w:val="21"/>
        </w:rPr>
      </w:pPr>
    </w:p>
    <w:p w:rsidR="00E10347" w:rsidRPr="00E10347" w:rsidRDefault="00E10347" w:rsidP="00E10347">
      <w:pPr>
        <w:rPr>
          <w:rFonts w:ascii="Palatino Linotype" w:hAnsi="Palatino Linotype" w:cs="Times New Roman"/>
          <w:b/>
          <w:sz w:val="21"/>
          <w:szCs w:val="21"/>
        </w:rPr>
      </w:pPr>
      <w:r w:rsidRPr="00E10347">
        <w:rPr>
          <w:rFonts w:ascii="Palatino Linotype" w:hAnsi="Palatino Linotype" w:cs="Times New Roman"/>
          <w:b/>
          <w:sz w:val="21"/>
          <w:szCs w:val="21"/>
        </w:rPr>
        <w:t>1. Introducción</w:t>
      </w:r>
    </w:p>
    <w:p w:rsidR="00E10347" w:rsidRPr="00E10347" w:rsidRDefault="00E10347" w:rsidP="00E10347">
      <w:pPr>
        <w:ind w:firstLine="708"/>
        <w:jc w:val="both"/>
        <w:rPr>
          <w:rFonts w:ascii="Palatino Linotype" w:hAnsi="Palatino Linotype"/>
          <w:sz w:val="21"/>
          <w:szCs w:val="21"/>
        </w:rPr>
      </w:pPr>
      <w:r w:rsidRPr="00E10347">
        <w:rPr>
          <w:rFonts w:ascii="Palatino Linotype" w:hAnsi="Palatino Linotype"/>
          <w:sz w:val="21"/>
          <w:szCs w:val="21"/>
        </w:rPr>
        <w:t>El presente estudio fue realizado en ocasión del VI Congreso Internacional de Derecho Procesal dedicado a la “Prueba Judicial” el cual fue organizado por el Instituto Costarricense de Derecho Procesal (ICDP)</w:t>
      </w:r>
      <w:r w:rsidRPr="00E10347">
        <w:rPr>
          <w:rStyle w:val="Refdenotaalpie"/>
          <w:rFonts w:ascii="Palatino Linotype" w:hAnsi="Palatino Linotype"/>
          <w:sz w:val="21"/>
          <w:szCs w:val="21"/>
        </w:rPr>
        <w:footnoteReference w:id="432"/>
      </w:r>
      <w:r w:rsidRPr="00E10347">
        <w:rPr>
          <w:rFonts w:ascii="Palatino Linotype" w:hAnsi="Palatino Linotype"/>
          <w:sz w:val="21"/>
          <w:szCs w:val="21"/>
        </w:rPr>
        <w:t xml:space="preserve">. Al respecto, se pretende </w:t>
      </w:r>
      <w:r w:rsidRPr="00E10347">
        <w:rPr>
          <w:rFonts w:ascii="Palatino Linotype" w:hAnsi="Palatino Linotype"/>
          <w:sz w:val="21"/>
          <w:szCs w:val="21"/>
        </w:rPr>
        <w:lastRenderedPageBreak/>
        <w:t xml:space="preserve">abordar el tema de la prueba desde la perspectiva del derecho constitucional, en particular en los recursos de amparo contra órganos o servidores públicos, en los recursos de hábeas corpus y en el control de constitucionalidad de las leyes. Además se analizarán cuestiones de gran importancia como la carga de la prueba, los </w:t>
      </w:r>
      <w:r w:rsidRPr="00E10347">
        <w:rPr>
          <w:rFonts w:ascii="Palatino Linotype" w:hAnsi="Palatino Linotype" w:cs="Times New Roman"/>
          <w:sz w:val="21"/>
          <w:szCs w:val="21"/>
        </w:rPr>
        <w:t>poderes para ordenar medidas de instrucción</w:t>
      </w:r>
      <w:r w:rsidRPr="00E10347">
        <w:rPr>
          <w:rFonts w:ascii="Palatino Linotype" w:hAnsi="Palatino Linotype"/>
          <w:sz w:val="21"/>
          <w:szCs w:val="21"/>
        </w:rPr>
        <w:t xml:space="preserve"> y la apreciación de la prueba que realizan los jueces de la Sala Constitucional de la Corte Suprema de Justicia –en adelante Sala Constitucional- y jurisprudencia relacionada con la licitud o legitimidad de la prueba en los procesos penales. </w:t>
      </w:r>
    </w:p>
    <w:p w:rsidR="00E10347" w:rsidRPr="00E10347" w:rsidRDefault="00E10347" w:rsidP="00E10347">
      <w:pPr>
        <w:ind w:firstLine="708"/>
        <w:jc w:val="both"/>
        <w:rPr>
          <w:rFonts w:ascii="Palatino Linotype" w:hAnsi="Palatino Linotype"/>
          <w:sz w:val="21"/>
          <w:szCs w:val="21"/>
        </w:rPr>
      </w:pPr>
    </w:p>
    <w:p w:rsidR="00E10347" w:rsidRPr="00E10347" w:rsidRDefault="00E10347" w:rsidP="00E10347">
      <w:pPr>
        <w:rPr>
          <w:rFonts w:ascii="Palatino Linotype" w:hAnsi="Palatino Linotype" w:cs="Times New Roman"/>
          <w:b/>
          <w:sz w:val="21"/>
          <w:szCs w:val="21"/>
        </w:rPr>
      </w:pPr>
      <w:r w:rsidRPr="00E10347">
        <w:rPr>
          <w:rFonts w:ascii="Palatino Linotype" w:hAnsi="Palatino Linotype" w:cs="Times New Roman"/>
          <w:b/>
          <w:sz w:val="21"/>
          <w:szCs w:val="21"/>
        </w:rPr>
        <w:t>2. La prueba en el derecho procesal constitucional</w:t>
      </w:r>
    </w:p>
    <w:p w:rsidR="00E10347" w:rsidRPr="00E10347" w:rsidRDefault="00E10347" w:rsidP="00E10347">
      <w:pPr>
        <w:ind w:firstLine="709"/>
        <w:jc w:val="both"/>
        <w:rPr>
          <w:rFonts w:ascii="Palatino Linotype" w:hAnsi="Palatino Linotype" w:cs="Times New Roman"/>
          <w:sz w:val="21"/>
          <w:szCs w:val="21"/>
        </w:rPr>
      </w:pPr>
      <w:r w:rsidRPr="00E10347">
        <w:rPr>
          <w:rFonts w:ascii="Palatino Linotype" w:hAnsi="Palatino Linotype" w:cs="Times New Roman"/>
          <w:sz w:val="21"/>
          <w:szCs w:val="21"/>
        </w:rPr>
        <w:t>En términos generales la prueba es el “</w:t>
      </w:r>
      <w:r w:rsidRPr="00E10347">
        <w:rPr>
          <w:rFonts w:ascii="Palatino Linotype" w:hAnsi="Palatino Linotype" w:cs="Times New Roman"/>
          <w:i/>
          <w:sz w:val="21"/>
          <w:szCs w:val="21"/>
        </w:rPr>
        <w:t>termine con cui si fa riferimento a quel procedimento logico che dal fatto noto ricava, per rappresentazione, l’esistenza del fatto da provare. Oltre che al risultato probatorio, non raramente tale parola viene utilizzata per indicare anche la fonte, il mezzo e l’elemento di prova</w:t>
      </w:r>
      <w:r w:rsidRPr="00E10347">
        <w:rPr>
          <w:rFonts w:ascii="Palatino Linotype" w:hAnsi="Palatino Linotype" w:cs="Times New Roman"/>
          <w:sz w:val="21"/>
          <w:szCs w:val="21"/>
        </w:rPr>
        <w:t>”</w:t>
      </w:r>
      <w:r w:rsidRPr="00E10347">
        <w:rPr>
          <w:rStyle w:val="Refdenotaalpie"/>
          <w:rFonts w:ascii="Palatino Linotype" w:hAnsi="Palatino Linotype" w:cs="Times New Roman"/>
          <w:sz w:val="21"/>
          <w:szCs w:val="21"/>
        </w:rPr>
        <w:footnoteReference w:id="433"/>
      </w:r>
      <w:r w:rsidRPr="00E10347">
        <w:rPr>
          <w:rFonts w:ascii="Palatino Linotype" w:hAnsi="Palatino Linotype" w:cs="Times New Roman"/>
          <w:sz w:val="21"/>
          <w:szCs w:val="21"/>
        </w:rPr>
        <w:t>. Este concepto se refiere al procedimiento por el cual los instrumentos de conocimiento dentro de un proceso judicial se forman o se adquieren, o a la actividad que conduce a la verificación del hecho(s) denunciado(s). Hace referencia al resultado de la actividad lógica cognoscitiva tendiente a disipar la incerteza acerca la existencia del hecho, motivo por el cual se habla de prueba positiva o negativa, según se demuestre la existencia o no del hecho. La prueba es el conjunto de medios de convicción con que debe contar el órgano jurisdiccional para decidir, debe recaer sobre los hechos relevantes controvertidos y discutidos en el proceso</w:t>
      </w:r>
      <w:r w:rsidRPr="00E10347">
        <w:rPr>
          <w:rStyle w:val="Refdenotaalpie"/>
          <w:rFonts w:ascii="Palatino Linotype" w:hAnsi="Palatino Linotype" w:cs="Times New Roman"/>
          <w:sz w:val="21"/>
          <w:szCs w:val="21"/>
        </w:rPr>
        <w:footnoteReference w:id="434"/>
      </w:r>
      <w:r w:rsidRPr="00E10347">
        <w:rPr>
          <w:rFonts w:ascii="Palatino Linotype" w:hAnsi="Palatino Linotype" w:cs="Times New Roman"/>
          <w:sz w:val="21"/>
          <w:szCs w:val="21"/>
        </w:rPr>
        <w:t>. En este sentido, con el término jurídico prueba se pueden distinguir dos conceptos ontológicamente distintos: “</w:t>
      </w:r>
      <w:r w:rsidRPr="00E10347">
        <w:rPr>
          <w:rFonts w:ascii="Palatino Linotype" w:hAnsi="Palatino Linotype" w:cs="Times New Roman"/>
          <w:i/>
          <w:sz w:val="21"/>
          <w:szCs w:val="21"/>
        </w:rPr>
        <w:t>da un lato, esso viene utilizzato per indicare il giudizio di veridicità ovvero falsità dei fatti (o meglio delle asserzioni) dedotti dalle parti; dall’altro, esso identifica il risultato conclusivo di tale giudizio (la c.d. prova raggiunta), cioè il probatum sul quale il Giudice deve fondare la propria decisione</w:t>
      </w:r>
      <w:r w:rsidRPr="00E10347">
        <w:rPr>
          <w:rFonts w:ascii="Palatino Linotype" w:hAnsi="Palatino Linotype" w:cs="Times New Roman"/>
          <w:sz w:val="21"/>
          <w:szCs w:val="21"/>
        </w:rPr>
        <w:t>”</w:t>
      </w:r>
      <w:r w:rsidRPr="00E10347">
        <w:rPr>
          <w:rStyle w:val="Refdenotaalpie"/>
          <w:rFonts w:ascii="Palatino Linotype" w:hAnsi="Palatino Linotype" w:cs="Times New Roman"/>
          <w:sz w:val="21"/>
          <w:szCs w:val="21"/>
        </w:rPr>
        <w:footnoteReference w:id="435"/>
      </w:r>
      <w:r w:rsidRPr="00E10347">
        <w:rPr>
          <w:rFonts w:ascii="Palatino Linotype" w:hAnsi="Palatino Linotype" w:cs="Times New Roman"/>
          <w:sz w:val="21"/>
          <w:szCs w:val="21"/>
        </w:rPr>
        <w:t xml:space="preserve">. </w:t>
      </w:r>
    </w:p>
    <w:p w:rsidR="00E10347" w:rsidRPr="00E10347" w:rsidRDefault="00E10347" w:rsidP="00E10347">
      <w:pPr>
        <w:ind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La doctrina procesal civil italiana distingue entre pruebas “pre-constituidas” </w:t>
      </w:r>
      <w:r w:rsidRPr="00E10347">
        <w:rPr>
          <w:rFonts w:ascii="Palatino Linotype" w:hAnsi="Palatino Linotype" w:cs="Times New Roman"/>
          <w:sz w:val="21"/>
          <w:szCs w:val="21"/>
        </w:rPr>
        <w:lastRenderedPageBreak/>
        <w:t>y “constituidas”</w:t>
      </w:r>
      <w:r w:rsidRPr="00E10347">
        <w:rPr>
          <w:rStyle w:val="Refdenotaalpie"/>
          <w:rFonts w:ascii="Palatino Linotype" w:hAnsi="Palatino Linotype" w:cs="Times New Roman"/>
          <w:sz w:val="21"/>
          <w:szCs w:val="21"/>
        </w:rPr>
        <w:footnoteReference w:id="436"/>
      </w:r>
      <w:r w:rsidRPr="00E10347">
        <w:rPr>
          <w:rFonts w:ascii="Palatino Linotype" w:hAnsi="Palatino Linotype" w:cs="Times New Roman"/>
          <w:sz w:val="21"/>
          <w:szCs w:val="21"/>
        </w:rPr>
        <w:t>. Las primeras hacen referencia a las pruebas que se forman afuera del proceso, por ejemplo, los documentos. Por su parte las segundas son aquellas que se forman dentro del proceso y por lo tanto implican una actividad procesal dirigida a la formación del medio probatorio, por ejemplo, la inspección o la declaración testimonial. Por otra las pruebas pueden ser clasificadas en “directas” e “indirectas”</w:t>
      </w:r>
      <w:r w:rsidRPr="00E10347">
        <w:rPr>
          <w:rStyle w:val="Refdenotaalpie"/>
          <w:rFonts w:ascii="Palatino Linotype" w:hAnsi="Palatino Linotype" w:cs="Times New Roman"/>
          <w:sz w:val="21"/>
          <w:szCs w:val="21"/>
        </w:rPr>
        <w:footnoteReference w:id="437"/>
      </w:r>
      <w:r w:rsidRPr="00E10347">
        <w:rPr>
          <w:rFonts w:ascii="Palatino Linotype" w:hAnsi="Palatino Linotype" w:cs="Times New Roman"/>
          <w:sz w:val="21"/>
          <w:szCs w:val="21"/>
        </w:rPr>
        <w:t xml:space="preserve">. Con la primera de ellas el juez percibe directamente el hecho alegado, por ejemplo, a través de la realización de una inspección tendiente acreditar el estado de un sitio o lugar relevante para la decisión. En las pruebas indirectas se interpone un instrumento representativo entre la percepción del juez y el hecho, como el documento o la declaración testimonial. </w:t>
      </w:r>
    </w:p>
    <w:p w:rsidR="00E10347" w:rsidRPr="00E10347" w:rsidRDefault="00E10347" w:rsidP="00E10347">
      <w:pPr>
        <w:ind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En el proceso constitucional la función de la prueba no tiene la misma trascendencia que en el derecho administrativo, civil, laboral, penal y tributario.  Lo anterior, en virtud de la misma naturaleza, objeto y finalidad de éste tipo de procesos en donde incluso no existe un etapa probatoria en sentido estricto en la que se lleve una audiencia para evacuar las pruebas aportadas por las partes al proceso. Además, la Sala Constitucional en reiterados pronunciamientos ha precisado que cuando se trata de asuntos que requieren evacuar abundantes elementos de convicción, la vía idónea para conocer del asunto no es la del proceso de amparo, sino un proceso jurisdiccional ordinario pleno que es la vía adecuada para ofrecer, aportar y producir abundantes medios de prueba. </w:t>
      </w:r>
    </w:p>
    <w:p w:rsidR="00E10347" w:rsidRPr="00E10347" w:rsidRDefault="00E10347" w:rsidP="00E10347">
      <w:pPr>
        <w:ind w:firstLine="709"/>
        <w:jc w:val="both"/>
        <w:rPr>
          <w:rFonts w:ascii="Palatino Linotype" w:hAnsi="Palatino Linotype" w:cs="Times New Roman"/>
          <w:sz w:val="21"/>
          <w:szCs w:val="21"/>
        </w:rPr>
      </w:pPr>
      <w:r w:rsidRPr="00E10347">
        <w:rPr>
          <w:rFonts w:ascii="Palatino Linotype" w:hAnsi="Palatino Linotype" w:cs="Times New Roman"/>
          <w:sz w:val="21"/>
          <w:szCs w:val="21"/>
        </w:rPr>
        <w:t>En efecto, cuando el objeto del proceso constitucional es verificar la inconstitucionalidad de una norma, salvo los casos de excepción que analizaremos en el acápite correspondiente, no se requiere la demostración de hechos, pues en este caso basta con la confrontación de la norma impugnada con el parámetro de constitucionalidad</w:t>
      </w:r>
      <w:r w:rsidRPr="00E10347">
        <w:rPr>
          <w:rStyle w:val="Refdenotaalpie"/>
          <w:rFonts w:ascii="Palatino Linotype" w:hAnsi="Palatino Linotype" w:cs="Times New Roman"/>
          <w:sz w:val="21"/>
          <w:szCs w:val="21"/>
        </w:rPr>
        <w:footnoteReference w:id="438"/>
      </w:r>
      <w:r w:rsidRPr="00E10347">
        <w:rPr>
          <w:rFonts w:ascii="Palatino Linotype" w:hAnsi="Palatino Linotype" w:cs="Times New Roman"/>
          <w:sz w:val="21"/>
          <w:szCs w:val="21"/>
        </w:rPr>
        <w:t xml:space="preserve">. En cambio, cuando se trata de un proceso de </w:t>
      </w:r>
      <w:r w:rsidRPr="00E10347">
        <w:rPr>
          <w:rFonts w:ascii="Palatino Linotype" w:hAnsi="Palatino Linotype" w:cs="Times New Roman"/>
          <w:i/>
          <w:sz w:val="21"/>
          <w:szCs w:val="21"/>
        </w:rPr>
        <w:t>hábeas corpus</w:t>
      </w:r>
      <w:r w:rsidRPr="00E10347">
        <w:rPr>
          <w:rFonts w:ascii="Palatino Linotype" w:hAnsi="Palatino Linotype" w:cs="Times New Roman"/>
          <w:sz w:val="21"/>
          <w:szCs w:val="21"/>
        </w:rPr>
        <w:t xml:space="preserve"> o de </w:t>
      </w:r>
      <w:r w:rsidRPr="00E10347">
        <w:rPr>
          <w:rFonts w:ascii="Palatino Linotype" w:hAnsi="Palatino Linotype" w:cs="Times New Roman"/>
          <w:i/>
          <w:sz w:val="21"/>
          <w:szCs w:val="21"/>
        </w:rPr>
        <w:t>amparo,</w:t>
      </w:r>
      <w:r w:rsidRPr="00E10347">
        <w:rPr>
          <w:rFonts w:ascii="Palatino Linotype" w:hAnsi="Palatino Linotype" w:cs="Times New Roman"/>
          <w:sz w:val="21"/>
          <w:szCs w:val="21"/>
        </w:rPr>
        <w:t xml:space="preserve"> el actor afirma haber sido lesionado, está siéndolo o existe una amenaza </w:t>
      </w:r>
      <w:r w:rsidRPr="00E10347">
        <w:rPr>
          <w:rFonts w:ascii="Palatino Linotype" w:hAnsi="Palatino Linotype" w:cs="Times New Roman"/>
          <w:sz w:val="21"/>
          <w:szCs w:val="21"/>
        </w:rPr>
        <w:lastRenderedPageBreak/>
        <w:t>cierta e inminente de ser lesionado en sus derechos fundamentales por determinados actos, omisiones o amenazas de una autoridad o de un particular. Tal afirmación debe ser debidamente demostrada por el demandante, a quien corresponde la carga de la prueba, a fin de que el juez pueda otorgarle la tutela solicitada. En los procesos de hábeas corpus y de amparo el juez constitucional no declara un derecho, sino que determina su lesión o amenaza. En otros términos, en los procesos de hábeas corpus y de amparo no se discuten cuestiones atinentes a la titularidad de un derecho, sino más bien el modo de restablecer su ejercicio. Por ello, para acreditar la lesión o la amenaza denunciadas no se debe acudir a un intenso debate probatorio, lo cual es propio de los procesos ordinarios. Este es justamente uno de los elementos que sirven para delimitar la frontera entre los procesos de amparo y los de carácter ordinario. En el amparo la violación o amenaza de conculcación se debe acreditar sin mayor debate probatorio. Por ello, cuando un acto, omisión o amenaza que en principio viola o amenaza violar un derecho fundamental pero para cuya acreditación se requiere de probanzas exhaustivas, en tal hipótesis el afectado tiene que plantear el asunto en la vía ordinaria y no residenciarlo en la jurisdicción constitucional</w:t>
      </w:r>
      <w:r w:rsidRPr="00E10347">
        <w:rPr>
          <w:rStyle w:val="Refdenotaalpie"/>
          <w:rFonts w:ascii="Palatino Linotype" w:hAnsi="Palatino Linotype" w:cs="Times New Roman"/>
          <w:sz w:val="21"/>
          <w:szCs w:val="21"/>
        </w:rPr>
        <w:footnoteReference w:id="439"/>
      </w:r>
      <w:r w:rsidRPr="00E10347">
        <w:rPr>
          <w:rFonts w:ascii="Palatino Linotype" w:hAnsi="Palatino Linotype" w:cs="Times New Roman"/>
          <w:sz w:val="21"/>
          <w:szCs w:val="21"/>
        </w:rPr>
        <w:t xml:space="preserve">. </w:t>
      </w:r>
    </w:p>
    <w:p w:rsidR="00E10347" w:rsidRPr="00E10347" w:rsidRDefault="00E10347" w:rsidP="00E10347">
      <w:pPr>
        <w:ind w:firstLine="709"/>
        <w:jc w:val="both"/>
        <w:rPr>
          <w:rFonts w:ascii="Palatino Linotype" w:hAnsi="Palatino Linotype" w:cs="Times New Roman"/>
          <w:sz w:val="21"/>
          <w:szCs w:val="21"/>
        </w:rPr>
      </w:pPr>
      <w:r w:rsidRPr="00E10347">
        <w:rPr>
          <w:rFonts w:ascii="Palatino Linotype" w:hAnsi="Palatino Linotype" w:cs="Times New Roman"/>
          <w:sz w:val="21"/>
          <w:szCs w:val="21"/>
          <w:lang w:val="es-CR"/>
        </w:rPr>
        <w:t>En antención al objeto del proceso constitucional que esta dirigido a verificar una posible violación de derechos fundamentales, la prueba resulta importante cuando exista una disconformidad de los hechos, lo que se deriva de la afirmaciones del recurso, por una lado, y de los informes rendidos bajo juramento por las autoridades involucradas. Es así como la Sala Constitucional resulta ser la destinataria de la prueba, pues es a ella a la que hay que convencer la verdad real de los hechos y en ese sentido, la prueba debe versar sobre los hechos cuandos éstos sean dudosos o controvertidos. Por la importancia de los procesos constitucionales y la informalidad de los mismos, rige el principio de la prueba libre de manera que la Sala forma libremente su convicción sobre los hechos probados, según las reglas de la sana critica</w:t>
      </w:r>
      <w:r w:rsidRPr="00E10347">
        <w:rPr>
          <w:rStyle w:val="Refdenotaalpie"/>
          <w:rFonts w:ascii="Palatino Linotype" w:hAnsi="Palatino Linotype" w:cs="Times New Roman"/>
          <w:sz w:val="21"/>
          <w:szCs w:val="21"/>
          <w:lang w:val="es-CR"/>
        </w:rPr>
        <w:footnoteReference w:id="440"/>
      </w:r>
      <w:r w:rsidRPr="00E10347">
        <w:rPr>
          <w:rFonts w:ascii="Palatino Linotype" w:hAnsi="Palatino Linotype" w:cs="Times New Roman"/>
          <w:sz w:val="21"/>
          <w:szCs w:val="21"/>
          <w:lang w:val="es-CR"/>
        </w:rPr>
        <w:t>.</w:t>
      </w:r>
    </w:p>
    <w:p w:rsidR="00E10347" w:rsidRPr="00E10347" w:rsidRDefault="00E10347" w:rsidP="00E10347">
      <w:pPr>
        <w:ind w:firstLine="709"/>
        <w:jc w:val="both"/>
        <w:rPr>
          <w:rFonts w:ascii="Palatino Linotype" w:hAnsi="Palatino Linotype" w:cs="Times New Roman"/>
          <w:sz w:val="21"/>
          <w:szCs w:val="21"/>
        </w:rPr>
      </w:pPr>
      <w:r w:rsidRPr="00E10347">
        <w:rPr>
          <w:rFonts w:ascii="Palatino Linotype" w:hAnsi="Palatino Linotype" w:cs="Times New Roman"/>
          <w:sz w:val="21"/>
          <w:szCs w:val="21"/>
        </w:rPr>
        <w:t xml:space="preserve">Por otra parte, la prueba desde la perspectiva constitucional tiene una serie de principios que la caracterizan. Al respecto es muy útil la clasificación realizada por el constitucionalista </w:t>
      </w:r>
      <w:r w:rsidRPr="00E10347">
        <w:rPr>
          <w:rFonts w:ascii="Palatino Linotype" w:hAnsi="Palatino Linotype" w:cs="Times New Roman"/>
          <w:i/>
          <w:sz w:val="21"/>
          <w:szCs w:val="21"/>
        </w:rPr>
        <w:t>HERNÁNDEZ VALLE</w:t>
      </w:r>
      <w:r w:rsidRPr="00E10347">
        <w:rPr>
          <w:rFonts w:ascii="Palatino Linotype" w:hAnsi="Palatino Linotype" w:cs="Times New Roman"/>
          <w:sz w:val="21"/>
          <w:szCs w:val="21"/>
        </w:rPr>
        <w:t xml:space="preserve"> quién reconoce una serie de principios que informan la prueba constitucional: 1) principio de eficacia jurídica; 2) </w:t>
      </w:r>
      <w:r w:rsidRPr="00E10347">
        <w:rPr>
          <w:rFonts w:ascii="Palatino Linotype" w:hAnsi="Palatino Linotype" w:cs="Times New Roman"/>
          <w:sz w:val="21"/>
          <w:szCs w:val="21"/>
        </w:rPr>
        <w:lastRenderedPageBreak/>
        <w:t>principio de unidad de la prueba; 3) principio de comunidad de la prueba; 4) principio de interés público de la función de la prueba; 5) principio de lealtad y probidad o veracidad de la prueba; 6) principio de contradicción de la prueba; 8) principio de legitimidad para la prueba; 9) principio de preclusión de la prueba; 10) principio de libertad de la prueba; 11) principio de pertinencia, idoneidad y utilidad de la prueba</w:t>
      </w:r>
      <w:r w:rsidRPr="00E10347">
        <w:rPr>
          <w:rStyle w:val="Refdenotaalpie"/>
          <w:rFonts w:ascii="Palatino Linotype" w:hAnsi="Palatino Linotype" w:cs="Times New Roman"/>
          <w:sz w:val="21"/>
          <w:szCs w:val="21"/>
        </w:rPr>
        <w:footnoteReference w:id="441"/>
      </w:r>
      <w:r w:rsidRPr="00E10347">
        <w:rPr>
          <w:rFonts w:ascii="Palatino Linotype" w:hAnsi="Palatino Linotype" w:cs="Times New Roman"/>
          <w:sz w:val="21"/>
          <w:szCs w:val="21"/>
        </w:rPr>
        <w:t xml:space="preserve">.  </w:t>
      </w:r>
    </w:p>
    <w:p w:rsidR="00E10347" w:rsidRPr="00E10347" w:rsidRDefault="00E10347" w:rsidP="00E10347">
      <w:pPr>
        <w:rPr>
          <w:rFonts w:ascii="Palatino Linotype" w:hAnsi="Palatino Linotype" w:cs="Times New Roman"/>
          <w:b/>
          <w:sz w:val="21"/>
          <w:szCs w:val="21"/>
        </w:rPr>
      </w:pPr>
    </w:p>
    <w:p w:rsidR="00E10347" w:rsidRPr="00E10347" w:rsidRDefault="00E10347" w:rsidP="00E10347">
      <w:pPr>
        <w:rPr>
          <w:rFonts w:ascii="Palatino Linotype" w:hAnsi="Palatino Linotype" w:cs="Times New Roman"/>
          <w:b/>
          <w:sz w:val="21"/>
          <w:szCs w:val="21"/>
        </w:rPr>
      </w:pPr>
      <w:r w:rsidRPr="00E10347">
        <w:rPr>
          <w:rFonts w:ascii="Palatino Linotype" w:hAnsi="Palatino Linotype" w:cs="Times New Roman"/>
          <w:b/>
          <w:sz w:val="21"/>
          <w:szCs w:val="21"/>
        </w:rPr>
        <w:t>3. Los medios de prueba</w:t>
      </w:r>
    </w:p>
    <w:p w:rsidR="00E10347" w:rsidRPr="00E10347" w:rsidRDefault="00E10347" w:rsidP="00E10347">
      <w:pPr>
        <w:ind w:firstLine="709"/>
        <w:jc w:val="both"/>
        <w:rPr>
          <w:rFonts w:ascii="Palatino Linotype" w:hAnsi="Palatino Linotype" w:cs="Times New Roman"/>
          <w:sz w:val="21"/>
          <w:szCs w:val="21"/>
        </w:rPr>
      </w:pPr>
      <w:r w:rsidRPr="00E10347">
        <w:rPr>
          <w:rFonts w:ascii="Palatino Linotype" w:hAnsi="Palatino Linotype" w:cs="Times New Roman"/>
          <w:sz w:val="21"/>
          <w:szCs w:val="21"/>
        </w:rPr>
        <w:t>Esta noción hace referencia a las fuentes de prueba en sentido estricto. En el Derecho procesal constitucional los medios de prueba admisibles, en tesis de principio, no tienen límite al no existir una norma expresa que los restrinja, en todo caso, por aplicación de la cláusula supletoria general del artículo 14 de la Ley de la Jurisdicción Constitucional, rige la amplitud probatoria recogida en la LGAP. y en el CPCP.</w:t>
      </w:r>
      <w:r w:rsidRPr="00E10347">
        <w:rPr>
          <w:rStyle w:val="Refdenotaalpie"/>
          <w:rFonts w:ascii="Palatino Linotype" w:hAnsi="Palatino Linotype" w:cs="Times New Roman"/>
          <w:sz w:val="21"/>
          <w:szCs w:val="21"/>
        </w:rPr>
        <w:footnoteReference w:id="442"/>
      </w:r>
      <w:r w:rsidRPr="00E10347">
        <w:rPr>
          <w:rFonts w:ascii="Palatino Linotype" w:hAnsi="Palatino Linotype" w:cs="Times New Roman"/>
          <w:sz w:val="21"/>
          <w:szCs w:val="21"/>
        </w:rPr>
        <w:t>. Al respecto, el artículo 298 párrafo 1 de la Ley General de la Administración Pública determina: “</w:t>
      </w:r>
      <w:r w:rsidRPr="00E10347">
        <w:rPr>
          <w:rFonts w:ascii="Palatino Linotype" w:hAnsi="Palatino Linotype" w:cs="Times New Roman"/>
          <w:sz w:val="21"/>
          <w:szCs w:val="21"/>
          <w:lang w:val="es-CR"/>
        </w:rPr>
        <w:t>L</w:t>
      </w:r>
      <w:r w:rsidRPr="00E10347">
        <w:rPr>
          <w:rFonts w:ascii="Palatino Linotype" w:hAnsi="Palatino Linotype" w:cs="Times New Roman"/>
          <w:i/>
          <w:sz w:val="21"/>
          <w:szCs w:val="21"/>
          <w:lang w:val="es-CR"/>
        </w:rPr>
        <w:t>os medios de prueba podrán ser todos los que estén permitidos por el derecho público, aunque no sean admisibles por el derecho común</w:t>
      </w:r>
      <w:r w:rsidRPr="00E10347">
        <w:rPr>
          <w:rFonts w:ascii="Palatino Linotype" w:hAnsi="Palatino Linotype" w:cs="Times New Roman"/>
          <w:sz w:val="21"/>
          <w:szCs w:val="21"/>
          <w:lang w:val="es-CR"/>
        </w:rPr>
        <w:t>”. Por su parte, el artículo 82 párrafo 2 del Código Procesal Contencioso Administrativo indica: “</w:t>
      </w:r>
      <w:r w:rsidRPr="00E10347">
        <w:rPr>
          <w:rFonts w:ascii="Palatino Linotype" w:hAnsi="Palatino Linotype" w:cs="Times New Roman"/>
          <w:i/>
          <w:sz w:val="21"/>
          <w:szCs w:val="21"/>
        </w:rPr>
        <w:t>Los medios de prueba podrán ser todos los que estén permitidos por el Derecho público y el Derecho común</w:t>
      </w:r>
      <w:r w:rsidRPr="00E10347">
        <w:rPr>
          <w:rFonts w:ascii="Palatino Linotype" w:hAnsi="Palatino Linotype" w:cs="Times New Roman"/>
          <w:sz w:val="21"/>
          <w:szCs w:val="21"/>
        </w:rPr>
        <w:t xml:space="preserve">”. Así, se puede aportar al proceso constitucional un documento, testimonio, certificación o constancia realizada por una autoridad estatal o judicial.  </w:t>
      </w:r>
    </w:p>
    <w:p w:rsidR="00E10347" w:rsidRPr="00E10347" w:rsidRDefault="00E10347" w:rsidP="00E10347">
      <w:pPr>
        <w:rPr>
          <w:rFonts w:ascii="Palatino Linotype" w:hAnsi="Palatino Linotype" w:cs="Times New Roman"/>
          <w:b/>
          <w:sz w:val="21"/>
          <w:szCs w:val="21"/>
        </w:rPr>
      </w:pPr>
    </w:p>
    <w:p w:rsidR="00E10347" w:rsidRPr="00E10347" w:rsidRDefault="00E10347" w:rsidP="00E10347">
      <w:pPr>
        <w:rPr>
          <w:rFonts w:ascii="Palatino Linotype" w:hAnsi="Palatino Linotype" w:cs="Times New Roman"/>
          <w:b/>
          <w:sz w:val="21"/>
          <w:szCs w:val="21"/>
        </w:rPr>
      </w:pPr>
      <w:r w:rsidRPr="00E10347">
        <w:rPr>
          <w:rFonts w:ascii="Palatino Linotype" w:hAnsi="Palatino Linotype" w:cs="Times New Roman"/>
          <w:b/>
          <w:sz w:val="21"/>
          <w:szCs w:val="21"/>
        </w:rPr>
        <w:t xml:space="preserve">4. El objeto de la prueba </w:t>
      </w:r>
    </w:p>
    <w:p w:rsidR="00E10347" w:rsidRPr="00E10347" w:rsidRDefault="00E10347" w:rsidP="00E10347">
      <w:pPr>
        <w:ind w:firstLine="709"/>
        <w:jc w:val="both"/>
        <w:rPr>
          <w:rFonts w:ascii="Palatino Linotype" w:hAnsi="Palatino Linotype" w:cs="Times New Roman"/>
          <w:sz w:val="21"/>
          <w:szCs w:val="21"/>
        </w:rPr>
      </w:pPr>
      <w:r w:rsidRPr="00E10347">
        <w:rPr>
          <w:rFonts w:ascii="Palatino Linotype" w:hAnsi="Palatino Linotype" w:cs="Times New Roman"/>
          <w:sz w:val="21"/>
          <w:szCs w:val="21"/>
        </w:rPr>
        <w:t>El objeto de la prueba tiene como finalidad acreditar los hechos impugnados por las partes en el proceso constitucional. En este sentido, la determinación del contenido específico de la prueba, no puede prescindir de la selección de los hechos a probar, pues “</w:t>
      </w:r>
      <w:r w:rsidRPr="00E10347">
        <w:rPr>
          <w:rFonts w:ascii="Palatino Linotype" w:hAnsi="Palatino Linotype" w:cs="Times New Roman"/>
          <w:i/>
          <w:sz w:val="21"/>
          <w:szCs w:val="21"/>
        </w:rPr>
        <w:t xml:space="preserve">Tale individuazione postula l’interpretazione della norma che, sulla scorta della prospettazione offerta dalle parti, il giudice ritiene debba essere applicata nel caso concreto. Una volta scelta la norma in questione, infatti, l’attività istruttoria dovrà concentrarsi esclusivamente su quei fatti che sono presi in considerazione da essa, al fine di verificare o falsificare le affermazioni delle parti in ordine alla sussistenza (ovvero alla </w:t>
      </w:r>
      <w:r w:rsidRPr="00E10347">
        <w:rPr>
          <w:rFonts w:ascii="Palatino Linotype" w:hAnsi="Palatino Linotype" w:cs="Times New Roman"/>
          <w:i/>
          <w:sz w:val="21"/>
          <w:szCs w:val="21"/>
        </w:rPr>
        <w:lastRenderedPageBreak/>
        <w:t>insussistenza) del diritto dedotto in lite ovvero delle cause che legittimano la richiesta di tutela (quali, ad esempio, i fatti lesivi del diritto)”</w:t>
      </w:r>
      <w:r w:rsidRPr="00E10347">
        <w:rPr>
          <w:rStyle w:val="Refdenotaalpie"/>
          <w:rFonts w:ascii="Palatino Linotype" w:hAnsi="Palatino Linotype" w:cs="Times New Roman"/>
          <w:sz w:val="21"/>
          <w:szCs w:val="21"/>
        </w:rPr>
        <w:footnoteReference w:id="443"/>
      </w:r>
      <w:r w:rsidRPr="00E10347">
        <w:rPr>
          <w:rFonts w:ascii="Palatino Linotype" w:hAnsi="Palatino Linotype" w:cs="Times New Roman"/>
          <w:i/>
          <w:sz w:val="21"/>
          <w:szCs w:val="21"/>
        </w:rPr>
        <w:t>.</w:t>
      </w:r>
      <w:r w:rsidRPr="00E10347">
        <w:rPr>
          <w:rFonts w:ascii="Palatino Linotype" w:hAnsi="Palatino Linotype" w:cs="Times New Roman"/>
          <w:sz w:val="21"/>
          <w:szCs w:val="21"/>
        </w:rPr>
        <w:t xml:space="preserve">  Lo anterior es fundamental, pues la finalidad de la prueba es convencer al juez –constitucional- sobre la veracidad de los hechos alegados en el recurso. En este sentido, el principio de tipicidad de las pruebas determina que en el proceso constitucional se pueden aportar solo aquellos medios de prueba previstos en nuestro ordenamiento jurídico. Ello conlleva a que el juez constitucional debe valorar la idoneidad y la admisibilidad de la prueba en relación a las reglas que impone nuestro ordenamiento jurídico en relación a los medios de prueba, aunque sobre ello tiene una gran amplitud de conformidad con lo dispuestos en los artículos 298 párrafo 1 LGAP y </w:t>
      </w:r>
      <w:r w:rsidRPr="00E10347">
        <w:rPr>
          <w:rFonts w:ascii="Palatino Linotype" w:hAnsi="Palatino Linotype" w:cs="Times New Roman"/>
          <w:sz w:val="21"/>
          <w:szCs w:val="21"/>
          <w:lang w:val="es-CR"/>
        </w:rPr>
        <w:t>82 párrafo 2 CPCA.</w:t>
      </w:r>
    </w:p>
    <w:p w:rsidR="00E10347" w:rsidRPr="00E10347" w:rsidRDefault="00E10347" w:rsidP="00E10347">
      <w:pPr>
        <w:jc w:val="both"/>
        <w:rPr>
          <w:rFonts w:ascii="Palatino Linotype" w:hAnsi="Palatino Linotype" w:cs="Times New Roman"/>
          <w:sz w:val="21"/>
          <w:szCs w:val="21"/>
        </w:rPr>
      </w:pPr>
    </w:p>
    <w:p w:rsidR="00E10347" w:rsidRPr="00E10347" w:rsidRDefault="00E10347" w:rsidP="00E10347">
      <w:pPr>
        <w:rPr>
          <w:rFonts w:ascii="Palatino Linotype" w:hAnsi="Palatino Linotype" w:cs="Times New Roman"/>
          <w:b/>
          <w:sz w:val="21"/>
          <w:szCs w:val="21"/>
        </w:rPr>
      </w:pPr>
      <w:r w:rsidRPr="00E10347">
        <w:rPr>
          <w:rFonts w:ascii="Palatino Linotype" w:hAnsi="Palatino Linotype" w:cs="Times New Roman"/>
          <w:b/>
          <w:sz w:val="21"/>
          <w:szCs w:val="21"/>
        </w:rPr>
        <w:t>5. La prueba en los procesos ante la Sala Constitucional</w:t>
      </w:r>
    </w:p>
    <w:p w:rsidR="00E10347" w:rsidRPr="00E10347" w:rsidRDefault="00E10347" w:rsidP="00E10347">
      <w:pPr>
        <w:ind w:firstLine="708"/>
        <w:jc w:val="both"/>
        <w:rPr>
          <w:rFonts w:ascii="Palatino Linotype" w:hAnsi="Palatino Linotype" w:cs="Times New Roman"/>
          <w:b/>
          <w:sz w:val="21"/>
          <w:szCs w:val="21"/>
        </w:rPr>
      </w:pPr>
      <w:r w:rsidRPr="00E10347">
        <w:rPr>
          <w:rFonts w:ascii="Palatino Linotype" w:hAnsi="Palatino Linotype" w:cs="Times New Roman"/>
          <w:sz w:val="21"/>
          <w:szCs w:val="21"/>
        </w:rPr>
        <w:t xml:space="preserve">En el presente </w:t>
      </w:r>
      <w:r w:rsidRPr="00E10347">
        <w:rPr>
          <w:rFonts w:ascii="Palatino Linotype" w:hAnsi="Palatino Linotype" w:cs="Times New Roman"/>
          <w:i/>
          <w:sz w:val="21"/>
          <w:szCs w:val="21"/>
        </w:rPr>
        <w:t>apéndice</w:t>
      </w:r>
      <w:r w:rsidRPr="00E10347">
        <w:rPr>
          <w:rFonts w:ascii="Palatino Linotype" w:hAnsi="Palatino Linotype" w:cs="Times New Roman"/>
          <w:sz w:val="21"/>
          <w:szCs w:val="21"/>
        </w:rPr>
        <w:t xml:space="preserve"> se analizara el rol de la prueba en los tres procesos constitucionales seleccionados.</w:t>
      </w:r>
    </w:p>
    <w:p w:rsidR="00E10347" w:rsidRPr="00E10347" w:rsidRDefault="00E10347" w:rsidP="00E10347">
      <w:pPr>
        <w:rPr>
          <w:rFonts w:ascii="Palatino Linotype" w:hAnsi="Palatino Linotype" w:cs="Times New Roman"/>
          <w:b/>
          <w:sz w:val="21"/>
          <w:szCs w:val="21"/>
        </w:rPr>
      </w:pPr>
    </w:p>
    <w:p w:rsidR="00E10347" w:rsidRPr="00E10347" w:rsidRDefault="00E10347" w:rsidP="00E10347">
      <w:pPr>
        <w:rPr>
          <w:rFonts w:ascii="Palatino Linotype" w:hAnsi="Palatino Linotype" w:cs="Times New Roman"/>
          <w:b/>
          <w:sz w:val="21"/>
          <w:szCs w:val="21"/>
        </w:rPr>
      </w:pPr>
      <w:r w:rsidRPr="00E10347">
        <w:rPr>
          <w:rFonts w:ascii="Palatino Linotype" w:hAnsi="Palatino Linotype" w:cs="Times New Roman"/>
          <w:b/>
          <w:sz w:val="21"/>
          <w:szCs w:val="21"/>
        </w:rPr>
        <w:t>5.1. En los recursos de amparo contra órganos o servidores públicos</w:t>
      </w:r>
    </w:p>
    <w:p w:rsidR="00E10347" w:rsidRPr="00E10347" w:rsidRDefault="00E10347" w:rsidP="00E10347">
      <w:pPr>
        <w:ind w:firstLine="708"/>
        <w:jc w:val="both"/>
        <w:rPr>
          <w:rFonts w:ascii="Palatino Linotype" w:hAnsi="Palatino Linotype" w:cs="Times New Roman"/>
          <w:sz w:val="21"/>
          <w:szCs w:val="21"/>
        </w:rPr>
      </w:pPr>
      <w:r w:rsidRPr="00E10347">
        <w:rPr>
          <w:rFonts w:ascii="Palatino Linotype" w:hAnsi="Palatino Linotype" w:cs="Times New Roman"/>
          <w:sz w:val="21"/>
          <w:szCs w:val="21"/>
        </w:rPr>
        <w:t>El artículo 48 de la Constitución Política determina que toda persona tiene derecho a interponer un recurso de amparo para mantener o restablecer el ejercicio de un derecho consagrado en la Constitución o en un instrumento del Derecho Internacional de los Derechos Humanos</w:t>
      </w:r>
      <w:r w:rsidRPr="00E10347">
        <w:rPr>
          <w:rStyle w:val="Refdenotaalpie"/>
          <w:rFonts w:ascii="Palatino Linotype" w:hAnsi="Palatino Linotype" w:cs="Times New Roman"/>
          <w:sz w:val="21"/>
          <w:szCs w:val="21"/>
        </w:rPr>
        <w:footnoteReference w:id="444"/>
      </w:r>
      <w:r w:rsidRPr="00E10347">
        <w:rPr>
          <w:rFonts w:ascii="Palatino Linotype" w:hAnsi="Palatino Linotype" w:cs="Times New Roman"/>
          <w:sz w:val="21"/>
          <w:szCs w:val="21"/>
        </w:rPr>
        <w:t>. Al respecto, el artículo 29 de la Ley de la Jurisdicción Constitucional determina: “</w:t>
      </w:r>
      <w:r w:rsidRPr="00E10347">
        <w:rPr>
          <w:rFonts w:ascii="Palatino Linotype" w:hAnsi="Palatino Linotype" w:cs="Times New Roman"/>
          <w:i/>
          <w:sz w:val="21"/>
          <w:szCs w:val="21"/>
        </w:rPr>
        <w:t>El recurso de amparo garantiza los derechos y libertades fundamentales a que se refiere esta Ley, salvo los protegidos por el de hábeas corpus. Procede el recurso contra toda disposición, acuerdo o resolución y, en general, contra toda acción, omisión o simple actuación material no fundada en un acto administrativo eficaz, de los servidores y órganos públicos, que haya violado, viole o amenace violar cualquiera de aquellos derechos</w:t>
      </w:r>
      <w:r w:rsidRPr="00E10347">
        <w:rPr>
          <w:rFonts w:ascii="Palatino Linotype" w:hAnsi="Palatino Linotype" w:cs="Times New Roman"/>
          <w:sz w:val="21"/>
          <w:szCs w:val="21"/>
        </w:rPr>
        <w:t>”. En este sentido, la Sala Constitucional en reiterados pronunciamientos ha determinado:</w:t>
      </w:r>
    </w:p>
    <w:p w:rsidR="00E10347" w:rsidRPr="00E10347" w:rsidRDefault="00E10347" w:rsidP="00E10347">
      <w:pPr>
        <w:ind w:left="567" w:right="474"/>
        <w:jc w:val="both"/>
        <w:rPr>
          <w:rFonts w:ascii="Palatino Linotype" w:eastAsiaTheme="minorHAnsi" w:hAnsi="Palatino Linotype" w:cs="Times New Roman"/>
          <w:i/>
          <w:iCs/>
          <w:color w:val="000000"/>
          <w:sz w:val="21"/>
          <w:szCs w:val="21"/>
          <w:lang w:val="es-CR"/>
        </w:rPr>
      </w:pPr>
    </w:p>
    <w:p w:rsidR="00E10347" w:rsidRPr="00E10347" w:rsidRDefault="00E10347" w:rsidP="00E10347">
      <w:pPr>
        <w:tabs>
          <w:tab w:val="left" w:pos="567"/>
        </w:tabs>
        <w:ind w:left="284" w:right="474"/>
        <w:jc w:val="both"/>
        <w:rPr>
          <w:rFonts w:ascii="Palatino Linotype" w:hAnsi="Palatino Linotype" w:cs="Times New Roman"/>
          <w:sz w:val="21"/>
          <w:szCs w:val="21"/>
        </w:rPr>
      </w:pPr>
      <w:r w:rsidRPr="00E10347">
        <w:rPr>
          <w:rFonts w:ascii="Palatino Linotype" w:eastAsiaTheme="minorHAnsi" w:hAnsi="Palatino Linotype" w:cs="Times New Roman"/>
          <w:i/>
          <w:iCs/>
          <w:color w:val="000000"/>
          <w:sz w:val="21"/>
          <w:szCs w:val="21"/>
          <w:lang w:val="es-CR"/>
        </w:rPr>
        <w:t xml:space="preserve">“En general, la procedencia del recurso de amparo está condicionada no </w:t>
      </w:r>
      <w:r w:rsidR="002A76CC">
        <w:rPr>
          <w:rFonts w:ascii="Palatino Linotype" w:eastAsiaTheme="minorHAnsi" w:hAnsi="Palatino Linotype" w:cs="Times New Roman"/>
          <w:i/>
          <w:iCs/>
          <w:color w:val="000000"/>
          <w:sz w:val="21"/>
          <w:szCs w:val="21"/>
          <w:lang w:val="es-CR"/>
        </w:rPr>
        <w:t xml:space="preserve">solo </w:t>
      </w:r>
      <w:r w:rsidRPr="00E10347">
        <w:rPr>
          <w:rFonts w:ascii="Palatino Linotype" w:eastAsiaTheme="minorHAnsi" w:hAnsi="Palatino Linotype" w:cs="Times New Roman"/>
          <w:i/>
          <w:iCs/>
          <w:color w:val="000000"/>
          <w:sz w:val="21"/>
          <w:szCs w:val="21"/>
          <w:lang w:val="es-CR"/>
        </w:rPr>
        <w:t xml:space="preserve">a que se acredite la existencia de una turbación –o amenaza de turbación– a uno o más de </w:t>
      </w:r>
      <w:r w:rsidRPr="00E10347">
        <w:rPr>
          <w:rFonts w:ascii="Palatino Linotype" w:eastAsiaTheme="minorHAnsi" w:hAnsi="Palatino Linotype" w:cs="Times New Roman"/>
          <w:i/>
          <w:iCs/>
          <w:color w:val="000000"/>
          <w:sz w:val="21"/>
          <w:szCs w:val="21"/>
          <w:lang w:val="es-CR"/>
        </w:rPr>
        <w:lastRenderedPageBreak/>
        <w:t xml:space="preserve">los derechos o garantías contemplados en la Carta Política o en los instrumentos internacionales de derechos humanos suscritos por el país; sino, además, a que se trate de una amenaza o quebranto directo y grosero, que por su carácter apremiante no permita esperar a que surtan efecto los remedios jurisdiccionales ordinarios. </w:t>
      </w:r>
      <w:r w:rsidRPr="00E10347">
        <w:rPr>
          <w:rFonts w:ascii="Palatino Linotype" w:eastAsiaTheme="minorHAnsi" w:hAnsi="Palatino Linotype" w:cs="Times New Roman"/>
          <w:b/>
          <w:i/>
          <w:iCs/>
          <w:color w:val="000000"/>
          <w:sz w:val="21"/>
          <w:szCs w:val="21"/>
          <w:lang w:val="es-CR"/>
        </w:rPr>
        <w:t xml:space="preserve">Esta última circunstancia pone de relieve el carácter eminentemente </w:t>
      </w:r>
      <w:bookmarkStart w:id="63" w:name="marca1"/>
      <w:r w:rsidRPr="00E10347">
        <w:rPr>
          <w:rFonts w:ascii="Palatino Linotype" w:eastAsiaTheme="minorHAnsi" w:hAnsi="Palatino Linotype" w:cs="Times New Roman"/>
          <w:b/>
          <w:i/>
          <w:iCs/>
          <w:color w:val="000000"/>
          <w:sz w:val="21"/>
          <w:szCs w:val="21"/>
          <w:lang w:val="es-CR"/>
        </w:rPr>
        <w:t>sumario</w:t>
      </w:r>
      <w:bookmarkEnd w:id="63"/>
      <w:r w:rsidRPr="00E10347">
        <w:rPr>
          <w:rFonts w:ascii="Palatino Linotype" w:eastAsiaTheme="minorHAnsi" w:hAnsi="Palatino Linotype" w:cs="Times New Roman"/>
          <w:b/>
          <w:i/>
          <w:iCs/>
          <w:color w:val="000000"/>
          <w:sz w:val="21"/>
          <w:szCs w:val="21"/>
          <w:lang w:val="es-CR"/>
        </w:rPr>
        <w:t xml:space="preserve"> del </w:t>
      </w:r>
      <w:bookmarkStart w:id="64" w:name="marca0"/>
      <w:r w:rsidRPr="00E10347">
        <w:rPr>
          <w:rFonts w:ascii="Palatino Linotype" w:eastAsiaTheme="minorHAnsi" w:hAnsi="Palatino Linotype" w:cs="Times New Roman"/>
          <w:b/>
          <w:i/>
          <w:iCs/>
          <w:color w:val="000000"/>
          <w:sz w:val="21"/>
          <w:szCs w:val="21"/>
          <w:lang w:val="es-CR"/>
        </w:rPr>
        <w:t>proceso</w:t>
      </w:r>
      <w:bookmarkEnd w:id="64"/>
      <w:r w:rsidRPr="00E10347">
        <w:rPr>
          <w:rFonts w:ascii="Palatino Linotype" w:eastAsiaTheme="minorHAnsi" w:hAnsi="Palatino Linotype" w:cs="Times New Roman"/>
          <w:b/>
          <w:i/>
          <w:iCs/>
          <w:color w:val="000000"/>
          <w:sz w:val="21"/>
          <w:szCs w:val="21"/>
          <w:lang w:val="es-CR"/>
        </w:rPr>
        <w:t xml:space="preserve"> de amparo, cuya tramitación no se aviene bien con la práctica de diligencias probatorias lentas y complejas</w:t>
      </w:r>
      <w:r w:rsidRPr="00E10347">
        <w:rPr>
          <w:rFonts w:ascii="Palatino Linotype" w:eastAsiaTheme="minorHAnsi" w:hAnsi="Palatino Linotype" w:cs="Times New Roman"/>
          <w:i/>
          <w:iCs/>
          <w:color w:val="000000"/>
          <w:sz w:val="21"/>
          <w:szCs w:val="21"/>
          <w:lang w:val="es-CR"/>
        </w:rPr>
        <w:t>, o con la necesidad de entrar previamente a examinar –con carácter declarativo– si existen en realidad o no derechos de rango infra constitucional que las partes citen como parte del elenco fáctico del recurso de amparo o del informe de ley, según sea el caso”</w:t>
      </w:r>
      <w:r w:rsidRPr="00E10347">
        <w:rPr>
          <w:rStyle w:val="Refdenotaalpie"/>
          <w:rFonts w:ascii="Palatino Linotype" w:hAnsi="Palatino Linotype" w:cs="Times New Roman"/>
          <w:iCs/>
          <w:color w:val="000000"/>
          <w:sz w:val="21"/>
          <w:szCs w:val="21"/>
        </w:rPr>
        <w:footnoteReference w:id="445"/>
      </w:r>
      <w:r w:rsidRPr="00E10347">
        <w:rPr>
          <w:rFonts w:ascii="Palatino Linotype" w:eastAsiaTheme="minorHAnsi" w:hAnsi="Palatino Linotype" w:cs="Times New Roman"/>
          <w:iCs/>
          <w:color w:val="000000"/>
          <w:sz w:val="21"/>
          <w:szCs w:val="21"/>
          <w:lang w:val="es-CR"/>
        </w:rPr>
        <w:t>. (Lo subrayado no corresponde al original).</w:t>
      </w:r>
    </w:p>
    <w:p w:rsidR="00E10347" w:rsidRPr="00E10347" w:rsidRDefault="00E10347" w:rsidP="00E10347">
      <w:pPr>
        <w:jc w:val="both"/>
        <w:rPr>
          <w:rFonts w:ascii="Palatino Linotype" w:hAnsi="Palatino Linotype" w:cs="Times New Roman"/>
          <w:sz w:val="21"/>
          <w:szCs w:val="21"/>
        </w:rPr>
      </w:pPr>
    </w:p>
    <w:p w:rsidR="00E10347" w:rsidRPr="00E10347" w:rsidRDefault="00E10347" w:rsidP="00E10347">
      <w:pPr>
        <w:ind w:firstLine="567"/>
        <w:jc w:val="both"/>
        <w:rPr>
          <w:rFonts w:ascii="Palatino Linotype" w:hAnsi="Palatino Linotype" w:cs="Times New Roman"/>
          <w:sz w:val="21"/>
          <w:szCs w:val="21"/>
        </w:rPr>
      </w:pPr>
      <w:r w:rsidRPr="00E10347">
        <w:rPr>
          <w:rFonts w:ascii="Palatino Linotype" w:hAnsi="Palatino Linotype" w:cs="Times New Roman"/>
          <w:sz w:val="21"/>
          <w:szCs w:val="21"/>
        </w:rPr>
        <w:t>El escrito de interposición de un recurso de amparo debe respetar lo dispuesto en el artículo 38 de la Ley de la Jurisdicción Constitucional, el cual señala: “</w:t>
      </w:r>
      <w:r w:rsidRPr="00E10347">
        <w:rPr>
          <w:rFonts w:ascii="Palatino Linotype" w:hAnsi="Palatino Linotype" w:cs="Times New Roman"/>
          <w:i/>
          <w:sz w:val="21"/>
          <w:szCs w:val="21"/>
        </w:rPr>
        <w:t>En el recurso de amparo se expresará, con la mayor claridad posible, el hecho o la omisión que lo motiva, el derecho que se considera violado o amenazado, el nombre del servidor público o del órgano autor de la amenaza o del agravio, y las pruebas de cargo</w:t>
      </w:r>
      <w:r w:rsidRPr="00E10347">
        <w:rPr>
          <w:rFonts w:ascii="Palatino Linotype" w:hAnsi="Palatino Linotype" w:cs="Times New Roman"/>
          <w:sz w:val="21"/>
          <w:szCs w:val="21"/>
        </w:rPr>
        <w:t>”. En este sentido, el recurrente tiene la carga de la prueba en demostrar los hechos denunciados aportando en el escrito de interposición los elementos probatorios que considere pertinentes a fin de que sean valorados en la fase de admisibilidad del recurso</w:t>
      </w:r>
      <w:r w:rsidRPr="00E10347">
        <w:rPr>
          <w:rStyle w:val="Refdenotaalpie"/>
          <w:rFonts w:ascii="Palatino Linotype" w:hAnsi="Palatino Linotype" w:cs="Times New Roman"/>
          <w:sz w:val="21"/>
          <w:szCs w:val="21"/>
        </w:rPr>
        <w:footnoteReference w:id="446"/>
      </w:r>
      <w:r w:rsidRPr="00E10347">
        <w:rPr>
          <w:rFonts w:ascii="Palatino Linotype" w:hAnsi="Palatino Linotype" w:cs="Times New Roman"/>
          <w:sz w:val="21"/>
          <w:szCs w:val="21"/>
        </w:rPr>
        <w:t xml:space="preserve">. Al respecto, el Magistrado Jinesta Lobo actual Presidente de la Sala Constitucional considera que respecto a las “pruebas a cargo”, lamentablemente es un requisito crónicamente inobservado por los recurrentes y amparados, circunstancia que impide adoptar medidas cautelares intensas en el auto de curso del proceso de amparo, ante las meras alegaciones contenidas en el memorial inicial (prueba levior), sin probanzas que las respalden; de otra parte la Sala Constitucional, en la </w:t>
      </w:r>
      <w:r w:rsidRPr="00E10347">
        <w:rPr>
          <w:rFonts w:ascii="Palatino Linotype" w:hAnsi="Palatino Linotype" w:cs="Times New Roman"/>
          <w:sz w:val="21"/>
          <w:szCs w:val="21"/>
        </w:rPr>
        <w:lastRenderedPageBreak/>
        <w:t>práctica, no suele prevenir el incumplimiento de este requisito</w:t>
      </w:r>
      <w:r w:rsidRPr="00E10347">
        <w:rPr>
          <w:rStyle w:val="Refdenotaalpie"/>
          <w:rFonts w:ascii="Palatino Linotype" w:hAnsi="Palatino Linotype" w:cs="Times New Roman"/>
          <w:sz w:val="21"/>
          <w:szCs w:val="21"/>
        </w:rPr>
        <w:footnoteReference w:id="447"/>
      </w:r>
      <w:r w:rsidRPr="00E10347">
        <w:rPr>
          <w:rFonts w:ascii="Palatino Linotype" w:hAnsi="Palatino Linotype" w:cs="Times New Roman"/>
          <w:sz w:val="21"/>
          <w:szCs w:val="21"/>
        </w:rPr>
        <w:t xml:space="preserve">.  En este sentido, es fundamental aportar la prueba necesaria cuando se pretenda la suspensión de los efectos del acto impugnado, de conformidad con lo dispuesto en el artículo 41 de la Ley de la Jurisdicción Constitucional. </w:t>
      </w:r>
    </w:p>
    <w:p w:rsidR="00E10347" w:rsidRPr="00E10347" w:rsidRDefault="00E10347" w:rsidP="00E10347">
      <w:pPr>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 Por su parte, el artículo 44 párrafo 2 de la Ley de la Jurisdicción Constitucional señala que: “</w:t>
      </w:r>
      <w:r w:rsidRPr="00E10347">
        <w:rPr>
          <w:rFonts w:ascii="Palatino Linotype" w:hAnsi="Palatino Linotype" w:cs="Times New Roman"/>
          <w:i/>
          <w:sz w:val="21"/>
          <w:szCs w:val="21"/>
        </w:rPr>
        <w:t>Los informes se considerarán dados bajo juramento. Por consiguiente, cualquier inexactitud o falsedad hará incurrir al funcionario en las penas del perjurio o del falso testimonio, según la naturaleza de los hechos contenidos en el informe</w:t>
      </w:r>
      <w:r w:rsidRPr="00E10347">
        <w:rPr>
          <w:rFonts w:ascii="Palatino Linotype" w:hAnsi="Palatino Linotype" w:cs="Times New Roman"/>
          <w:sz w:val="21"/>
          <w:szCs w:val="21"/>
        </w:rPr>
        <w:t xml:space="preserve">”. Nótese que el hecho que los informes se consideran dados bajo fe de juramento refuerza la tesis de que la carga de la prueba la tiene en un primer momento la parte recurrente, quién tiene que aportar los elementos probatorios válidos que confirmen los hechos –actuaciones u omisiones- denunciados en el escritos de interposición del recurso. El problema se presenta cuando existen una contradicción entre lo alegado por el recurrente y lo informado por la autoridad recurrida. En tales hipótesis, para </w:t>
      </w:r>
      <w:r w:rsidRPr="00E10347">
        <w:rPr>
          <w:rFonts w:ascii="Palatino Linotype" w:hAnsi="Palatino Linotype" w:cs="Times New Roman"/>
          <w:i/>
          <w:sz w:val="21"/>
          <w:szCs w:val="21"/>
        </w:rPr>
        <w:t>HERNÁNDEZ VALLE</w:t>
      </w:r>
      <w:r w:rsidRPr="00E10347">
        <w:rPr>
          <w:rFonts w:ascii="Palatino Linotype" w:hAnsi="Palatino Linotype" w:cs="Times New Roman"/>
          <w:sz w:val="21"/>
          <w:szCs w:val="21"/>
        </w:rPr>
        <w:t xml:space="preserve"> lo se le debe otorgar al recurrente es la facultad de producir contraprueba o bien que el propio juez constitucional le ordene de oficio, a fin de establecer la verdad real de los hechos objeto del proceso</w:t>
      </w:r>
      <w:r w:rsidRPr="00E10347">
        <w:rPr>
          <w:rStyle w:val="Refdenotaalpie"/>
          <w:rFonts w:ascii="Palatino Linotype" w:hAnsi="Palatino Linotype" w:cs="Times New Roman"/>
          <w:sz w:val="21"/>
          <w:szCs w:val="21"/>
        </w:rPr>
        <w:footnoteReference w:id="448"/>
      </w:r>
      <w:r w:rsidRPr="00E10347">
        <w:rPr>
          <w:rFonts w:ascii="Palatino Linotype" w:hAnsi="Palatino Linotype" w:cs="Times New Roman"/>
          <w:sz w:val="21"/>
          <w:szCs w:val="21"/>
        </w:rPr>
        <w:t>.</w:t>
      </w:r>
    </w:p>
    <w:p w:rsidR="00E10347" w:rsidRPr="00E10347" w:rsidRDefault="00E10347" w:rsidP="00E10347">
      <w:pPr>
        <w:ind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Los jueces constitucionales tienen amplios </w:t>
      </w:r>
      <w:r w:rsidRPr="00E10347">
        <w:rPr>
          <w:rFonts w:ascii="Palatino Linotype" w:hAnsi="Palatino Linotype" w:cs="Times New Roman"/>
          <w:b/>
          <w:sz w:val="21"/>
          <w:szCs w:val="21"/>
        </w:rPr>
        <w:t>«</w:t>
      </w:r>
      <w:r w:rsidRPr="00E10347">
        <w:rPr>
          <w:rFonts w:ascii="Palatino Linotype" w:hAnsi="Palatino Linotype" w:cs="Times New Roman"/>
          <w:i/>
          <w:sz w:val="21"/>
          <w:szCs w:val="21"/>
        </w:rPr>
        <w:t>poteri istruttori</w:t>
      </w:r>
      <w:r w:rsidRPr="00E10347">
        <w:rPr>
          <w:rFonts w:ascii="Palatino Linotype" w:hAnsi="Palatino Linotype" w:cs="Times New Roman"/>
          <w:b/>
          <w:sz w:val="21"/>
          <w:szCs w:val="21"/>
        </w:rPr>
        <w:t>»</w:t>
      </w:r>
      <w:r w:rsidRPr="00E10347">
        <w:rPr>
          <w:rFonts w:ascii="Palatino Linotype" w:hAnsi="Palatino Linotype" w:cs="Times New Roman"/>
          <w:sz w:val="21"/>
          <w:szCs w:val="21"/>
        </w:rPr>
        <w:t xml:space="preserve"> en la tramitación de los procesos constitucionales</w:t>
      </w:r>
      <w:r w:rsidRPr="00E10347">
        <w:rPr>
          <w:rStyle w:val="Refdenotaalpie"/>
          <w:rFonts w:ascii="Palatino Linotype" w:hAnsi="Palatino Linotype" w:cs="Times New Roman"/>
          <w:sz w:val="21"/>
          <w:szCs w:val="21"/>
        </w:rPr>
        <w:footnoteReference w:id="449"/>
      </w:r>
      <w:r w:rsidRPr="00E10347">
        <w:rPr>
          <w:rFonts w:ascii="Palatino Linotype" w:hAnsi="Palatino Linotype" w:cs="Times New Roman"/>
          <w:sz w:val="21"/>
          <w:szCs w:val="21"/>
        </w:rPr>
        <w:t xml:space="preserve"> , motivo por el cual pueden solicitar a las partes aportar la prueba que considere necesaria de previo a emitir la sentencia. En este sentido, en algunos recursos de amparo interpuestos por violación al derecho a la salud, el Magistrado Instructor ha solicitado como prueba para mejor resolver a la parte recurrente aportar copia de la referencia o prescripción médica emitida por la Caja Costarricense de Seguro Social cuando la autoridad recurrida niega los hechos denunciados en el escrito de interposición y en el supuesto de que no aporte prueba alguna se procederá con el rechazo del recurso. Así, en la sentencia número 2017-2848 se declaró sin lugar el recurso, por insuficiencia probatoria pues la parte amparada no aportó </w:t>
      </w:r>
      <w:r w:rsidRPr="00E10347">
        <w:rPr>
          <w:rFonts w:ascii="Palatino Linotype" w:eastAsiaTheme="minorHAnsi" w:hAnsi="Palatino Linotype" w:cs="Times New Roman"/>
          <w:sz w:val="21"/>
          <w:szCs w:val="21"/>
          <w:lang w:val="es-CR"/>
        </w:rPr>
        <w:t>copia de la referencia en la que el médico tratante institucional ordenó la</w:t>
      </w:r>
      <w:r w:rsidRPr="00E10347">
        <w:rPr>
          <w:rFonts w:ascii="Palatino Linotype" w:hAnsi="Palatino Linotype" w:cs="Times New Roman"/>
          <w:sz w:val="21"/>
          <w:szCs w:val="21"/>
        </w:rPr>
        <w:t xml:space="preserve"> </w:t>
      </w:r>
      <w:r w:rsidRPr="00E10347">
        <w:rPr>
          <w:rFonts w:ascii="Palatino Linotype" w:eastAsiaTheme="minorHAnsi" w:hAnsi="Palatino Linotype" w:cs="Times New Roman"/>
          <w:sz w:val="21"/>
          <w:szCs w:val="21"/>
          <w:lang w:val="es-CR"/>
        </w:rPr>
        <w:t>realización de cirugía</w:t>
      </w:r>
      <w:r w:rsidRPr="00E10347">
        <w:rPr>
          <w:rFonts w:ascii="Palatino Linotype" w:hAnsi="Palatino Linotype" w:cs="Times New Roman"/>
          <w:sz w:val="21"/>
          <w:szCs w:val="21"/>
        </w:rPr>
        <w:t>, tal y como lo ordenó el Magistrado Instructor en un prueba para mejor resolver.</w:t>
      </w:r>
    </w:p>
    <w:p w:rsidR="00E10347" w:rsidRPr="00E10347" w:rsidRDefault="00E10347" w:rsidP="00E10347">
      <w:pPr>
        <w:ind w:firstLine="708"/>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Por otra parte, la Sala Constitucional ha determinado en algunos supuestos que la carga de la prueba se invierte y es la autoridad recurrida quién tiene que cumplir con esa obligación. Lo anterior aplica, por ejemplo, en aquellos casos en donde se instaura un procedimiento administrativo en contra de un funcionario público por el ejercicio de la libertad de expresión. Al respecto, en la sentencia número 2015-7500 la Sala Constitucional precisó:</w:t>
      </w:r>
    </w:p>
    <w:p w:rsidR="00E10347" w:rsidRPr="00E10347" w:rsidRDefault="00E10347" w:rsidP="00E10347">
      <w:pPr>
        <w:ind w:left="284" w:right="474"/>
        <w:jc w:val="both"/>
        <w:rPr>
          <w:rFonts w:ascii="Palatino Linotype" w:hAnsi="Palatino Linotype" w:cs="Times New Roman"/>
          <w:sz w:val="21"/>
          <w:szCs w:val="21"/>
        </w:rPr>
      </w:pPr>
      <w:r w:rsidRPr="00E10347">
        <w:rPr>
          <w:rFonts w:ascii="Palatino Linotype" w:hAnsi="Palatino Linotype" w:cs="Times New Roman"/>
          <w:i/>
          <w:sz w:val="21"/>
          <w:szCs w:val="21"/>
        </w:rPr>
        <w:t xml:space="preserve"> “El hecho de que a un funcionario público se le abra un procedimiento administrativo por realizar un comentario genérico (…) constituye una medida excesiva de la Administración Pública que limita su libertad de expresión. </w:t>
      </w:r>
      <w:r w:rsidRPr="00E10347">
        <w:rPr>
          <w:rFonts w:ascii="Palatino Linotype" w:hAnsi="Palatino Linotype" w:cs="Times New Roman"/>
          <w:b/>
          <w:i/>
          <w:sz w:val="21"/>
          <w:szCs w:val="21"/>
        </w:rPr>
        <w:t xml:space="preserve">Es bien sabido que las limitaciones a la libertad de expresión y de información están sometidas a un test estricto de razonabilidad, lo cual significa, ni más ni menos, que todo acto o medida que la restrinja es sospechoso, por lo que la autoridad pública tiene la carga de la prueba de demostrar que hay un interés público apremiante, plenamente justificado, en la medida o acto, así como el deber de demostrar que la medida  o acto adoptado es la menos gravosa para el derecho fundamental, amén que debe de interpretarse restrictivamente. Concretamente, debemos verificar que la finalidad perseguida con la apertura del procedimiento administrativo es legítima, importante e imperiosa; que es un medio adecuado, efectivamente conducente y además necesario y que no pueda ser remplazado por un medio alternativo menos lesivo; y adicionalmente, se debe aplicar un juicio de proporcionalidad en sentido estricto mediante el cual se verifique que los beneficios de la apertura del procedimiento administrativo excedan claramente las restricciones impuestas a la libertad de expresión. </w:t>
      </w:r>
      <w:r w:rsidRPr="00E10347">
        <w:rPr>
          <w:rFonts w:ascii="Palatino Linotype" w:hAnsi="Palatino Linotype" w:cs="Times New Roman"/>
          <w:i/>
          <w:sz w:val="21"/>
          <w:szCs w:val="21"/>
        </w:rPr>
        <w:t xml:space="preserve">En el caso que nos ocupa, estamos en presencia de una expresión que aunque mortificante no es atribuida a nadie en específico (…) no es una imputación a ninguna persona en concreto y, por consiguiente, la apertura del procedimiento administrativo en sí mismo no constituye un medio razonable, idóneo y necesario para exigir una responsabilidad ulterior, tal y como lo prescribe el numeral 29 de la Carta Fundamental y el artículo 13 de la Convención Americana sobre Derechos Humanos, en este caso , porque a nadie en específico se está ofendiendo, sino, por el contrario, se constituye en un instrumento intimidante para el recurrente y los funcionarios  de la institución y, de esa forma, se impide que expresen lo que piensan –son mayores las restricciones a la libertad de expresión que los beneficios de la medida-, máxime que la frase en sí misma no tiene entidad suficiente para merecer </w:t>
      </w:r>
      <w:r w:rsidRPr="00E10347">
        <w:rPr>
          <w:rFonts w:ascii="Palatino Linotype" w:hAnsi="Palatino Linotype" w:cs="Times New Roman"/>
          <w:i/>
          <w:sz w:val="21"/>
          <w:szCs w:val="21"/>
        </w:rPr>
        <w:lastRenderedPageBreak/>
        <w:t xml:space="preserve">sanción alguna. En esta dirección, se debe tener presente que la libertad de expresión “(…) protege tanto las expresiones socialmente aceptadas como las que son inusuales, alternativas o diversas, lo cual incluye las expresiones ofensivas, chocantes, impactantes, indecentes, escandalosas, excéntricas o simplemente contrarias a las creencias y posturas mayoritarias, pues esta libertad constitucional protege tanto el contenido de la expresión como su tono. Su ejercicio conlleva, en todo caso, deberes y responsabilidades para quien se expresa” (véase la sentencia 575/09 de la Corte Constitucional de Colombia). Así las cosas, la simple apertura de un procedimiento por unas manifestaciones cuyo contenido no individualiza a ninguna persona, tampoco es admisible, porque se trata del ejercicio de la libertad de pensamiento y de expresión; no se justifica la apertura de un procedimiento disciplinario por expresiones que en su contenido se refieren, sin la menor duda, al ejercicio de esa libertad. Distinto sería el caso si la imputación se hubiese hecho a un jefe concreto y estas fueran irrespetuosas. En otro orden de ideas, no cabe duda que en la sociedad democrática los funcionarios públicos estamos en el deber de soportar frases mortificantes, todo ello en garantía de una libertad que constituye un presupuesto esencial del Estado social y democrático de Derecho. En este caso, es mejor tolerar un exceso de naturaleza genérico que restringir indebidamente la libertad de expresión...”. </w:t>
      </w:r>
      <w:r w:rsidRPr="00E10347">
        <w:rPr>
          <w:rFonts w:ascii="Palatino Linotype" w:hAnsi="Palatino Linotype" w:cs="Times New Roman"/>
          <w:sz w:val="21"/>
          <w:szCs w:val="21"/>
        </w:rPr>
        <w:t>(Lo subrayado no corresponde al original).</w:t>
      </w:r>
    </w:p>
    <w:p w:rsidR="00E10347" w:rsidRPr="00E10347" w:rsidRDefault="00E10347" w:rsidP="00E10347">
      <w:pPr>
        <w:ind w:left="284" w:right="474"/>
        <w:jc w:val="both"/>
        <w:rPr>
          <w:rFonts w:ascii="Palatino Linotype" w:hAnsi="Palatino Linotype" w:cs="Times New Roman"/>
          <w:sz w:val="21"/>
          <w:szCs w:val="21"/>
        </w:rPr>
      </w:pPr>
    </w:p>
    <w:p w:rsidR="00E10347" w:rsidRPr="00E10347" w:rsidRDefault="00E10347" w:rsidP="00E10347">
      <w:pPr>
        <w:ind w:firstLine="708"/>
        <w:jc w:val="both"/>
        <w:rPr>
          <w:rFonts w:ascii="Palatino Linotype" w:hAnsi="Palatino Linotype" w:cs="Times New Roman"/>
          <w:sz w:val="21"/>
          <w:szCs w:val="21"/>
        </w:rPr>
      </w:pPr>
      <w:r w:rsidRPr="00E10347">
        <w:rPr>
          <w:rFonts w:ascii="Palatino Linotype" w:hAnsi="Palatino Linotype" w:cs="Times New Roman"/>
          <w:sz w:val="21"/>
          <w:szCs w:val="21"/>
        </w:rPr>
        <w:t>Por otra parte, la jurisdicción constitucional en reiterados pronunciamientos ha señalado que cuando se trata de asuntos que requieren evacuar abundantes elementos de convicción, la vía idónea para conocer del asunto no es la del proceso de amparo, sino un proceso jurisdiccional ordinario pleno que es la adecuada para ofrecer, aportar y producir abundantes medios de prueba</w:t>
      </w:r>
      <w:r w:rsidRPr="00E10347">
        <w:rPr>
          <w:rStyle w:val="Refdenotaalpie"/>
          <w:rFonts w:ascii="Palatino Linotype" w:hAnsi="Palatino Linotype" w:cs="Times New Roman"/>
          <w:sz w:val="21"/>
          <w:szCs w:val="21"/>
        </w:rPr>
        <w:footnoteReference w:id="450"/>
      </w:r>
      <w:r w:rsidRPr="00E10347">
        <w:rPr>
          <w:rFonts w:ascii="Palatino Linotype" w:hAnsi="Palatino Linotype" w:cs="Times New Roman"/>
          <w:sz w:val="21"/>
          <w:szCs w:val="21"/>
        </w:rPr>
        <w:t xml:space="preserve">. Este es justamente uno de los elementos que sirven para delimitar la frontera entre los procesos de amparo y los de carácter ordinario. En el amparo la violación o amenaza de conculcación se debe acreditar sin mayor debate probatorio. Por ello, cuando un acto, omisión o amenaza que en principio viola o amenaza violar un derecho fundamental pero para cuya acreditación se requiere de probanzas exhaustivas, en tal hipótesis el afectado tiene que plantear el asunto en la vía ordinaria y no residenciarlo en la jurisdicción </w:t>
      </w:r>
      <w:r w:rsidRPr="00E10347">
        <w:rPr>
          <w:rFonts w:ascii="Palatino Linotype" w:hAnsi="Palatino Linotype" w:cs="Times New Roman"/>
          <w:sz w:val="21"/>
          <w:szCs w:val="21"/>
        </w:rPr>
        <w:lastRenderedPageBreak/>
        <w:t>constitucional</w:t>
      </w:r>
      <w:r w:rsidRPr="00E10347">
        <w:rPr>
          <w:rStyle w:val="Refdenotaalpie"/>
          <w:rFonts w:ascii="Palatino Linotype" w:hAnsi="Palatino Linotype" w:cs="Times New Roman"/>
          <w:sz w:val="21"/>
          <w:szCs w:val="21"/>
        </w:rPr>
        <w:footnoteReference w:id="451"/>
      </w:r>
      <w:r w:rsidRPr="00E10347">
        <w:rPr>
          <w:rFonts w:ascii="Palatino Linotype" w:hAnsi="Palatino Linotype" w:cs="Times New Roman"/>
          <w:sz w:val="21"/>
          <w:szCs w:val="21"/>
        </w:rPr>
        <w:t>. No obstante esa tesis no ha sido sostenida de manera consistente, sobre todo en ciertas materias sensibles como la ambiental en la que se aduce la infracción del derecho a un ambiente sano y ecológicamente equilibrado, en la que, normalmente, la Sala Constitucional enfrenta verdaderos procesos de amparo no de carácter sumario sino plenario por la cantidad de medios de convicción o prueba que se debe evacuar para resolver el asunto</w:t>
      </w:r>
      <w:r w:rsidRPr="00E10347">
        <w:rPr>
          <w:rStyle w:val="Refdenotaalpie"/>
          <w:rFonts w:ascii="Palatino Linotype" w:hAnsi="Palatino Linotype" w:cs="Times New Roman"/>
          <w:sz w:val="21"/>
          <w:szCs w:val="21"/>
        </w:rPr>
        <w:footnoteReference w:id="452"/>
      </w:r>
      <w:r w:rsidRPr="00E10347">
        <w:rPr>
          <w:rFonts w:ascii="Palatino Linotype" w:hAnsi="Palatino Linotype" w:cs="Times New Roman"/>
          <w:sz w:val="21"/>
          <w:szCs w:val="21"/>
        </w:rPr>
        <w:t>.</w:t>
      </w:r>
    </w:p>
    <w:p w:rsidR="00E10347" w:rsidRPr="00E10347" w:rsidRDefault="00E10347" w:rsidP="00E10347">
      <w:pPr>
        <w:rPr>
          <w:rFonts w:ascii="Palatino Linotype" w:hAnsi="Palatino Linotype" w:cs="Times New Roman"/>
          <w:b/>
          <w:sz w:val="21"/>
          <w:szCs w:val="21"/>
        </w:rPr>
      </w:pPr>
    </w:p>
    <w:p w:rsidR="00E10347" w:rsidRPr="00E10347" w:rsidRDefault="00E10347" w:rsidP="00E10347">
      <w:pPr>
        <w:rPr>
          <w:rFonts w:ascii="Palatino Linotype" w:hAnsi="Palatino Linotype" w:cs="Times New Roman"/>
          <w:b/>
          <w:sz w:val="21"/>
          <w:szCs w:val="21"/>
        </w:rPr>
      </w:pPr>
      <w:r w:rsidRPr="00E10347">
        <w:rPr>
          <w:rFonts w:ascii="Palatino Linotype" w:hAnsi="Palatino Linotype" w:cs="Times New Roman"/>
          <w:b/>
          <w:sz w:val="21"/>
          <w:szCs w:val="21"/>
        </w:rPr>
        <w:t>5.2. En los recursos de hábeas corpus</w:t>
      </w:r>
    </w:p>
    <w:p w:rsidR="00E10347" w:rsidRPr="00E10347" w:rsidRDefault="00E10347" w:rsidP="00E10347">
      <w:pPr>
        <w:ind w:firstLine="708"/>
        <w:jc w:val="both"/>
        <w:rPr>
          <w:rFonts w:ascii="Palatino Linotype" w:hAnsi="Palatino Linotype" w:cs="Times New Roman"/>
          <w:iCs/>
          <w:sz w:val="21"/>
          <w:szCs w:val="21"/>
          <w:lang w:val="es-CR"/>
        </w:rPr>
      </w:pPr>
      <w:r w:rsidRPr="00E10347">
        <w:rPr>
          <w:rFonts w:ascii="Palatino Linotype" w:hAnsi="Palatino Linotype" w:cs="Times New Roman"/>
          <w:sz w:val="21"/>
          <w:szCs w:val="21"/>
        </w:rPr>
        <w:t>El recurso de hábeas corpus de conformidad con lo dispuesto en el artículo 15 de la Ley de la Jurisdicción Constitucional procede para garantizar la libertad e integridad personales, contra los actos u omisiones que provengan de una autoridad de cualquier orden, incluso judicial, contra las amenazas a esa libertad y las perturbaciones o restricciones que respecto de ella establezcan indebidamente las autoridades, lo mismo que contra las restricciones ilegítimas del derecho de trasladarse de un lugar a otro de la República, y de libre permanencia, salida e ingreso en su territorio</w:t>
      </w:r>
      <w:r w:rsidRPr="00E10347">
        <w:rPr>
          <w:rStyle w:val="Refdenotaalpie"/>
          <w:rFonts w:ascii="Palatino Linotype" w:hAnsi="Palatino Linotype" w:cs="Times New Roman"/>
          <w:sz w:val="21"/>
          <w:szCs w:val="21"/>
        </w:rPr>
        <w:footnoteReference w:id="453"/>
      </w:r>
      <w:r w:rsidRPr="00E10347">
        <w:rPr>
          <w:rFonts w:ascii="Palatino Linotype" w:hAnsi="Palatino Linotype" w:cs="Times New Roman"/>
          <w:sz w:val="21"/>
          <w:szCs w:val="21"/>
        </w:rPr>
        <w:t xml:space="preserve">. Al respecto, la Sala Constitucional ha determinado: </w:t>
      </w:r>
      <w:r w:rsidRPr="00E10347">
        <w:rPr>
          <w:rFonts w:ascii="Palatino Linotype" w:hAnsi="Palatino Linotype" w:cs="Times New Roman"/>
          <w:i/>
          <w:sz w:val="21"/>
          <w:szCs w:val="21"/>
        </w:rPr>
        <w:t>“</w:t>
      </w:r>
      <w:r w:rsidRPr="00E10347">
        <w:rPr>
          <w:rFonts w:ascii="Palatino Linotype" w:hAnsi="Palatino Linotype" w:cs="Times New Roman"/>
          <w:i/>
          <w:iCs/>
          <w:sz w:val="21"/>
          <w:szCs w:val="21"/>
          <w:lang w:val="es-CR"/>
        </w:rPr>
        <w:t>en lo que respecta a la amenaza de la libertad capaz de ser protegida por hábeas corpus, no es cualquier amenaza la que produce tal efecto, sino que la misma debe ser precisa, grave, cierta, actual, concreta e inminente, pues de no ser así se estaría en presencia de un futuro incierto que podría no ocasionar ninguna violación a ese preciado derecho constitucional y por ende incapaz de ser protegida por el instituto del hábeas corpus”</w:t>
      </w:r>
      <w:r w:rsidRPr="00E10347">
        <w:rPr>
          <w:rStyle w:val="Refdenotaalpie"/>
          <w:rFonts w:ascii="Palatino Linotype" w:hAnsi="Palatino Linotype" w:cs="Times New Roman"/>
          <w:iCs/>
          <w:sz w:val="21"/>
          <w:szCs w:val="21"/>
        </w:rPr>
        <w:footnoteReference w:id="454"/>
      </w:r>
      <w:r w:rsidRPr="00E10347">
        <w:rPr>
          <w:rFonts w:ascii="Palatino Linotype" w:hAnsi="Palatino Linotype" w:cs="Times New Roman"/>
          <w:iCs/>
          <w:sz w:val="21"/>
          <w:szCs w:val="21"/>
          <w:lang w:val="es-CR"/>
        </w:rPr>
        <w:t>. Por otra parte, el artículo 16 de la Ley de la Jurisdicción Constitucional prevé la posibilidad que este Tribunal examine -en la vía de hábeas corpus y por conexidad- violaciones a otros derechos fundamentales distintos a la libertad personal, siempre que éstos tengan -necesariamente- una estricta incidencia respecto de ésta, su restricción efectiva o la amenaza de su restricción.</w:t>
      </w:r>
    </w:p>
    <w:p w:rsidR="00E10347" w:rsidRPr="00E10347" w:rsidRDefault="00E10347" w:rsidP="00E10347">
      <w:pPr>
        <w:ind w:firstLine="708"/>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 xml:space="preserve">El escrito de interposición de un recurso de hábeas corpus debe indicar los hechos –actuaciones u omisiones- que vulneran la libertad o integridad personal. En este sentido, el recurrente tiene la carga de la prueba en demostrar los hechos denunciados aportando en el escrito de interposición los elementos probatorios que considere pertinentes a fin de que sean valorados en la fase de admisibilidad del recurso. Ocasionalmente, el recurrente aporta en el memorial inicial elementos de convicción de carácter documental (v.gr. copia de resoluciones judiciales, ordenes de detención o apremios corporales). Es una facultad de la parte interesada aportar o no tales elementos de convicción, de manera que no existe sobre el particular una carga de la prueba </w:t>
      </w:r>
      <w:r w:rsidRPr="00E10347">
        <w:rPr>
          <w:rFonts w:ascii="Palatino Linotype" w:hAnsi="Palatino Linotype" w:cs="Times New Roman"/>
          <w:i/>
          <w:sz w:val="21"/>
          <w:szCs w:val="21"/>
        </w:rPr>
        <w:t>(onus probandi)</w:t>
      </w:r>
      <w:r w:rsidRPr="00E10347">
        <w:rPr>
          <w:rFonts w:ascii="Palatino Linotype" w:hAnsi="Palatino Linotype" w:cs="Times New Roman"/>
          <w:sz w:val="21"/>
          <w:szCs w:val="21"/>
        </w:rPr>
        <w:t xml:space="preserve"> del recurrente, expresamente, dispuesta en la Ley de la Jurisdicción Constitucional</w:t>
      </w:r>
      <w:r w:rsidRPr="00E10347">
        <w:rPr>
          <w:rStyle w:val="Refdenotaalpie"/>
          <w:rFonts w:ascii="Palatino Linotype" w:hAnsi="Palatino Linotype" w:cs="Times New Roman"/>
          <w:sz w:val="21"/>
          <w:szCs w:val="21"/>
        </w:rPr>
        <w:footnoteReference w:id="455"/>
      </w:r>
      <w:r w:rsidRPr="00E10347">
        <w:rPr>
          <w:rFonts w:ascii="Palatino Linotype" w:hAnsi="Palatino Linotype" w:cs="Times New Roman"/>
          <w:sz w:val="21"/>
          <w:szCs w:val="21"/>
        </w:rPr>
        <w:t>.  Posteriormente, se lleva a cabo una fase de admisibilidad del recurso a cargo de la Presidencia o Magistrado de turno quiénes determinarán rechazar o dar curso al recurso con fundamento en los hechos y circunstancias expuestas en el memorial inicial y solicitan el informe y decretan las medidas cautelares. En el supuesto que el recurso sea admisible se emite una resolución de curso en donde se solicita que la autoridad recurrida brinde bajo juramento un informe el cual de conformidad con lo dispuesto en el artículo 22 de la Ley de la Jurisdicción Constitucional “</w:t>
      </w:r>
      <w:r w:rsidRPr="00E10347">
        <w:rPr>
          <w:rFonts w:ascii="Palatino Linotype" w:hAnsi="Palatino Linotype" w:cs="Times New Roman"/>
          <w:i/>
          <w:sz w:val="21"/>
          <w:szCs w:val="21"/>
        </w:rPr>
        <w:t>debe remitir a la Sala Constitucional junto con copia de la orden de detención y de la resolución, en su caso, o de cualquier otra que se hubiere dictado, así como de una explicación clara de las razones o preceptos legales en que se funde, y de la prueba que exista en contra el perjudicado”.</w:t>
      </w:r>
    </w:p>
    <w:p w:rsidR="00E10347" w:rsidRPr="00E10347" w:rsidRDefault="00E10347" w:rsidP="00E10347">
      <w:pPr>
        <w:ind w:firstLine="708"/>
        <w:jc w:val="both"/>
        <w:rPr>
          <w:rFonts w:ascii="Palatino Linotype" w:hAnsi="Palatino Linotype" w:cs="Times New Roman"/>
          <w:sz w:val="21"/>
          <w:szCs w:val="21"/>
        </w:rPr>
      </w:pPr>
      <w:r w:rsidRPr="00E10347">
        <w:rPr>
          <w:rFonts w:ascii="Palatino Linotype" w:hAnsi="Palatino Linotype" w:cs="Times New Roman"/>
          <w:sz w:val="21"/>
          <w:szCs w:val="21"/>
        </w:rPr>
        <w:t>En relación al tema en estudio, la jurisprudencia constitucional ha determinado que:</w:t>
      </w:r>
    </w:p>
    <w:p w:rsidR="00E10347" w:rsidRPr="00E10347" w:rsidRDefault="00E10347" w:rsidP="00E10347">
      <w:pPr>
        <w:ind w:left="284" w:right="333"/>
        <w:jc w:val="both"/>
        <w:rPr>
          <w:rFonts w:ascii="Palatino Linotype" w:hAnsi="Palatino Linotype" w:cs="Times New Roman"/>
          <w:sz w:val="21"/>
          <w:szCs w:val="21"/>
        </w:rPr>
      </w:pPr>
      <w:r w:rsidRPr="00E10347">
        <w:rPr>
          <w:rFonts w:ascii="Palatino Linotype" w:hAnsi="Palatino Linotype" w:cs="Times New Roman"/>
          <w:i/>
          <w:sz w:val="21"/>
          <w:szCs w:val="21"/>
        </w:rPr>
        <w:t xml:space="preserve">“(…) no es una instancia más en el proceso penal, y </w:t>
      </w:r>
      <w:r w:rsidRPr="00E10347">
        <w:rPr>
          <w:rFonts w:ascii="Palatino Linotype" w:hAnsi="Palatino Linotype" w:cs="Times New Roman"/>
          <w:b/>
          <w:i/>
          <w:sz w:val="21"/>
          <w:szCs w:val="21"/>
        </w:rPr>
        <w:t>no le corresponde entrar a fiscalizar</w:t>
      </w:r>
      <w:r w:rsidRPr="00E10347">
        <w:rPr>
          <w:rFonts w:ascii="Palatino Linotype" w:hAnsi="Palatino Linotype" w:cs="Times New Roman"/>
          <w:i/>
          <w:sz w:val="21"/>
          <w:szCs w:val="21"/>
        </w:rPr>
        <w:t xml:space="preserve"> las interpretaciones de la Ley </w:t>
      </w:r>
      <w:r w:rsidRPr="00E10347">
        <w:rPr>
          <w:rFonts w:ascii="Palatino Linotype" w:hAnsi="Palatino Linotype" w:cs="Times New Roman"/>
          <w:b/>
          <w:i/>
          <w:sz w:val="21"/>
          <w:szCs w:val="21"/>
        </w:rPr>
        <w:t>o la apreciación que las autoridades jurisdiccionales penales hagan del acervo probatorio del que dispongan, salvo ciertos casos muy calificados.</w:t>
      </w:r>
      <w:r w:rsidRPr="00E10347">
        <w:rPr>
          <w:rFonts w:ascii="Palatino Linotype" w:hAnsi="Palatino Linotype" w:cs="Times New Roman"/>
          <w:i/>
          <w:sz w:val="21"/>
          <w:szCs w:val="21"/>
        </w:rPr>
        <w:t xml:space="preserve">  Por lo tanto, cuando se cuestiona la prisión preventiva decretada contra una persona en esta sede, lo que es objeto de verificación, en principio, es que en la resolución que decrete una medida que restrinja la libertad de una persona, se expongan en forma explícita las razones, normas y elementos de prueba que fundamentan la decisión”</w:t>
      </w:r>
      <w:r w:rsidRPr="00E10347">
        <w:rPr>
          <w:rStyle w:val="Refdenotaalpie"/>
          <w:rFonts w:ascii="Palatino Linotype" w:hAnsi="Palatino Linotype" w:cs="Times New Roman"/>
          <w:sz w:val="21"/>
          <w:szCs w:val="21"/>
        </w:rPr>
        <w:footnoteReference w:id="456"/>
      </w:r>
      <w:r w:rsidRPr="00E10347">
        <w:rPr>
          <w:rFonts w:ascii="Palatino Linotype" w:hAnsi="Palatino Linotype" w:cs="Times New Roman"/>
          <w:i/>
          <w:sz w:val="21"/>
          <w:szCs w:val="21"/>
        </w:rPr>
        <w:t xml:space="preserve">. </w:t>
      </w:r>
      <w:r w:rsidRPr="00E10347">
        <w:rPr>
          <w:rFonts w:ascii="Palatino Linotype" w:hAnsi="Palatino Linotype" w:cs="Times New Roman"/>
          <w:sz w:val="21"/>
          <w:szCs w:val="21"/>
        </w:rPr>
        <w:t>(Lo subrayado no corresponde al original).</w:t>
      </w:r>
    </w:p>
    <w:p w:rsidR="00E10347" w:rsidRPr="00E10347" w:rsidRDefault="00E10347" w:rsidP="00E10347">
      <w:pPr>
        <w:ind w:firstLine="708"/>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Por otra parte, en los recursos de hábeas corpus donde los privados de libertad aleguen tortura o maltrato por parte de funcionarios penitenciarios o estatales ha determinado que la carga de la prueba recae sobre éstos. Sobre el tema es de gran importancia lo dispuesto en el voto número 2014-7274 en el que se indicó:</w:t>
      </w:r>
    </w:p>
    <w:p w:rsidR="00E10347" w:rsidRPr="00E10347" w:rsidRDefault="00E10347" w:rsidP="00E10347">
      <w:pPr>
        <w:ind w:left="284" w:right="333"/>
        <w:jc w:val="both"/>
        <w:rPr>
          <w:rFonts w:ascii="Palatino Linotype" w:hAnsi="Palatino Linotype" w:cs="Times New Roman"/>
          <w:i/>
          <w:sz w:val="21"/>
          <w:szCs w:val="21"/>
        </w:rPr>
      </w:pPr>
      <w:r w:rsidRPr="00E10347">
        <w:rPr>
          <w:rFonts w:ascii="Palatino Linotype" w:hAnsi="Palatino Linotype" w:cs="Times New Roman"/>
          <w:bCs/>
          <w:i/>
          <w:sz w:val="21"/>
          <w:szCs w:val="21"/>
        </w:rPr>
        <w:t>“</w:t>
      </w:r>
      <w:r w:rsidRPr="00E10347">
        <w:rPr>
          <w:rFonts w:ascii="Palatino Linotype" w:hAnsi="Palatino Linotype" w:cs="Times New Roman"/>
          <w:b/>
          <w:bCs/>
          <w:i/>
          <w:sz w:val="21"/>
          <w:szCs w:val="21"/>
        </w:rPr>
        <w:t xml:space="preserve">III. Sobre la carga de la prueba en casos de maltrato de personas bajo custodia estatal.- </w:t>
      </w:r>
      <w:r w:rsidRPr="00E10347">
        <w:rPr>
          <w:rFonts w:ascii="Palatino Linotype" w:hAnsi="Palatino Linotype" w:cs="Times New Roman"/>
          <w:i/>
          <w:sz w:val="21"/>
          <w:szCs w:val="21"/>
        </w:rPr>
        <w:t>La</w:t>
      </w:r>
      <w:r w:rsidRPr="00E10347">
        <w:rPr>
          <w:rFonts w:ascii="Palatino Linotype" w:hAnsi="Palatino Linotype" w:cs="Times New Roman"/>
          <w:b/>
          <w:bCs/>
          <w:i/>
          <w:sz w:val="21"/>
          <w:szCs w:val="21"/>
        </w:rPr>
        <w:t xml:space="preserve"> </w:t>
      </w:r>
      <w:r w:rsidRPr="00E10347">
        <w:rPr>
          <w:rFonts w:ascii="Palatino Linotype" w:hAnsi="Palatino Linotype" w:cs="Times New Roman"/>
          <w:i/>
          <w:sz w:val="21"/>
          <w:szCs w:val="21"/>
        </w:rPr>
        <w:t xml:space="preserve">Corte Interamericana de Derechos Humanos ha tenido oportunidad de conocer de situaciones similares a las que ahora afronta la Sala y ha establecido que cuando se dan o alegan lesiones o maltrato sistemáticos en detenidos bajo custodia estatal, la carga probatoria le corresponde al Estado. Dicho Tribunal ha establecido que el Estado es responsable, en su condición de garante de los derechos consagrados en la Convención, de la observancia del derecho a la integridad personal de todo individuo que se halla bajo su custodia (Caso López Alvarez), por lo que -en consecuencia- recae en el Estado la obligación de proveer una explicación satisfactoria y convincente que permita desvirtuar las alegaciones sobre su responsabilidad (Caso Juan Humberto Sánchez).- Asimismo, ha establecido que </w:t>
      </w:r>
      <w:r w:rsidRPr="00E10347">
        <w:rPr>
          <w:rFonts w:ascii="Palatino Linotype" w:hAnsi="Palatino Linotype" w:cs="Times New Roman"/>
          <w:i/>
          <w:iCs/>
          <w:sz w:val="21"/>
          <w:szCs w:val="21"/>
        </w:rPr>
        <w:t>“una de las condiciones para garantizar efectivamente los derechos a la vida, a la integridad y a la libertad personales es el cumplimiento del deber de investigar las afectaciones a los mismos, que se deriva del artículo 1.1 de la Convención en conjunto con el derecho sustantivo que debe ser amparado, protegido o garantizado. La obligación de investigar constituye un medio para garantizar los derechos protegidos en los artículos 4,5 y 7 de la Convención, y su incumplimiento acarrea la responsabilidad internacional del Estado</w:t>
      </w:r>
      <w:r w:rsidRPr="00E10347">
        <w:rPr>
          <w:rFonts w:ascii="Palatino Linotype" w:hAnsi="Palatino Linotype" w:cs="Times New Roman"/>
          <w:i/>
          <w:sz w:val="21"/>
          <w:szCs w:val="21"/>
        </w:rPr>
        <w:t>”. (Caso Velásquez Rodríguez vs Honduras; Kawas Fernández vs. Honduras; Campo Algodonero vs México; Fernández Ortega y otro vs México). En la misma línea, la Comisión Interamericana de Derechos Humanos ha establecido que aun cuanto la aplicación de tortura o tratos crueles inhumanos o degradantes no haya sido denunciada ante las autoridades competentes, en todo caso en que existan indicios de su ocurrencia el Estado deberá iniciar de oficio y de inmediato una investigación.</w:t>
      </w:r>
    </w:p>
    <w:p w:rsidR="00E10347" w:rsidRPr="00E10347" w:rsidRDefault="00E10347" w:rsidP="00E10347">
      <w:pPr>
        <w:ind w:left="284" w:right="333"/>
        <w:jc w:val="both"/>
        <w:rPr>
          <w:rFonts w:ascii="Palatino Linotype" w:hAnsi="Palatino Linotype" w:cs="Times New Roman"/>
          <w:i/>
          <w:sz w:val="21"/>
          <w:szCs w:val="21"/>
        </w:rPr>
      </w:pPr>
      <w:r w:rsidRPr="00E10347">
        <w:rPr>
          <w:rFonts w:ascii="Palatino Linotype" w:hAnsi="Palatino Linotype" w:cs="Times New Roman"/>
          <w:b/>
          <w:bCs/>
          <w:i/>
          <w:sz w:val="21"/>
          <w:szCs w:val="21"/>
        </w:rPr>
        <w:t>IV.</w:t>
      </w:r>
      <w:r w:rsidRPr="00E10347">
        <w:rPr>
          <w:rFonts w:ascii="Palatino Linotype" w:hAnsi="Palatino Linotype" w:cs="Times New Roman"/>
          <w:i/>
          <w:sz w:val="21"/>
          <w:szCs w:val="21"/>
        </w:rPr>
        <w:t xml:space="preserve"> De conformidad con la misma jurisprudencia citada, ese deber de investigación efectiva debe hacerse en forma diligente para evitar la impunidad y así como evitar que los hechos se repitan, de manera que una vez que las autoridades estatales han tenido conocimiento del hecho, deben actuar de oficio y sin dilación, para efectuar una investigación, seria, imparcial y efectiva por todos los medios legales disponibles y orientada a determinar la verdad, y eventual castigo de los autores responsables de los hechos. En ese contexto, las sanciones administrativas o penales tienen un rol importante para crear la clase de competencia y cultura institucional adecuada para </w:t>
      </w:r>
      <w:r w:rsidRPr="00E10347">
        <w:rPr>
          <w:rFonts w:ascii="Palatino Linotype" w:hAnsi="Palatino Linotype" w:cs="Times New Roman"/>
          <w:i/>
          <w:sz w:val="21"/>
          <w:szCs w:val="21"/>
        </w:rPr>
        <w:lastRenderedPageBreak/>
        <w:t>frenar patrones sistemáticos de abuso a los derechos fundamentales, los cuales no se podrían evitar si las personas responsables continúan en sus cargos con posiciones de autoridad que pueden generar impunidad y crear las condiciones para que los factores que inciden en el contexto de violencia persistan o se agraven.</w:t>
      </w:r>
    </w:p>
    <w:p w:rsidR="00E10347" w:rsidRPr="00E10347" w:rsidRDefault="00E10347" w:rsidP="00E10347">
      <w:pPr>
        <w:ind w:left="284" w:right="333"/>
        <w:jc w:val="both"/>
        <w:rPr>
          <w:rFonts w:ascii="Palatino Linotype" w:hAnsi="Palatino Linotype" w:cs="Times New Roman"/>
          <w:i/>
          <w:sz w:val="21"/>
          <w:szCs w:val="21"/>
        </w:rPr>
      </w:pPr>
      <w:r w:rsidRPr="00E10347">
        <w:rPr>
          <w:rFonts w:ascii="Palatino Linotype" w:hAnsi="Palatino Linotype" w:cs="Times New Roman"/>
          <w:b/>
          <w:bCs/>
          <w:i/>
          <w:sz w:val="21"/>
          <w:szCs w:val="21"/>
        </w:rPr>
        <w:t>V.-</w:t>
      </w:r>
      <w:r w:rsidRPr="00E10347">
        <w:rPr>
          <w:rFonts w:ascii="Palatino Linotype" w:hAnsi="Palatino Linotype" w:cs="Times New Roman"/>
          <w:i/>
          <w:sz w:val="21"/>
          <w:szCs w:val="21"/>
        </w:rPr>
        <w:t xml:space="preserve"> También es absolutamente claro que la situación particular de una persona privada de libertad, limita y dificulta su actuación y acceso a elementos probatorios que respalden su denuncia, en ésta sede de tutela constitucional y en tal sentido, la regla según la cual corresponde al accionante probar todos los hechos en que fundamenta su acción de amparo, debe aplicarse de manera flexible porque en la situación de vulnerabilidad en que se encuentra, éste </w:t>
      </w:r>
      <w:r w:rsidR="002A76CC">
        <w:rPr>
          <w:rFonts w:ascii="Palatino Linotype" w:hAnsi="Palatino Linotype" w:cs="Times New Roman"/>
          <w:i/>
          <w:sz w:val="21"/>
          <w:szCs w:val="21"/>
        </w:rPr>
        <w:t xml:space="preserve">solo </w:t>
      </w:r>
      <w:r w:rsidRPr="00E10347">
        <w:rPr>
          <w:rFonts w:ascii="Palatino Linotype" w:hAnsi="Palatino Linotype" w:cs="Times New Roman"/>
          <w:i/>
          <w:sz w:val="21"/>
          <w:szCs w:val="21"/>
        </w:rPr>
        <w:t>debe probar aquellos hechos que le sea posible demostrar desde su situación particular y por el contrario, como se indicó supra, la jurisprudencia de la Corte Interamericana exige que sean las autoridades responsables de los detenidos los que desvirtúen en forma fehaciente los hechos denunciados. Estas circunstancias demuestran que estamos en este caso frente a un claro desequilibrio de las posiciones procesales, que debe corregirse desplazando la carga de la prueba, con el fin de no impedir el equitativo ejercicio y acceso a la justicia y el descubrimiento de la verdad”</w:t>
      </w:r>
      <w:r w:rsidRPr="00E10347">
        <w:rPr>
          <w:rStyle w:val="Refdenotaalpie"/>
          <w:rFonts w:ascii="Palatino Linotype" w:hAnsi="Palatino Linotype" w:cs="Times New Roman"/>
          <w:sz w:val="21"/>
          <w:szCs w:val="21"/>
        </w:rPr>
        <w:footnoteReference w:id="457"/>
      </w:r>
      <w:r w:rsidRPr="00E10347">
        <w:rPr>
          <w:rFonts w:ascii="Palatino Linotype" w:hAnsi="Palatino Linotype" w:cs="Times New Roman"/>
          <w:sz w:val="21"/>
          <w:szCs w:val="21"/>
        </w:rPr>
        <w:t>. (Lo subrayado no corresponde al original).</w:t>
      </w:r>
    </w:p>
    <w:p w:rsidR="00E10347" w:rsidRPr="00E10347" w:rsidRDefault="00E10347" w:rsidP="00E10347">
      <w:pPr>
        <w:ind w:left="284" w:right="191" w:firstLine="708"/>
        <w:jc w:val="both"/>
        <w:rPr>
          <w:rFonts w:ascii="Palatino Linotype" w:hAnsi="Palatino Linotype" w:cs="Times New Roman"/>
          <w:sz w:val="21"/>
          <w:szCs w:val="21"/>
        </w:rPr>
      </w:pPr>
    </w:p>
    <w:p w:rsidR="00E10347" w:rsidRPr="00E10347" w:rsidRDefault="00E10347" w:rsidP="00E10347">
      <w:pPr>
        <w:ind w:firstLine="708"/>
        <w:jc w:val="both"/>
        <w:rPr>
          <w:rFonts w:ascii="Palatino Linotype" w:hAnsi="Palatino Linotype" w:cs="Times New Roman"/>
          <w:sz w:val="21"/>
          <w:szCs w:val="21"/>
        </w:rPr>
      </w:pPr>
      <w:r w:rsidRPr="00E10347">
        <w:rPr>
          <w:rFonts w:ascii="Palatino Linotype" w:hAnsi="Palatino Linotype" w:cs="Times New Roman"/>
          <w:sz w:val="21"/>
          <w:szCs w:val="21"/>
        </w:rPr>
        <w:t>Con fundamento en lo anterior, las autoridades penitenciarias tienen la obligación de desvirtuar con las pruebas correspondientes la versión alegada por el parte recurrente quién se lamenta que sufrió actos agresión física, maltrato o tortura por parte de funcionarios penitenciarios. Además, esa tesis jurisprudencial evidencia como la jurisdicción constitucional utiliza jurisprudencia de la Corte Interamericana de Derechos Humanos, lo cuál la hace partícipe y ser un actor privilegiado del fenómeno denominado “diálogo judicial o jurisprudencial” en el ámbito de esa tutela multinivel de los derechos humanos</w:t>
      </w:r>
      <w:r w:rsidRPr="00E10347">
        <w:rPr>
          <w:rStyle w:val="Refdenotaalpie"/>
          <w:rFonts w:ascii="Palatino Linotype" w:hAnsi="Palatino Linotype" w:cs="Times New Roman"/>
          <w:sz w:val="21"/>
          <w:szCs w:val="21"/>
        </w:rPr>
        <w:footnoteReference w:id="458"/>
      </w:r>
      <w:r w:rsidRPr="00E10347">
        <w:rPr>
          <w:rFonts w:ascii="Palatino Linotype" w:hAnsi="Palatino Linotype" w:cs="Times New Roman"/>
          <w:sz w:val="21"/>
          <w:szCs w:val="21"/>
        </w:rPr>
        <w:t xml:space="preserve">. </w:t>
      </w:r>
    </w:p>
    <w:p w:rsidR="00E10347" w:rsidRPr="00E10347" w:rsidRDefault="00E10347"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5.3. En el control de constitucionalidad de las leyes</w:t>
      </w:r>
    </w:p>
    <w:p w:rsidR="00E10347" w:rsidRPr="00E10347" w:rsidRDefault="00E10347" w:rsidP="00E10347">
      <w:pPr>
        <w:ind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En los procesos de inconstitucionalidad por lo general no es necesario </w:t>
      </w:r>
      <w:r w:rsidRPr="00E10347">
        <w:rPr>
          <w:rFonts w:ascii="Palatino Linotype" w:hAnsi="Palatino Linotype" w:cs="Times New Roman"/>
          <w:sz w:val="21"/>
          <w:szCs w:val="21"/>
        </w:rPr>
        <w:lastRenderedPageBreak/>
        <w:t>ofrecer prueba, pues el juez constitucional debe decidir la cuestión meramente jurídica, como es el de establecer si una determinada norma sub-constitucional viola o no el bloque de constitucionalidad. Sin embargo, existen al menos cuatro casos en que el recurrente debe aportar prueba para que el juez constitucional esté en posibilidad de establecer si la violación alegada es o no de recibo. Tales casos son los siguientes: 1) cuando se alega la violación del principio de igualdad; 2) Cuando se argumenta la violación del principio de razonabilidad; 3) en las hipótesis en que se invoca una costumbre constitucional como integrante del parámetro de constitucionalidad y 4) cuando se platean acciones de inconstitucionalidad por interpretación errónea de normas sub-constitucionales</w:t>
      </w:r>
      <w:r w:rsidRPr="00E10347">
        <w:rPr>
          <w:rStyle w:val="Refdenotaalpie"/>
          <w:rFonts w:ascii="Palatino Linotype" w:hAnsi="Palatino Linotype" w:cs="Times New Roman"/>
          <w:sz w:val="21"/>
          <w:szCs w:val="21"/>
        </w:rPr>
        <w:footnoteReference w:id="459"/>
      </w:r>
      <w:r w:rsidRPr="00E10347">
        <w:rPr>
          <w:rFonts w:ascii="Palatino Linotype" w:hAnsi="Palatino Linotype" w:cs="Times New Roman"/>
          <w:sz w:val="21"/>
          <w:szCs w:val="21"/>
        </w:rPr>
        <w:t xml:space="preserve">. En relación a la prueba de razonabilidad, la jurisprudencia constitucional ha reiterado en diferentes pronunciamientos que: </w:t>
      </w:r>
    </w:p>
    <w:p w:rsidR="00E10347" w:rsidRPr="00E10347" w:rsidRDefault="00E10347" w:rsidP="00E10347">
      <w:pPr>
        <w:ind w:left="284" w:right="333"/>
        <w:jc w:val="both"/>
        <w:rPr>
          <w:rFonts w:ascii="Palatino Linotype" w:hAnsi="Palatino Linotype" w:cs="Times New Roman"/>
          <w:sz w:val="21"/>
          <w:szCs w:val="21"/>
        </w:rPr>
      </w:pPr>
      <w:r w:rsidRPr="00E10347">
        <w:rPr>
          <w:rFonts w:ascii="Palatino Linotype" w:hAnsi="Palatino Linotype" w:cs="Times New Roman"/>
          <w:i/>
          <w:color w:val="000000"/>
          <w:sz w:val="21"/>
          <w:szCs w:val="21"/>
        </w:rPr>
        <w:t xml:space="preserve"> “</w:t>
      </w:r>
      <w:r w:rsidRPr="00E10347">
        <w:rPr>
          <w:rFonts w:ascii="Palatino Linotype" w:hAnsi="Palatino Linotype" w:cs="Times New Roman"/>
          <w:b/>
          <w:bCs/>
          <w:i/>
          <w:color w:val="000000"/>
          <w:sz w:val="21"/>
          <w:szCs w:val="21"/>
        </w:rPr>
        <w:t>SOBRE LA PRUEBA DE RAZONABILIDAD</w:t>
      </w:r>
      <w:r w:rsidRPr="00E10347">
        <w:rPr>
          <w:rFonts w:ascii="Palatino Linotype" w:hAnsi="Palatino Linotype" w:cs="Times New Roman"/>
          <w:i/>
          <w:color w:val="000000"/>
          <w:sz w:val="21"/>
          <w:szCs w:val="21"/>
        </w:rPr>
        <w:t xml:space="preserve">: Para emprender un examen de razonabilidad  de una norma, el Tribunal Constitucional requiere que la parte aporte prueba o al menos elementos de juicio en los que sustente su argumentación e igual carga procesal le corresponde a quien rebata los argumentos de la acción y la falta en el cumplimiento de estos requisitos, hace inaceptables los alegatos de inconstitucionalidad.  Lo anterior, debido a que no es posible hacer un análisis  de “razonabilidad”   sin  la existencia de una línea argumentativa coherente que se encuentre   probatoriamente respaldada. Ello desde luego, cuando no se trate de casos cuya  “irrazonabilidad” sea evidente   y manifiesta.   Retomando el alegato sobre la irrazonabilidad del plazo de dieciocho meses para optar por una pensión ordinaria, la Sala advierte que los accionantes no </w:t>
      </w:r>
      <w:r w:rsidR="002A76CC">
        <w:rPr>
          <w:rFonts w:ascii="Palatino Linotype" w:hAnsi="Palatino Linotype" w:cs="Times New Roman"/>
          <w:i/>
          <w:color w:val="000000"/>
          <w:sz w:val="21"/>
          <w:szCs w:val="21"/>
        </w:rPr>
        <w:t xml:space="preserve">solo </w:t>
      </w:r>
      <w:r w:rsidRPr="00E10347">
        <w:rPr>
          <w:rFonts w:ascii="Palatino Linotype" w:hAnsi="Palatino Linotype" w:cs="Times New Roman"/>
          <w:i/>
          <w:color w:val="000000"/>
          <w:sz w:val="21"/>
          <w:szCs w:val="21"/>
        </w:rPr>
        <w:t>no indican los motivos que les llevan a concluir  que la norma cuestionada es irrazonable, sino que tampoco aportan prueba alguna que permita a este Tribunal llegar a esa conclusión, transformando el debate en la exposición de conceptos subjetivos. Por otra parte, el caso no presenta las características de ser una situación de “irrazonabilidad” evidente y manifiesta que además sea fácilmente perceptible, antes bien, de manera abstracta se puede indicar que la norma se ajusta al fin de la reforma legislativa, cual es corregir las distorsiones del sistema de pensiones derogado”</w:t>
      </w:r>
      <w:r w:rsidRPr="00E10347">
        <w:rPr>
          <w:rStyle w:val="Refdenotaalpie"/>
          <w:rFonts w:ascii="Palatino Linotype" w:hAnsi="Palatino Linotype" w:cs="Times New Roman"/>
          <w:i/>
          <w:color w:val="000000"/>
          <w:sz w:val="21"/>
          <w:szCs w:val="21"/>
        </w:rPr>
        <w:footnoteReference w:id="460"/>
      </w:r>
      <w:r w:rsidRPr="00E10347">
        <w:rPr>
          <w:rFonts w:ascii="Palatino Linotype" w:hAnsi="Palatino Linotype" w:cs="Times New Roman"/>
          <w:i/>
          <w:color w:val="000000"/>
          <w:sz w:val="21"/>
          <w:szCs w:val="21"/>
        </w:rPr>
        <w:t xml:space="preserve"> </w:t>
      </w:r>
    </w:p>
    <w:p w:rsidR="00E10347" w:rsidRPr="00E10347" w:rsidRDefault="00E10347" w:rsidP="00E10347">
      <w:pPr>
        <w:ind w:left="284" w:right="333"/>
        <w:jc w:val="both"/>
        <w:rPr>
          <w:rFonts w:ascii="Palatino Linotype" w:hAnsi="Palatino Linotype" w:cs="Times New Roman"/>
          <w:sz w:val="21"/>
          <w:szCs w:val="21"/>
        </w:rPr>
      </w:pPr>
    </w:p>
    <w:p w:rsidR="00E10347" w:rsidRPr="00E10347" w:rsidRDefault="00E10347" w:rsidP="00E10347">
      <w:pPr>
        <w:ind w:left="284" w:right="333" w:firstLine="424"/>
        <w:jc w:val="both"/>
        <w:rPr>
          <w:rFonts w:ascii="Palatino Linotype" w:hAnsi="Palatino Linotype" w:cs="Times New Roman"/>
          <w:sz w:val="21"/>
          <w:szCs w:val="21"/>
        </w:rPr>
      </w:pPr>
      <w:r w:rsidRPr="00E10347">
        <w:rPr>
          <w:rFonts w:ascii="Palatino Linotype" w:hAnsi="Palatino Linotype" w:cs="Times New Roman"/>
          <w:color w:val="000000"/>
          <w:sz w:val="21"/>
          <w:szCs w:val="21"/>
        </w:rPr>
        <w:t xml:space="preserve">Asimismo, en la sentencia número 2004-09754 se dispuso en lo que </w:t>
      </w:r>
      <w:r w:rsidRPr="00E10347">
        <w:rPr>
          <w:rFonts w:ascii="Palatino Linotype" w:hAnsi="Palatino Linotype" w:cs="Times New Roman"/>
          <w:color w:val="000000"/>
          <w:sz w:val="21"/>
          <w:szCs w:val="21"/>
        </w:rPr>
        <w:lastRenderedPageBreak/>
        <w:t xml:space="preserve">interesa: </w:t>
      </w:r>
    </w:p>
    <w:p w:rsidR="00E10347" w:rsidRPr="00E10347" w:rsidRDefault="00E10347" w:rsidP="00E10347">
      <w:pPr>
        <w:tabs>
          <w:tab w:val="left" w:pos="567"/>
        </w:tabs>
        <w:ind w:left="284" w:right="333"/>
        <w:jc w:val="both"/>
        <w:rPr>
          <w:rFonts w:ascii="Palatino Linotype" w:hAnsi="Palatino Linotype" w:cs="Times New Roman"/>
          <w:i/>
          <w:color w:val="000000"/>
          <w:sz w:val="21"/>
          <w:szCs w:val="21"/>
        </w:rPr>
      </w:pPr>
      <w:r w:rsidRPr="00E10347">
        <w:rPr>
          <w:rFonts w:ascii="Palatino Linotype" w:hAnsi="Palatino Linotype" w:cs="Times New Roman"/>
          <w:i/>
          <w:color w:val="000000"/>
          <w:sz w:val="21"/>
          <w:szCs w:val="21"/>
        </w:rPr>
        <w:t xml:space="preserve">“(…) cuando se alegan circunstancias de hecho destinadas a sostener el alegado derecho que se reclama (como en este caso), y que sirven de motivo a la inconstitucionalidad que se pretende, es necesario que el interesado demuestre los supuestos de su acción.  En este asunto, la demandante ha dicho que el impuesto es confiscatorio, porque sucede que, o es similar a sus utilidades netas antes de impuestos, o las excede, razones por las cuales dice que no puede pagarlo, ni ella ni un grupo de bancos off shore”.  </w:t>
      </w:r>
    </w:p>
    <w:p w:rsidR="00E10347" w:rsidRPr="00E10347" w:rsidRDefault="00E10347" w:rsidP="00E10347">
      <w:pPr>
        <w:ind w:left="284" w:right="333"/>
        <w:jc w:val="both"/>
        <w:rPr>
          <w:rFonts w:ascii="Palatino Linotype" w:hAnsi="Palatino Linotype" w:cs="Times New Roman"/>
          <w:i/>
          <w:color w:val="000000"/>
          <w:sz w:val="21"/>
          <w:szCs w:val="21"/>
        </w:rPr>
      </w:pPr>
      <w:r w:rsidRPr="00E10347">
        <w:rPr>
          <w:rFonts w:ascii="Palatino Linotype" w:hAnsi="Palatino Linotype" w:cs="Times New Roman"/>
          <w:i/>
          <w:color w:val="000000"/>
          <w:sz w:val="21"/>
          <w:szCs w:val="21"/>
        </w:rPr>
        <w:t>“(…) cuando se trata de casos en los que se alega que el tributo tiene efecto confiscatorio, es imprescindible que el Tribunal Constitucional valore y analice sus circunstancias, la situación concreta que se presenta, o bien, los hechos a la luz de las demostraciones correspondientes.  Así pues, es necesario que en este tipo de casos, las acciones contengan elementos de juicio objetivamente respaldados para poder obtener conclusiones ciertas sobre la existencia o inexistencia del vicio de confiscatoriedad que se alega.  Por otra parte, conforme con la jurisprudencia, este “</w:t>
      </w:r>
      <w:r w:rsidRPr="00E10347">
        <w:rPr>
          <w:rFonts w:ascii="Palatino Linotype" w:hAnsi="Palatino Linotype" w:cs="Times New Roman"/>
          <w:i/>
          <w:iCs/>
          <w:color w:val="000000"/>
          <w:sz w:val="21"/>
          <w:szCs w:val="21"/>
        </w:rPr>
        <w:t>caso no presenta las características de ser una situación de “irrazonabilidad” evidente y manifiesta que además sea fácilmente perceptible</w:t>
      </w:r>
      <w:r w:rsidRPr="00E10347">
        <w:rPr>
          <w:rFonts w:ascii="Palatino Linotype" w:hAnsi="Palatino Linotype" w:cs="Times New Roman"/>
          <w:i/>
          <w:color w:val="000000"/>
          <w:sz w:val="21"/>
          <w:szCs w:val="21"/>
        </w:rPr>
        <w:t xml:space="preserve">”. </w:t>
      </w:r>
    </w:p>
    <w:p w:rsidR="00467BDB" w:rsidRDefault="00467BDB" w:rsidP="00E10347">
      <w:pPr>
        <w:jc w:val="both"/>
        <w:rPr>
          <w:rFonts w:ascii="Palatino Linotype" w:hAnsi="Palatino Linotype" w:cs="Times New Roman"/>
          <w:b/>
          <w:sz w:val="21"/>
          <w:szCs w:val="21"/>
        </w:rPr>
      </w:pPr>
    </w:p>
    <w:p w:rsidR="00E10347" w:rsidRPr="00E10347" w:rsidRDefault="00E10347"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 xml:space="preserve">6. La carga de la prueba </w:t>
      </w:r>
    </w:p>
    <w:p w:rsidR="00E10347" w:rsidRPr="00E10347" w:rsidRDefault="00E10347" w:rsidP="00E10347">
      <w:pPr>
        <w:ind w:firstLine="708"/>
        <w:jc w:val="both"/>
        <w:rPr>
          <w:rFonts w:ascii="Palatino Linotype" w:hAnsi="Palatino Linotype" w:cs="Times New Roman"/>
          <w:bCs/>
          <w:sz w:val="21"/>
          <w:szCs w:val="21"/>
        </w:rPr>
      </w:pPr>
      <w:r w:rsidRPr="00E10347">
        <w:rPr>
          <w:rFonts w:ascii="Palatino Linotype" w:hAnsi="Palatino Linotype" w:cs="Times New Roman"/>
          <w:sz w:val="21"/>
          <w:szCs w:val="21"/>
        </w:rPr>
        <w:t>En la Ley de la Jurisdicción Constitucional no existe una regulación expresa que determine quién tienen la carga de la prueba en los procesos constitucionales, sino que ha sido una obligación que ha sido reconocida vía jurisprudencial. Al respecto, la Sala Constitucional ha determinado que</w:t>
      </w:r>
      <w:r w:rsidRPr="00E10347">
        <w:rPr>
          <w:rFonts w:ascii="Palatino Linotype" w:hAnsi="Palatino Linotype" w:cs="Times New Roman"/>
          <w:i/>
          <w:sz w:val="21"/>
          <w:szCs w:val="21"/>
        </w:rPr>
        <w:t xml:space="preserve"> “es absolutamente claro que la situación particular de una persona privada de libertad, limita y dificulta su actuación y acceso a elementos probatorios que respalden su denuncia, en ésta sede de tutela constitucional y en tal sentido, la regla según la cual corresponde al accionante probar todos los hechos en que fundamenta su acción de amparo, debe aplicarse de manera flexible porque en la situación de vulnerabilidad en que se encuentra, éste </w:t>
      </w:r>
      <w:r w:rsidR="002A76CC">
        <w:rPr>
          <w:rFonts w:ascii="Palatino Linotype" w:hAnsi="Palatino Linotype" w:cs="Times New Roman"/>
          <w:i/>
          <w:sz w:val="21"/>
          <w:szCs w:val="21"/>
        </w:rPr>
        <w:t xml:space="preserve">solo </w:t>
      </w:r>
      <w:r w:rsidRPr="00E10347">
        <w:rPr>
          <w:rFonts w:ascii="Palatino Linotype" w:hAnsi="Palatino Linotype" w:cs="Times New Roman"/>
          <w:i/>
          <w:sz w:val="21"/>
          <w:szCs w:val="21"/>
        </w:rPr>
        <w:t xml:space="preserve">debe probar aquellos hechos que le sea posible demostrar desde su situación particular”. </w:t>
      </w:r>
      <w:r w:rsidRPr="00E10347">
        <w:rPr>
          <w:rFonts w:ascii="Palatino Linotype" w:hAnsi="Palatino Linotype" w:cs="Times New Roman"/>
          <w:sz w:val="21"/>
          <w:szCs w:val="21"/>
        </w:rPr>
        <w:t xml:space="preserve">Con fundamento en lo anterior podemos afirmar que en los recursos de amparo contra órganos públicos y hábeas corpus, es la parte recurrente quién tiene la carga de la prueba en un primer momento sobre todo como forma de reforzar los hechos denunciados y en aquellos supuestos en donde se solicita el dictado de una medida cautelar.  Lo anterior tiene excepciones pues en algunos supuestos la carga de la prueba se invierte y esa obligación es exigida a la autoridad recurrida, como por ejemplo: a) en aquellos </w:t>
      </w:r>
      <w:r w:rsidRPr="00E10347">
        <w:rPr>
          <w:rFonts w:ascii="Palatino Linotype" w:hAnsi="Palatino Linotype" w:cs="Times New Roman"/>
          <w:sz w:val="21"/>
          <w:szCs w:val="21"/>
        </w:rPr>
        <w:lastRenderedPageBreak/>
        <w:t>casos en donde se instaura un procedimiento administrativo en contra de un funcionario público por el ejercicio de la libertad de expresión; b)</w:t>
      </w:r>
      <w:r w:rsidRPr="00E10347">
        <w:rPr>
          <w:rFonts w:ascii="Palatino Linotype" w:hAnsi="Palatino Linotype" w:cs="Times New Roman"/>
          <w:b/>
          <w:bCs/>
          <w:i/>
          <w:sz w:val="21"/>
          <w:szCs w:val="21"/>
        </w:rPr>
        <w:t xml:space="preserve"> </w:t>
      </w:r>
      <w:r w:rsidRPr="00E10347">
        <w:rPr>
          <w:rFonts w:ascii="Palatino Linotype" w:hAnsi="Palatino Linotype" w:cs="Times New Roman"/>
          <w:bCs/>
          <w:sz w:val="21"/>
          <w:szCs w:val="21"/>
        </w:rPr>
        <w:t xml:space="preserve">En casos de maltrato, tortura de personas bajo custodia estatal. A ello se debería agregar un ulterior supuesto –en mi criterio— y es cuando estamos en presencia de un grupo vulnerable tutelado en diferentes instrumentos normativos nacionales e internacionales de derechos humanos.  Además en las acciones de inconstitucional el recurrente tiene la carga de la prueba cuando </w:t>
      </w:r>
      <w:r w:rsidRPr="00E10347">
        <w:rPr>
          <w:rFonts w:ascii="Palatino Linotype" w:hAnsi="Palatino Linotype" w:cs="Times New Roman"/>
          <w:sz w:val="21"/>
          <w:szCs w:val="21"/>
        </w:rPr>
        <w:t xml:space="preserve">se argumenta la violación del principio de razonabilidad y en los demás supuestos </w:t>
      </w:r>
      <w:r w:rsidRPr="00E10347">
        <w:rPr>
          <w:rFonts w:ascii="Palatino Linotype" w:hAnsi="Palatino Linotype" w:cs="Times New Roman"/>
          <w:i/>
          <w:sz w:val="21"/>
          <w:szCs w:val="21"/>
        </w:rPr>
        <w:t xml:space="preserve">supra </w:t>
      </w:r>
      <w:r w:rsidRPr="00E10347">
        <w:rPr>
          <w:rFonts w:ascii="Palatino Linotype" w:hAnsi="Palatino Linotype" w:cs="Times New Roman"/>
          <w:sz w:val="21"/>
          <w:szCs w:val="21"/>
        </w:rPr>
        <w:t>citados.</w:t>
      </w:r>
    </w:p>
    <w:p w:rsidR="00E10347" w:rsidRPr="00E10347" w:rsidRDefault="00E10347" w:rsidP="00E10347">
      <w:pPr>
        <w:jc w:val="both"/>
        <w:rPr>
          <w:rFonts w:ascii="Palatino Linotype" w:hAnsi="Palatino Linotype" w:cs="Times New Roman"/>
          <w:b/>
          <w:sz w:val="21"/>
          <w:szCs w:val="21"/>
        </w:rPr>
      </w:pPr>
    </w:p>
    <w:p w:rsidR="00E10347" w:rsidRPr="00E10347" w:rsidRDefault="00E10347"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7. Poderes del juez constitucional para ordenar medidas de instrucción</w:t>
      </w:r>
    </w:p>
    <w:p w:rsidR="00E10347" w:rsidRPr="00E10347" w:rsidRDefault="00E10347" w:rsidP="00E10347">
      <w:pPr>
        <w:ind w:firstLine="708"/>
        <w:jc w:val="both"/>
        <w:rPr>
          <w:rFonts w:ascii="Palatino Linotype" w:hAnsi="Palatino Linotype" w:cs="Times New Roman"/>
          <w:sz w:val="21"/>
          <w:szCs w:val="21"/>
        </w:rPr>
      </w:pPr>
      <w:r w:rsidRPr="00E10347">
        <w:rPr>
          <w:rFonts w:ascii="Palatino Linotype" w:hAnsi="Palatino Linotype" w:cs="Times New Roman"/>
          <w:sz w:val="21"/>
          <w:szCs w:val="21"/>
        </w:rPr>
        <w:t>En nuestro ordenamiento jurídico el juez constitucional tiene amplios poderes para ordenar medidas de instrucción en los diferentes procesos que se encuentra tramitando, lo cual en la doctrina constitucionalista italiana ha sido denominado “</w:t>
      </w:r>
      <w:r w:rsidRPr="00E10347">
        <w:rPr>
          <w:rFonts w:ascii="Palatino Linotype" w:hAnsi="Palatino Linotype" w:cs="Times New Roman"/>
          <w:i/>
          <w:sz w:val="21"/>
          <w:szCs w:val="21"/>
        </w:rPr>
        <w:t>poteri istruttori</w:t>
      </w:r>
      <w:r w:rsidRPr="00E10347">
        <w:rPr>
          <w:rFonts w:ascii="Palatino Linotype" w:hAnsi="Palatino Linotype" w:cs="Times New Roman"/>
          <w:sz w:val="21"/>
          <w:szCs w:val="21"/>
        </w:rPr>
        <w:t>”</w:t>
      </w:r>
      <w:r w:rsidRPr="00E10347">
        <w:rPr>
          <w:rStyle w:val="Refdenotaalpie"/>
          <w:rFonts w:ascii="Palatino Linotype" w:hAnsi="Palatino Linotype" w:cs="Times New Roman"/>
          <w:sz w:val="21"/>
          <w:szCs w:val="21"/>
        </w:rPr>
        <w:footnoteReference w:id="461"/>
      </w:r>
      <w:r w:rsidRPr="00E10347">
        <w:rPr>
          <w:rFonts w:ascii="Palatino Linotype" w:hAnsi="Palatino Linotype" w:cs="Times New Roman"/>
          <w:sz w:val="21"/>
          <w:szCs w:val="21"/>
        </w:rPr>
        <w:t xml:space="preserve">. Al respecto la Sala Constitucional ha determinado que </w:t>
      </w:r>
      <w:r w:rsidRPr="00E10347">
        <w:rPr>
          <w:rFonts w:ascii="Palatino Linotype" w:hAnsi="Palatino Linotype" w:cs="Times New Roman"/>
          <w:sz w:val="21"/>
          <w:szCs w:val="21"/>
          <w:lang w:val="es-CR"/>
        </w:rPr>
        <w:t>puede ordenar cualquier medio de prueba de los admitidos en derecho, lo que quiere decir que se puede utilizar todo elemento probatorio que le sirva para converserse de la existencia o inexitencia de un hecho determinado</w:t>
      </w:r>
      <w:r w:rsidRPr="00E10347">
        <w:rPr>
          <w:rStyle w:val="Refdenotaalpie"/>
          <w:rFonts w:ascii="Palatino Linotype" w:hAnsi="Palatino Linotype" w:cs="Times New Roman"/>
          <w:sz w:val="21"/>
          <w:szCs w:val="21"/>
          <w:lang w:val="es-CR"/>
        </w:rPr>
        <w:footnoteReference w:id="462"/>
      </w:r>
      <w:r w:rsidRPr="00E10347">
        <w:rPr>
          <w:rFonts w:ascii="Palatino Linotype" w:hAnsi="Palatino Linotype" w:cs="Times New Roman"/>
          <w:sz w:val="21"/>
          <w:szCs w:val="21"/>
          <w:lang w:val="es-CR"/>
        </w:rPr>
        <w:t>.</w:t>
      </w:r>
      <w:r w:rsidRPr="00E10347">
        <w:rPr>
          <w:rFonts w:ascii="Palatino Linotype" w:hAnsi="Palatino Linotype" w:cs="Times New Roman"/>
          <w:sz w:val="21"/>
          <w:szCs w:val="21"/>
        </w:rPr>
        <w:t xml:space="preserve"> En este sentido, el juez puede ordenar que se recaben datos, informaciones, documentos, la realización de una vista para escuchar los argumentos y pruebas presentadas por las partes, así como efectuar inspecciones in situ. En virtud del principio inquisitivo que rige todos los procesos constitucionales y, en particular, en el hábeas corpus, la Sala Constitucional puede ordenar que sean recabados todos los elementos de convicción necesarios para resolver, estableciéndose un sano activismo judicial en aras de la verdad real que debe imperar en esta materia tan sensible. Se trata, entonces, de prueba para mejor resolver o proveer, y sobre todo, para averiguar la verdad material  de los hechos. Dentro de las pruebas que puede ordenar el Magistrado instructor o el Pleno, cuando lo considere necesario y de acuerdo con las circunstancias concurrentes del caso, se encuentran las siguientes: a) ordenar la comparecencia del ofendido para verificar su integridad o que no haya desaparecido y, en general, su estado físico y b) la práctica de inspecciones o </w:t>
      </w:r>
      <w:r w:rsidRPr="00E10347">
        <w:rPr>
          <w:rFonts w:ascii="Palatino Linotype" w:hAnsi="Palatino Linotype" w:cs="Times New Roman"/>
          <w:sz w:val="21"/>
          <w:szCs w:val="21"/>
        </w:rPr>
        <w:lastRenderedPageBreak/>
        <w:t xml:space="preserve">reconocimientos </w:t>
      </w:r>
      <w:r w:rsidRPr="00E10347">
        <w:rPr>
          <w:rFonts w:ascii="Palatino Linotype" w:hAnsi="Palatino Linotype" w:cs="Times New Roman"/>
          <w:i/>
          <w:sz w:val="21"/>
          <w:szCs w:val="21"/>
        </w:rPr>
        <w:t xml:space="preserve">in situ </w:t>
      </w:r>
      <w:r w:rsidRPr="00E10347">
        <w:rPr>
          <w:rFonts w:ascii="Palatino Linotype" w:hAnsi="Palatino Linotype" w:cs="Times New Roman"/>
          <w:sz w:val="21"/>
          <w:szCs w:val="21"/>
        </w:rPr>
        <w:t>(artículo 21, párrafo 2, LJC)</w:t>
      </w:r>
      <w:r w:rsidRPr="00E10347">
        <w:rPr>
          <w:rStyle w:val="Refdenotaalpie"/>
          <w:rFonts w:ascii="Palatino Linotype" w:hAnsi="Palatino Linotype" w:cs="Times New Roman"/>
          <w:sz w:val="21"/>
          <w:szCs w:val="21"/>
        </w:rPr>
        <w:footnoteReference w:id="463"/>
      </w:r>
      <w:r w:rsidRPr="00E10347">
        <w:rPr>
          <w:rFonts w:ascii="Palatino Linotype" w:hAnsi="Palatino Linotype" w:cs="Times New Roman"/>
          <w:sz w:val="21"/>
          <w:szCs w:val="21"/>
        </w:rPr>
        <w:t xml:space="preserve">. Con fundamento en lo anterior, los jueces tienen amplios poderes para ordenar medidas de instrucción de previo al dictado de la sentencia pudiendo ordenar que las partes aporten prueba, así como la realización de una vista o de una inspección. </w:t>
      </w:r>
    </w:p>
    <w:p w:rsidR="00E10347" w:rsidRPr="00E10347" w:rsidRDefault="00E10347" w:rsidP="00E10347">
      <w:pPr>
        <w:ind w:firstLine="708"/>
        <w:jc w:val="both"/>
        <w:rPr>
          <w:rFonts w:ascii="Palatino Linotype" w:hAnsi="Palatino Linotype" w:cs="Times New Roman"/>
          <w:b/>
          <w:sz w:val="21"/>
          <w:szCs w:val="21"/>
        </w:rPr>
      </w:pPr>
    </w:p>
    <w:p w:rsidR="00E10347" w:rsidRPr="00E10347" w:rsidRDefault="00E10347" w:rsidP="00E10347">
      <w:pPr>
        <w:jc w:val="both"/>
        <w:rPr>
          <w:rFonts w:ascii="Palatino Linotype" w:hAnsi="Palatino Linotype" w:cs="Times New Roman"/>
          <w:b/>
          <w:sz w:val="21"/>
          <w:szCs w:val="21"/>
        </w:rPr>
      </w:pPr>
      <w:r w:rsidRPr="00E10347">
        <w:rPr>
          <w:rFonts w:ascii="Palatino Linotype" w:hAnsi="Palatino Linotype" w:cs="Times New Roman"/>
          <w:b/>
          <w:sz w:val="21"/>
          <w:szCs w:val="21"/>
        </w:rPr>
        <w:t xml:space="preserve">8. Apreciación de la prueba </w:t>
      </w:r>
    </w:p>
    <w:p w:rsidR="00E10347" w:rsidRPr="00E10347" w:rsidRDefault="00E10347" w:rsidP="00E10347">
      <w:pPr>
        <w:ind w:firstLine="708"/>
        <w:jc w:val="both"/>
        <w:rPr>
          <w:rFonts w:ascii="Palatino Linotype" w:hAnsi="Palatino Linotype" w:cs="Times New Roman"/>
          <w:sz w:val="21"/>
          <w:szCs w:val="21"/>
        </w:rPr>
      </w:pPr>
      <w:r w:rsidRPr="00E10347">
        <w:rPr>
          <w:rFonts w:ascii="Palatino Linotype" w:hAnsi="Palatino Linotype" w:cs="Times New Roman"/>
          <w:sz w:val="21"/>
          <w:szCs w:val="21"/>
        </w:rPr>
        <w:t>En relación a la apreciación del acervo probatorio la Ley de la Jurisdicción Constitucional no contiene norma expresa por lo que rige, salvo disposición en contrario, el principio de libre apreciación de la prueba conforme a las reglas de la sana crítica, según lo establecido en el artículo 298 párrafo 2 de la LGAP y 82 párrafo 2) CPAC, aplicable supletoriamente por lo establecido en el artículo 14 LJC</w:t>
      </w:r>
      <w:r w:rsidRPr="00E10347">
        <w:rPr>
          <w:rStyle w:val="Refdenotaalpie"/>
          <w:rFonts w:ascii="Palatino Linotype" w:hAnsi="Palatino Linotype" w:cs="Times New Roman"/>
          <w:sz w:val="21"/>
          <w:szCs w:val="21"/>
        </w:rPr>
        <w:footnoteReference w:id="464"/>
      </w:r>
      <w:r w:rsidRPr="00E10347">
        <w:rPr>
          <w:rFonts w:ascii="Palatino Linotype" w:hAnsi="Palatino Linotype" w:cs="Times New Roman"/>
          <w:sz w:val="21"/>
          <w:szCs w:val="21"/>
        </w:rPr>
        <w:t xml:space="preserve">.  En este sentido, </w:t>
      </w:r>
      <w:r w:rsidRPr="00E10347">
        <w:rPr>
          <w:rFonts w:ascii="Palatino Linotype" w:hAnsi="Palatino Linotype" w:cs="Times New Roman"/>
          <w:sz w:val="21"/>
          <w:szCs w:val="21"/>
          <w:lang w:val="es-CR"/>
        </w:rPr>
        <w:t>por la importancia de los procesos constitucionales y la informalidad de los mismos, rige el principio de la prueba libre de manera que la Sala forma libremente su convicción sobre los hechos probados, según las reglas de la sana critica</w:t>
      </w:r>
      <w:r w:rsidRPr="00E10347">
        <w:rPr>
          <w:rStyle w:val="Refdenotaalpie"/>
          <w:rFonts w:ascii="Palatino Linotype" w:hAnsi="Palatino Linotype" w:cs="Times New Roman"/>
          <w:sz w:val="21"/>
          <w:szCs w:val="21"/>
          <w:lang w:val="es-CR"/>
        </w:rPr>
        <w:footnoteReference w:id="465"/>
      </w:r>
      <w:r w:rsidRPr="00E10347">
        <w:rPr>
          <w:rFonts w:ascii="Palatino Linotype" w:hAnsi="Palatino Linotype" w:cs="Times New Roman"/>
          <w:sz w:val="21"/>
          <w:szCs w:val="21"/>
          <w:lang w:val="es-CR"/>
        </w:rPr>
        <w:t xml:space="preserve">. Èstas ultimas </w:t>
      </w:r>
      <w:r w:rsidRPr="00E10347">
        <w:rPr>
          <w:rFonts w:ascii="Palatino Linotype" w:hAnsi="Palatino Linotype" w:cs="Times New Roman"/>
          <w:sz w:val="21"/>
          <w:szCs w:val="21"/>
        </w:rPr>
        <w:t>son un concepto propio del Derecho procesal común y se traducen en los principios del correcto entendimiento humano, los que son variables en el tiempo y el lugar, pero estables en cuanto a los fundamentos lógicos en que se apoya la sentencia</w:t>
      </w:r>
      <w:r w:rsidRPr="00E10347">
        <w:rPr>
          <w:rStyle w:val="Refdenotaalpie"/>
          <w:rFonts w:ascii="Palatino Linotype" w:hAnsi="Palatino Linotype" w:cs="Times New Roman"/>
          <w:sz w:val="21"/>
          <w:szCs w:val="21"/>
        </w:rPr>
        <w:footnoteReference w:id="466"/>
      </w:r>
      <w:r w:rsidRPr="00E10347">
        <w:rPr>
          <w:rFonts w:ascii="Palatino Linotype" w:hAnsi="Palatino Linotype" w:cs="Times New Roman"/>
          <w:sz w:val="21"/>
          <w:szCs w:val="21"/>
        </w:rPr>
        <w:t xml:space="preserve">. </w:t>
      </w:r>
    </w:p>
    <w:p w:rsidR="00E10347" w:rsidRPr="00E10347" w:rsidRDefault="00E10347" w:rsidP="00E10347">
      <w:pPr>
        <w:ind w:firstLine="708"/>
        <w:jc w:val="both"/>
        <w:rPr>
          <w:rFonts w:ascii="Palatino Linotype" w:hAnsi="Palatino Linotype" w:cs="Times New Roman"/>
          <w:sz w:val="21"/>
          <w:szCs w:val="21"/>
        </w:rPr>
      </w:pPr>
    </w:p>
    <w:p w:rsidR="00E10347" w:rsidRPr="00E10347" w:rsidRDefault="00467BDB" w:rsidP="00E10347">
      <w:pPr>
        <w:jc w:val="both"/>
        <w:rPr>
          <w:rFonts w:ascii="Palatino Linotype" w:hAnsi="Palatino Linotype" w:cs="Times New Roman"/>
          <w:b/>
          <w:sz w:val="21"/>
          <w:szCs w:val="21"/>
        </w:rPr>
      </w:pPr>
      <w:r>
        <w:rPr>
          <w:rFonts w:ascii="Palatino Linotype" w:hAnsi="Palatino Linotype" w:cs="Times New Roman"/>
          <w:b/>
          <w:sz w:val="21"/>
          <w:szCs w:val="21"/>
        </w:rPr>
        <w:t>9</w:t>
      </w:r>
      <w:r w:rsidR="00E10347" w:rsidRPr="00E10347">
        <w:rPr>
          <w:rFonts w:ascii="Palatino Linotype" w:hAnsi="Palatino Linotype" w:cs="Times New Roman"/>
          <w:b/>
          <w:sz w:val="21"/>
          <w:szCs w:val="21"/>
        </w:rPr>
        <w:t>. Legitimidad o licitud de la prueba en los procesos penales</w:t>
      </w:r>
    </w:p>
    <w:p w:rsidR="00E10347" w:rsidRPr="00E10347" w:rsidRDefault="00E10347" w:rsidP="00E10347">
      <w:pPr>
        <w:ind w:firstLine="567"/>
        <w:jc w:val="both"/>
        <w:rPr>
          <w:rFonts w:ascii="Palatino Linotype" w:hAnsi="Palatino Linotype" w:cs="Times New Roman"/>
          <w:b/>
          <w:sz w:val="21"/>
          <w:szCs w:val="21"/>
        </w:rPr>
      </w:pPr>
      <w:r w:rsidRPr="00E10347">
        <w:rPr>
          <w:rFonts w:ascii="Palatino Linotype" w:hAnsi="Palatino Linotype" w:cs="Times New Roman"/>
          <w:sz w:val="21"/>
          <w:szCs w:val="21"/>
        </w:rPr>
        <w:t>En relación a la prueba dentro del proceso penal, la jurisdicción constitucional se ha referido al tema de la legitimidad de la prueba y ha determinado que ello es un aspecto que forma parte del debido proceso. Al respecto, en la sentencia número 1997-4636 señaló:</w:t>
      </w:r>
    </w:p>
    <w:p w:rsidR="00E10347" w:rsidRPr="00E10347" w:rsidRDefault="00E10347" w:rsidP="00E10347">
      <w:pPr>
        <w:ind w:left="284" w:right="333"/>
        <w:jc w:val="both"/>
        <w:rPr>
          <w:rFonts w:ascii="Palatino Linotype" w:eastAsiaTheme="minorHAnsi" w:hAnsi="Palatino Linotype" w:cs="Times New Roman"/>
          <w:i/>
          <w:iCs/>
          <w:color w:val="000000"/>
          <w:sz w:val="21"/>
          <w:szCs w:val="21"/>
          <w:lang w:val="es-CR"/>
        </w:rPr>
      </w:pPr>
      <w:r w:rsidRPr="00E10347">
        <w:rPr>
          <w:rFonts w:ascii="Palatino Linotype" w:eastAsiaTheme="minorHAnsi" w:hAnsi="Palatino Linotype" w:cs="Times New Roman"/>
          <w:i/>
          <w:iCs/>
          <w:color w:val="000000"/>
          <w:sz w:val="21"/>
          <w:szCs w:val="21"/>
          <w:lang w:val="es-CR"/>
        </w:rPr>
        <w:t xml:space="preserve">“Con relación al principio de legitimidad de la prueba debe realizarse una distinción importante. Conforme señaló esta Sala en la resolución 0556-91 de las catorce horas diez minutos del veinte de marzo de mil novecientos noventa y uno: "Ha de diferenciarse entre la prueba que es ilegítima en sí misma por ser contraria a los principios constitucionales -como es el caso de la confesión por medio de tortura- y la </w:t>
      </w:r>
      <w:r w:rsidRPr="00E10347">
        <w:rPr>
          <w:rFonts w:ascii="Palatino Linotype" w:eastAsiaTheme="minorHAnsi" w:hAnsi="Palatino Linotype" w:cs="Times New Roman"/>
          <w:i/>
          <w:iCs/>
          <w:color w:val="000000"/>
          <w:sz w:val="21"/>
          <w:szCs w:val="21"/>
          <w:lang w:val="es-CR"/>
        </w:rPr>
        <w:lastRenderedPageBreak/>
        <w:t xml:space="preserve">que aún cuando en sí misma considerada es un medio de prueba legítimo -un decomiso practicado por autoridad competente- no reúne los requisitos formales de validez, por ejemplo, la falta de la firma en la respectiva acta de decomiso de uno de los testigos de actuación. En este último caso </w:t>
      </w:r>
      <w:r w:rsidR="002A76CC">
        <w:rPr>
          <w:rFonts w:ascii="Palatino Linotype" w:eastAsiaTheme="minorHAnsi" w:hAnsi="Palatino Linotype" w:cs="Times New Roman"/>
          <w:i/>
          <w:iCs/>
          <w:color w:val="000000"/>
          <w:sz w:val="21"/>
          <w:szCs w:val="21"/>
          <w:lang w:val="es-CR"/>
        </w:rPr>
        <w:t xml:space="preserve">solo </w:t>
      </w:r>
      <w:r w:rsidRPr="00E10347">
        <w:rPr>
          <w:rFonts w:ascii="Palatino Linotype" w:eastAsiaTheme="minorHAnsi" w:hAnsi="Palatino Linotype" w:cs="Times New Roman"/>
          <w:i/>
          <w:iCs/>
          <w:color w:val="000000"/>
          <w:sz w:val="21"/>
          <w:szCs w:val="21"/>
          <w:lang w:val="es-CR"/>
        </w:rPr>
        <w:t xml:space="preserve">habría violación al debido proceso si con ello se causara indefensión al acusado, de lo contrario, seria un aspecto de mera legalidad que debe ser aducido en el momento procesal oportuno. </w:t>
      </w:r>
    </w:p>
    <w:p w:rsidR="00E10347" w:rsidRPr="00E10347" w:rsidRDefault="00E10347" w:rsidP="00E10347">
      <w:pPr>
        <w:ind w:left="284" w:right="333"/>
        <w:jc w:val="both"/>
        <w:rPr>
          <w:rFonts w:ascii="Palatino Linotype" w:eastAsiaTheme="minorHAnsi" w:hAnsi="Palatino Linotype" w:cs="Times New Roman"/>
          <w:i/>
          <w:iCs/>
          <w:color w:val="000000"/>
          <w:sz w:val="21"/>
          <w:szCs w:val="21"/>
          <w:lang w:val="es-CR"/>
        </w:rPr>
      </w:pPr>
      <w:r w:rsidRPr="00E10347">
        <w:rPr>
          <w:rFonts w:ascii="Palatino Linotype" w:eastAsiaTheme="minorHAnsi" w:hAnsi="Palatino Linotype" w:cs="Times New Roman"/>
          <w:i/>
          <w:iCs/>
          <w:color w:val="000000"/>
          <w:sz w:val="21"/>
          <w:szCs w:val="21"/>
          <w:lang w:val="es-CR"/>
        </w:rPr>
        <w:t xml:space="preserve">Con relación al tema de la prueba ilícita por ser contraria a principios constitucionales, este Tribunal ha resuelto: </w:t>
      </w:r>
    </w:p>
    <w:p w:rsidR="00E10347" w:rsidRPr="00E10347" w:rsidRDefault="00E10347" w:rsidP="00E10347">
      <w:pPr>
        <w:ind w:left="284" w:right="333"/>
        <w:jc w:val="both"/>
        <w:rPr>
          <w:rFonts w:ascii="Palatino Linotype" w:eastAsiaTheme="minorHAnsi" w:hAnsi="Palatino Linotype" w:cs="Times New Roman"/>
          <w:i/>
          <w:iCs/>
          <w:color w:val="000000"/>
          <w:sz w:val="21"/>
          <w:szCs w:val="21"/>
          <w:lang w:val="es-CR"/>
        </w:rPr>
      </w:pPr>
      <w:r w:rsidRPr="00E10347">
        <w:rPr>
          <w:rFonts w:ascii="Palatino Linotype" w:eastAsiaTheme="minorHAnsi" w:hAnsi="Palatino Linotype" w:cs="Times New Roman"/>
          <w:i/>
          <w:iCs/>
          <w:color w:val="000000"/>
          <w:sz w:val="21"/>
          <w:szCs w:val="21"/>
          <w:lang w:val="es-CR"/>
        </w:rPr>
        <w:t>Dentro de las diferentes interpretaciones sobre la licitud o no de una prueba, tenemos la teoría de la prueba espuria o de los frutos del árbol envenenado (fruit Of the poissones tree doctrine), que supone que cada vez que un medio probatorio originado en una violación constitucional aporte elementos de culpabilidad para el acusado, es nulo el acto productor de la prueba y todo medio probatorio que de él derive. En ese mismo orden de ideas, nos encontramos con la posición relativa, denominada de la "fuente independiente", según la cual, si la prueba deriva de un acto violatorio de las garantías constitucionales, pero también se origino en otro elemento autónomo recabado durante la investigación y anterior a la violación constitucional, la prueba sigue siendo válida, porque la prueba se desprendió de otro elemento, y no necesariamente del acto violatorio de la Constitución. Esta Sala en el voto 701-91, ya expresó: "...la tesis de la mayoría de la Sala en relación a la validez de la prueba relacionada con prueba ilegítima, puede sintetizarse diciendo que aquella conserva su validez en tanto no tenga como origen la ilegítima", entendiendo entonces que debe estudiarse la cadena causal productora de la prueba, siendo espuria y nula la que provenga exclusivamente de una violación a la Constitución." (Resolución 2529-94 de las quince horas treinta y seis minutos del treinta y uno de mayo de mil novecientos noventa y cuatro).</w:t>
      </w:r>
    </w:p>
    <w:p w:rsidR="00E10347" w:rsidRPr="00E10347" w:rsidRDefault="00E10347" w:rsidP="00E10347">
      <w:pPr>
        <w:ind w:left="284" w:right="333"/>
        <w:jc w:val="both"/>
        <w:rPr>
          <w:rFonts w:ascii="Palatino Linotype" w:eastAsiaTheme="minorHAnsi" w:hAnsi="Palatino Linotype" w:cs="Times New Roman"/>
          <w:i/>
          <w:iCs/>
          <w:color w:val="000000"/>
          <w:sz w:val="21"/>
          <w:szCs w:val="21"/>
          <w:lang w:val="es-CR"/>
        </w:rPr>
      </w:pPr>
      <w:r w:rsidRPr="00E10347">
        <w:rPr>
          <w:rFonts w:ascii="Palatino Linotype" w:eastAsiaTheme="minorHAnsi" w:hAnsi="Palatino Linotype" w:cs="Times New Roman"/>
          <w:i/>
          <w:iCs/>
          <w:color w:val="000000"/>
          <w:sz w:val="21"/>
          <w:szCs w:val="21"/>
          <w:lang w:val="es-CR"/>
        </w:rPr>
        <w:t xml:space="preserve">La Sala consultante deberá entonces, con base en la transcrita jurisprudencia determinar si en el caso concreto existe prueba ilegítima y si la misma es fundamento o no del fallo vertido, limitándose este Tribunal a indicar que la legitimidad de la prueba sí forma parte del debido proceso”. </w:t>
      </w:r>
    </w:p>
    <w:p w:rsidR="00E10347" w:rsidRPr="00E10347" w:rsidRDefault="00E10347" w:rsidP="00E10347">
      <w:pPr>
        <w:ind w:firstLine="708"/>
        <w:jc w:val="both"/>
        <w:rPr>
          <w:rStyle w:val="f11"/>
          <w:rFonts w:ascii="Palatino Linotype" w:eastAsiaTheme="minorHAnsi" w:hAnsi="Palatino Linotype"/>
          <w:i/>
          <w:iCs/>
          <w:sz w:val="21"/>
          <w:szCs w:val="21"/>
          <w:lang w:val="es-CR"/>
        </w:rPr>
      </w:pPr>
      <w:r w:rsidRPr="00E10347">
        <w:rPr>
          <w:rFonts w:ascii="Palatino Linotype" w:eastAsiaTheme="minorHAnsi" w:hAnsi="Palatino Linotype" w:cs="Times New Roman"/>
          <w:iCs/>
          <w:color w:val="000000"/>
          <w:sz w:val="21"/>
          <w:szCs w:val="21"/>
          <w:lang w:val="es-CR"/>
        </w:rPr>
        <w:t>Por otra parte, la jurisprudencia de la Sala Constitucional ha reconocido el principio de amplitud de la prueba como parte integran del debido proceso. En este sentido, en la sentencia 1997 – 3914 determinó:</w:t>
      </w:r>
    </w:p>
    <w:p w:rsidR="00E10347" w:rsidRPr="00E10347" w:rsidRDefault="00E10347" w:rsidP="00E10347">
      <w:pPr>
        <w:ind w:left="284" w:right="333"/>
        <w:jc w:val="both"/>
        <w:rPr>
          <w:rStyle w:val="f11"/>
          <w:rFonts w:ascii="Palatino Linotype" w:hAnsi="Palatino Linotype"/>
          <w:i/>
          <w:sz w:val="21"/>
          <w:szCs w:val="21"/>
        </w:rPr>
      </w:pPr>
      <w:r w:rsidRPr="00E10347">
        <w:rPr>
          <w:rStyle w:val="f11"/>
          <w:rFonts w:ascii="Palatino Linotype" w:hAnsi="Palatino Linotype"/>
          <w:i/>
          <w:sz w:val="21"/>
          <w:szCs w:val="21"/>
        </w:rPr>
        <w:t xml:space="preserve">“(…) el juez no puede denegar prueba que sea vital para la averiguación de la verdad real, sobre todo si es decisiva en punto a la culpabilidad o inocencia del imputado; </w:t>
      </w:r>
      <w:r w:rsidRPr="00E10347">
        <w:rPr>
          <w:rStyle w:val="f11"/>
          <w:rFonts w:ascii="Palatino Linotype" w:hAnsi="Palatino Linotype"/>
          <w:i/>
          <w:sz w:val="21"/>
          <w:szCs w:val="21"/>
        </w:rPr>
        <w:lastRenderedPageBreak/>
        <w:t xml:space="preserve">pero, además, significa que cualquier denegatoria de prueba que haga el juez, debe estar debidamente fundamentada, no puede ser arbitraria. De acuerdo al derecho del imputado a la amplitud probatoria cuya denegación arbitraria conllevaría violación al debido proceso, siempre que la misma sea ofrecida dentro de los parámetros legalmente establecidos para tal fin y para la averiguación de la verdad real de los hechos, es indispensable para ello contar con la prueba suficiente y necesaria para llegar a tal descubrimiento. A la luz de tal perspectiva lo anterior implica para el acusado, su derecho a la amplitud probatoria, sea su posibilidad de aportar al proceso toda la prueba que considere oportuna para el ejercicio de su derecho de defensa, siempre y cuando la misma sea ofrecida dentro de los parámetros legalmente establecidos para tal fin”. </w:t>
      </w:r>
    </w:p>
    <w:p w:rsidR="00E10347" w:rsidRPr="00E10347" w:rsidRDefault="00E10347" w:rsidP="00E10347">
      <w:pPr>
        <w:ind w:firstLine="708"/>
        <w:jc w:val="both"/>
        <w:rPr>
          <w:rFonts w:ascii="Palatino Linotype" w:eastAsiaTheme="minorHAnsi" w:hAnsi="Palatino Linotype" w:cs="Times New Roman"/>
          <w:color w:val="000000"/>
          <w:sz w:val="21"/>
          <w:szCs w:val="21"/>
          <w:lang w:val="es-CR"/>
        </w:rPr>
      </w:pPr>
    </w:p>
    <w:p w:rsidR="00E10347" w:rsidRPr="00E10347" w:rsidRDefault="00E10347" w:rsidP="00E10347">
      <w:pPr>
        <w:ind w:firstLine="425"/>
        <w:jc w:val="both"/>
        <w:rPr>
          <w:rFonts w:ascii="Palatino Linotype" w:eastAsiaTheme="minorHAnsi" w:hAnsi="Palatino Linotype" w:cs="Times New Roman"/>
          <w:color w:val="000000"/>
          <w:sz w:val="21"/>
          <w:szCs w:val="21"/>
          <w:lang w:val="es-CR"/>
        </w:rPr>
      </w:pPr>
      <w:r w:rsidRPr="00E10347">
        <w:rPr>
          <w:rFonts w:ascii="Palatino Linotype" w:hAnsi="Palatino Linotype" w:cs="Times New Roman"/>
          <w:sz w:val="21"/>
          <w:szCs w:val="21"/>
        </w:rPr>
        <w:t xml:space="preserve">En la sentencia número 1998-3297 </w:t>
      </w:r>
      <w:r w:rsidRPr="00E10347">
        <w:rPr>
          <w:rFonts w:ascii="Palatino Linotype" w:eastAsiaTheme="minorHAnsi" w:hAnsi="Palatino Linotype" w:cs="Times New Roman"/>
          <w:color w:val="000000"/>
          <w:sz w:val="21"/>
          <w:szCs w:val="21"/>
          <w:lang w:val="es-CR"/>
        </w:rPr>
        <w:t>se clarificaron los problemas constitucionales relativos al rechazo de la prueba en forma arbitraria, los quebrantos a la sana crítica y al principio de inocencia, entre otros aspectos indicando:</w:t>
      </w:r>
    </w:p>
    <w:p w:rsidR="00E10347" w:rsidRPr="00E10347" w:rsidRDefault="00E10347" w:rsidP="00E10347">
      <w:pPr>
        <w:ind w:left="284" w:right="333"/>
        <w:jc w:val="both"/>
        <w:rPr>
          <w:rFonts w:ascii="Palatino Linotype" w:eastAsiaTheme="minorHAnsi" w:hAnsi="Palatino Linotype" w:cs="Times New Roman"/>
          <w:color w:val="000000"/>
          <w:sz w:val="21"/>
          <w:szCs w:val="21"/>
          <w:lang w:val="es-CR"/>
        </w:rPr>
      </w:pPr>
      <w:r w:rsidRPr="00E10347">
        <w:rPr>
          <w:rFonts w:ascii="Palatino Linotype" w:hAnsi="Palatino Linotype" w:cs="Times New Roman"/>
          <w:b/>
          <w:i/>
          <w:sz w:val="21"/>
          <w:szCs w:val="21"/>
        </w:rPr>
        <w:t>“II.- DE LA LICITUD DE LA PRUEBA.</w:t>
      </w:r>
      <w:r w:rsidRPr="00E10347">
        <w:rPr>
          <w:rFonts w:ascii="Palatino Linotype" w:hAnsi="Palatino Linotype" w:cs="Times New Roman"/>
          <w:i/>
          <w:sz w:val="21"/>
          <w:szCs w:val="21"/>
        </w:rPr>
        <w:t xml:space="preserve"> El principio de legitimidad o licitud de la prueba es un elemento esencial del debido proceso, tema que fue abordado en la sentencia número 1739-92, de las once horas cuarenta y cinco minutos del primero de julio de mil novecientos noventa y dos, en la que se consideró:</w:t>
      </w:r>
    </w:p>
    <w:p w:rsidR="00E10347" w:rsidRPr="00E10347" w:rsidRDefault="00E10347" w:rsidP="00E10347">
      <w:pPr>
        <w:ind w:left="284" w:right="333"/>
        <w:jc w:val="both"/>
        <w:rPr>
          <w:rFonts w:ascii="Palatino Linotype" w:hAnsi="Palatino Linotype" w:cs="Times New Roman"/>
          <w:i/>
          <w:iCs/>
          <w:sz w:val="21"/>
          <w:szCs w:val="21"/>
        </w:rPr>
      </w:pPr>
      <w:r w:rsidRPr="00E10347">
        <w:rPr>
          <w:rFonts w:ascii="Palatino Linotype" w:hAnsi="Palatino Linotype" w:cs="Times New Roman"/>
          <w:i/>
          <w:iCs/>
          <w:sz w:val="21"/>
          <w:szCs w:val="21"/>
        </w:rPr>
        <w:t>"b) El principio de legitimidad de la prueba:</w:t>
      </w:r>
    </w:p>
    <w:p w:rsidR="00E10347" w:rsidRPr="00E10347" w:rsidRDefault="00E10347" w:rsidP="00E10347">
      <w:pPr>
        <w:ind w:left="284" w:right="333"/>
        <w:jc w:val="both"/>
        <w:rPr>
          <w:rFonts w:ascii="Palatino Linotype" w:hAnsi="Palatino Linotype" w:cs="Times New Roman"/>
          <w:i/>
          <w:iCs/>
          <w:sz w:val="21"/>
          <w:szCs w:val="21"/>
        </w:rPr>
      </w:pPr>
      <w:r w:rsidRPr="00E10347">
        <w:rPr>
          <w:rFonts w:ascii="Palatino Linotype" w:hAnsi="Palatino Linotype" w:cs="Times New Roman"/>
          <w:i/>
          <w:iCs/>
          <w:sz w:val="21"/>
          <w:szCs w:val="21"/>
        </w:rPr>
        <w:t xml:space="preserve">Lo último dicho plantea, por cierto, un tema difícil, que aparece en el meollo del caso motivo de esta consulta, a saber, de la prueba ilegítima, su tratamiento formal y su valoración, tema sobre el cual la doctrina y la jurisprudencia penales y constitucionales no alcanzan todavía consenso. Sin embargo, ya esta Sala ha venido adoptando una posición, si no unánime, al menos constante, sobre la base de la supresión hipotética de la prueba espuria, en el sentido de que, amen de negarle todo valor probatorio en sí -sobre lo cual no parecer haber ninguna discusión-, se suprima del proceso, es decir, se suponga que no hubiera existido y, por ende, se invaliden también otras pruebas, no ilegítimas per se, en cuanto que hayan sido obtenidas por su medio. Las diferencias entre la mayoría y la minoría de la Sala han sido más bien de matiz y del grado atribuidos a dicho principio de supresión hipotética, por lo que puede decirse que éste es el criterio respaldado por el valor vincular erga omnes de los precedentes y jurisprudencia de la Jurisdicción Constitucional, ordenado por el artículo 13 de su Ley -en este sentido, ver, por todas, por ejemplo las sentencias Nos. 0802-90, 1298-90, 1345-90, 1417-90, 1855-90, 280-91, 0556-91, 0701-91, 0885-91, </w:t>
      </w:r>
      <w:r w:rsidRPr="00E10347">
        <w:rPr>
          <w:rFonts w:ascii="Palatino Linotype" w:hAnsi="Palatino Linotype" w:cs="Times New Roman"/>
          <w:i/>
          <w:iCs/>
          <w:sz w:val="21"/>
          <w:szCs w:val="21"/>
        </w:rPr>
        <w:lastRenderedPageBreak/>
        <w:t>1409-91 y 1578-91, entre otras muchas-."</w:t>
      </w:r>
    </w:p>
    <w:p w:rsidR="00E10347" w:rsidRPr="00E10347" w:rsidRDefault="00E10347" w:rsidP="00E10347">
      <w:pPr>
        <w:ind w:left="284" w:right="333"/>
        <w:jc w:val="both"/>
        <w:rPr>
          <w:rFonts w:ascii="Palatino Linotype" w:hAnsi="Palatino Linotype" w:cs="Times New Roman"/>
          <w:i/>
          <w:iCs/>
          <w:sz w:val="21"/>
          <w:szCs w:val="21"/>
        </w:rPr>
      </w:pPr>
      <w:r w:rsidRPr="00E10347">
        <w:rPr>
          <w:rFonts w:ascii="Palatino Linotype" w:hAnsi="Palatino Linotype" w:cs="Times New Roman"/>
          <w:i/>
          <w:sz w:val="21"/>
          <w:szCs w:val="21"/>
        </w:rPr>
        <w:t>Asimismo, en sentencia número 1422-94, de las quince horas veinticuatro minutos del veintiuno de marzo de mil novecientos noventa y cuatro, se señaló:</w:t>
      </w:r>
    </w:p>
    <w:p w:rsidR="00E10347" w:rsidRPr="00E10347" w:rsidRDefault="00E10347" w:rsidP="00E10347">
      <w:pPr>
        <w:ind w:left="284" w:right="333"/>
        <w:jc w:val="both"/>
        <w:rPr>
          <w:rFonts w:ascii="Palatino Linotype" w:hAnsi="Palatino Linotype" w:cs="Times New Roman"/>
          <w:i/>
          <w:iCs/>
          <w:sz w:val="21"/>
          <w:szCs w:val="21"/>
        </w:rPr>
      </w:pPr>
      <w:r w:rsidRPr="00E10347">
        <w:rPr>
          <w:rFonts w:ascii="Palatino Linotype" w:hAnsi="Palatino Linotype" w:cs="Times New Roman"/>
          <w:i/>
          <w:iCs/>
          <w:sz w:val="21"/>
          <w:szCs w:val="21"/>
        </w:rPr>
        <w:t>"..., constituye un derecho esencial de todo imputado, el de ser juzgado con base en pruebas legítimamente obtenidas e incorporadas al proceso de conformidad con los requisitos establecidos por la legislación vigente. Lo anterior obliga al juzgador a incorporar al proceso los elementos probatorios, llámense declaraciones testimoniales, confesionales o periciales, dictámenes, intervenciones telefónicas, que hayan sido obtenidos en forma legítima, para que la resolución final se adecue a uno de los contenidos sustanciales del debido proceso, como lo es el derecho del condenado a una sentencia justa. En caso contrario, sea que la prueba no reúna los requisitos legales y se convierta en ilegítima, deberá de abstenerse de valorar la misma."</w:t>
      </w:r>
    </w:p>
    <w:p w:rsidR="00E10347" w:rsidRPr="00E10347" w:rsidRDefault="00E10347" w:rsidP="00E10347">
      <w:pPr>
        <w:ind w:left="284" w:right="333"/>
        <w:jc w:val="both"/>
        <w:rPr>
          <w:rFonts w:ascii="Palatino Linotype" w:hAnsi="Palatino Linotype" w:cs="Times New Roman"/>
          <w:i/>
          <w:sz w:val="21"/>
          <w:szCs w:val="21"/>
        </w:rPr>
      </w:pPr>
      <w:r w:rsidRPr="00E10347">
        <w:rPr>
          <w:rFonts w:ascii="Palatino Linotype" w:hAnsi="Palatino Linotype" w:cs="Times New Roman"/>
          <w:i/>
          <w:sz w:val="21"/>
          <w:szCs w:val="21"/>
        </w:rPr>
        <w:t>Con fundamento en lo anterior, deberá la Sala Consultante determinar si en el caso concreto se da la violación alegada, en tanto se alega que se condenó al recurrente con fundamento en prueba ilegítima.</w:t>
      </w:r>
    </w:p>
    <w:p w:rsidR="00E10347" w:rsidRPr="00E10347" w:rsidRDefault="00E10347" w:rsidP="00E10347">
      <w:pPr>
        <w:ind w:left="284" w:right="333"/>
        <w:jc w:val="both"/>
        <w:rPr>
          <w:rFonts w:ascii="Palatino Linotype" w:hAnsi="Palatino Linotype" w:cs="Times New Roman"/>
          <w:b/>
          <w:i/>
          <w:sz w:val="21"/>
          <w:szCs w:val="21"/>
        </w:rPr>
      </w:pPr>
      <w:r w:rsidRPr="00E10347">
        <w:rPr>
          <w:rFonts w:ascii="Palatino Linotype" w:hAnsi="Palatino Linotype" w:cs="Times New Roman"/>
          <w:b/>
          <w:i/>
          <w:sz w:val="21"/>
          <w:szCs w:val="21"/>
        </w:rPr>
        <w:t>III.- DE LA FUNDAMENTACIÓN DE LA SENTENCIA CONFORME A LAS REGLAS DE LA SANA CRÍTICA RACIONAL.</w:t>
      </w:r>
      <w:r w:rsidRPr="00E10347">
        <w:rPr>
          <w:rFonts w:ascii="Palatino Linotype" w:hAnsi="Palatino Linotype" w:cs="Times New Roman"/>
          <w:i/>
          <w:sz w:val="21"/>
          <w:szCs w:val="21"/>
        </w:rPr>
        <w:t xml:space="preserve"> Señala el recurrente, que en la sentencia se violaron las reglas de la sana crítica racional, por cuanto no se valoraron los testigos que testifican a su favor, por lo que falta coherencia en la sentencia, ya que se le condena con fundamento -exclusivamente- del decir de los policías antidrogas. Este punto, también se ha sido analizado por esta Sala, y al respecto se ha señalado -en forma reiterada- que la falta de fundamentación de las sentencias constituye una grave violación del debido proceso, conforme a los lineamientos dados en la sentencia número 1739-92, de las once horas cuarenta y cinco minutos del primero de julio de mil novecientos noventa y dos, en la que se indicó:</w:t>
      </w:r>
    </w:p>
    <w:p w:rsidR="00E10347" w:rsidRPr="00E10347" w:rsidRDefault="00E10347" w:rsidP="00E10347">
      <w:pPr>
        <w:ind w:left="284" w:right="333"/>
        <w:jc w:val="both"/>
        <w:rPr>
          <w:rFonts w:ascii="Palatino Linotype" w:hAnsi="Palatino Linotype" w:cs="Times New Roman"/>
          <w:i/>
          <w:iCs/>
          <w:sz w:val="21"/>
          <w:szCs w:val="21"/>
        </w:rPr>
      </w:pPr>
      <w:r w:rsidRPr="00E10347">
        <w:rPr>
          <w:rFonts w:ascii="Palatino Linotype" w:hAnsi="Palatino Linotype" w:cs="Times New Roman"/>
          <w:i/>
          <w:iCs/>
          <w:sz w:val="21"/>
          <w:szCs w:val="21"/>
        </w:rPr>
        <w:t>"El debido proceso reclama que su conclusión por sentencia respete al menos ciertos principios constitucionales vinculados a una verdadera administración de justicia; los cuáles pueden sintetizarse así:</w:t>
      </w:r>
    </w:p>
    <w:p w:rsidR="00E10347" w:rsidRPr="00E10347" w:rsidRDefault="00E10347" w:rsidP="00E10347">
      <w:pPr>
        <w:ind w:left="284" w:right="333"/>
        <w:jc w:val="both"/>
        <w:rPr>
          <w:rFonts w:ascii="Palatino Linotype" w:hAnsi="Palatino Linotype" w:cs="Times New Roman"/>
          <w:i/>
          <w:iCs/>
          <w:sz w:val="21"/>
          <w:szCs w:val="21"/>
        </w:rPr>
      </w:pPr>
      <w:r w:rsidRPr="00E10347">
        <w:rPr>
          <w:rFonts w:ascii="Palatino Linotype" w:hAnsi="Palatino Linotype" w:cs="Times New Roman"/>
          <w:i/>
          <w:iCs/>
          <w:sz w:val="21"/>
          <w:szCs w:val="21"/>
        </w:rPr>
        <w:t>a.) ...</w:t>
      </w:r>
    </w:p>
    <w:p w:rsidR="00E10347" w:rsidRPr="00E10347" w:rsidRDefault="00E10347" w:rsidP="00E10347">
      <w:pPr>
        <w:ind w:left="284" w:right="333"/>
        <w:jc w:val="both"/>
        <w:rPr>
          <w:rFonts w:ascii="Palatino Linotype" w:hAnsi="Palatino Linotype" w:cs="Times New Roman"/>
          <w:i/>
          <w:iCs/>
          <w:sz w:val="21"/>
          <w:szCs w:val="21"/>
        </w:rPr>
      </w:pPr>
      <w:r w:rsidRPr="00E10347">
        <w:rPr>
          <w:rFonts w:ascii="Palatino Linotype" w:hAnsi="Palatino Linotype" w:cs="Times New Roman"/>
          <w:i/>
          <w:iCs/>
          <w:sz w:val="21"/>
          <w:szCs w:val="21"/>
        </w:rPr>
        <w:t>b.) Derecho a la congruencia de la sentencia:</w:t>
      </w:r>
    </w:p>
    <w:p w:rsidR="00E10347" w:rsidRPr="00E10347" w:rsidRDefault="00E10347" w:rsidP="00E10347">
      <w:pPr>
        <w:ind w:left="284" w:right="333"/>
        <w:jc w:val="both"/>
        <w:rPr>
          <w:rFonts w:ascii="Palatino Linotype" w:hAnsi="Palatino Linotype" w:cs="Times New Roman"/>
          <w:i/>
          <w:iCs/>
          <w:sz w:val="21"/>
          <w:szCs w:val="21"/>
        </w:rPr>
      </w:pPr>
      <w:r w:rsidRPr="00E10347">
        <w:rPr>
          <w:rFonts w:ascii="Palatino Linotype" w:hAnsi="Palatino Linotype" w:cs="Times New Roman"/>
          <w:i/>
          <w:iCs/>
          <w:sz w:val="21"/>
          <w:szCs w:val="21"/>
        </w:rPr>
        <w:t>Es la correlación entre la acusación, prueba y sentencia, en virtud de que ésta tiene que fundamentarse en los hechos discutidos y pruebas recibidas en el proceso. Una dimensión importante del principio de congruencia es, el de la circunstancia de motivación de la sentencia, señalando y justificando específicamente los medios de convicción en que se sustenta y los que desecha."</w:t>
      </w:r>
    </w:p>
    <w:p w:rsidR="00E10347" w:rsidRPr="00E10347" w:rsidRDefault="00E10347" w:rsidP="00E10347">
      <w:pPr>
        <w:ind w:left="284" w:right="333"/>
        <w:jc w:val="both"/>
        <w:rPr>
          <w:rFonts w:ascii="Palatino Linotype" w:hAnsi="Palatino Linotype" w:cs="Times New Roman"/>
          <w:i/>
          <w:sz w:val="21"/>
          <w:szCs w:val="21"/>
        </w:rPr>
      </w:pPr>
      <w:r w:rsidRPr="00E10347">
        <w:rPr>
          <w:rFonts w:ascii="Palatino Linotype" w:hAnsi="Palatino Linotype" w:cs="Times New Roman"/>
          <w:i/>
          <w:sz w:val="21"/>
          <w:szCs w:val="21"/>
        </w:rPr>
        <w:lastRenderedPageBreak/>
        <w:t>Así, el deber u obligación de fundamentación se refiere al derecho a una sentencia justa, siendo una dimensión importante, su circunstanciada motivación, señalando y justificando específicamente los medios de convicción en que se sustenta y los que se desecha; todo de conformidad con lo dispuesto en el artículo 106 del Código de Procedimientos Penales -vigente al momento de resolverse el asunto-, 142 del nuevo Código Procesal Penal, que dispone:</w:t>
      </w:r>
    </w:p>
    <w:p w:rsidR="00E10347" w:rsidRPr="00E10347" w:rsidRDefault="00E10347" w:rsidP="00E10347">
      <w:pPr>
        <w:ind w:left="284" w:right="333"/>
        <w:jc w:val="both"/>
        <w:rPr>
          <w:rFonts w:ascii="Palatino Linotype" w:hAnsi="Palatino Linotype" w:cs="Times New Roman"/>
          <w:i/>
          <w:iCs/>
          <w:sz w:val="21"/>
          <w:szCs w:val="21"/>
        </w:rPr>
      </w:pPr>
      <w:r w:rsidRPr="00E10347">
        <w:rPr>
          <w:rFonts w:ascii="Palatino Linotype" w:hAnsi="Palatino Linotype" w:cs="Times New Roman"/>
          <w:i/>
          <w:iCs/>
          <w:sz w:val="21"/>
          <w:szCs w:val="21"/>
        </w:rPr>
        <w:t>"Las sentencias y los autos contendrán una fundamentación clara y precisa. En ella se expresarán los razonamientos de hecho y de derecho en que se basan las decisiones, así como la indicación del valor otorgado a los medios de prueba.</w:t>
      </w:r>
    </w:p>
    <w:p w:rsidR="00E10347" w:rsidRPr="00E10347" w:rsidRDefault="00E10347" w:rsidP="00E10347">
      <w:pPr>
        <w:ind w:left="284" w:right="333"/>
        <w:jc w:val="both"/>
        <w:rPr>
          <w:rFonts w:ascii="Palatino Linotype" w:hAnsi="Palatino Linotype" w:cs="Times New Roman"/>
          <w:i/>
          <w:iCs/>
          <w:sz w:val="21"/>
          <w:szCs w:val="21"/>
        </w:rPr>
      </w:pPr>
      <w:r w:rsidRPr="00E10347">
        <w:rPr>
          <w:rFonts w:ascii="Palatino Linotype" w:hAnsi="Palatino Linotype" w:cs="Times New Roman"/>
          <w:i/>
          <w:iCs/>
          <w:sz w:val="21"/>
          <w:szCs w:val="21"/>
        </w:rPr>
        <w:t>La simple relación de las pruebas o la mención de los requerimientos de las partes no reemplazará, en ningún caso, la fundamentación. Será insuficiente cuando se utilicen formularios, afirmaciones dogmáticas, frases rutinarias, la simple descripción de los hechos o la sola mención de los elementos de prueba.</w:t>
      </w:r>
    </w:p>
    <w:p w:rsidR="00E10347" w:rsidRPr="00E10347" w:rsidRDefault="00E10347" w:rsidP="00E10347">
      <w:pPr>
        <w:ind w:left="284" w:right="333"/>
        <w:jc w:val="both"/>
        <w:rPr>
          <w:rFonts w:ascii="Palatino Linotype" w:hAnsi="Palatino Linotype" w:cs="Times New Roman"/>
          <w:i/>
          <w:iCs/>
          <w:sz w:val="21"/>
          <w:szCs w:val="21"/>
        </w:rPr>
      </w:pPr>
      <w:r w:rsidRPr="00E10347">
        <w:rPr>
          <w:rFonts w:ascii="Palatino Linotype" w:hAnsi="Palatino Linotype" w:cs="Times New Roman"/>
          <w:i/>
          <w:iCs/>
          <w:sz w:val="21"/>
          <w:szCs w:val="21"/>
        </w:rPr>
        <w:t>No existe fundamentación cuando se hayan inobservado las reglas de la sana crítica, con respecto a los medios o elementos probatorios de valor decisivo.</w:t>
      </w:r>
    </w:p>
    <w:p w:rsidR="00E10347" w:rsidRPr="00E10347" w:rsidRDefault="00E10347" w:rsidP="00E10347">
      <w:pPr>
        <w:ind w:left="284" w:right="333"/>
        <w:jc w:val="both"/>
        <w:rPr>
          <w:rFonts w:ascii="Palatino Linotype" w:hAnsi="Palatino Linotype" w:cs="Times New Roman"/>
          <w:i/>
          <w:iCs/>
          <w:sz w:val="21"/>
          <w:szCs w:val="21"/>
        </w:rPr>
      </w:pPr>
      <w:r w:rsidRPr="00E10347">
        <w:rPr>
          <w:rFonts w:ascii="Palatino Linotype" w:hAnsi="Palatino Linotype" w:cs="Times New Roman"/>
          <w:i/>
          <w:iCs/>
          <w:sz w:val="21"/>
          <w:szCs w:val="21"/>
        </w:rPr>
        <w:t>Los autos y las sentencias sin fundamentación, serán ineficaces."</w:t>
      </w:r>
    </w:p>
    <w:p w:rsidR="00E10347" w:rsidRPr="00E10347" w:rsidRDefault="00E10347" w:rsidP="00E10347">
      <w:pPr>
        <w:ind w:left="284" w:right="333"/>
        <w:jc w:val="both"/>
        <w:rPr>
          <w:rFonts w:ascii="Palatino Linotype" w:hAnsi="Palatino Linotype" w:cs="Times New Roman"/>
          <w:i/>
          <w:sz w:val="21"/>
          <w:szCs w:val="21"/>
        </w:rPr>
      </w:pPr>
      <w:r w:rsidRPr="00E10347">
        <w:rPr>
          <w:rFonts w:ascii="Palatino Linotype" w:hAnsi="Palatino Linotype" w:cs="Times New Roman"/>
          <w:i/>
          <w:sz w:val="21"/>
          <w:szCs w:val="21"/>
        </w:rPr>
        <w:t>No obstante lo anterior, debe indicarse que también esta Sala ha sentado suficiente jurisprudencia, en la que indica claramente que el juez es el llamado a aplicar las reglas de la sana crítica racional, en cuanto a la valoración de la prueba aportada; correspondiendo a la revisión, la labor de análisis del posible quebranto al debido proceso por falta de una valoración razonable de la prueba.</w:t>
      </w:r>
    </w:p>
    <w:p w:rsidR="00E10347" w:rsidRPr="00E10347" w:rsidRDefault="00E10347" w:rsidP="00E10347">
      <w:pPr>
        <w:ind w:left="284" w:right="333"/>
        <w:jc w:val="both"/>
        <w:rPr>
          <w:rFonts w:ascii="Palatino Linotype" w:hAnsi="Palatino Linotype" w:cs="Times New Roman"/>
          <w:i/>
          <w:sz w:val="21"/>
          <w:szCs w:val="21"/>
        </w:rPr>
      </w:pPr>
      <w:r w:rsidRPr="00E10347">
        <w:rPr>
          <w:rFonts w:ascii="Palatino Linotype" w:hAnsi="Palatino Linotype" w:cs="Times New Roman"/>
          <w:b/>
          <w:i/>
          <w:sz w:val="21"/>
          <w:szCs w:val="21"/>
        </w:rPr>
        <w:t>IV.-DEL RECHAZO ARBITRARIO DE PRUEBA ÚTIL.</w:t>
      </w:r>
      <w:r w:rsidRPr="00E10347">
        <w:rPr>
          <w:rFonts w:ascii="Palatino Linotype" w:hAnsi="Palatino Linotype" w:cs="Times New Roman"/>
          <w:i/>
          <w:sz w:val="21"/>
          <w:szCs w:val="21"/>
        </w:rPr>
        <w:t xml:space="preserve"> En relación con el punto anterior -violación a las reglas de la sana crítica racional-, alega el recurrente que en forma arbitraria se rechazó prueba útil, que demuestra su inocencia. Se ha indicado que un rechazo injustificado de la prueba ofrecida constituye una violación al debido proceso, contenido en el artículo 39 constitucional; por cuanto se parte de que ese principio conlleva la libertad, para que la defensa aporte la prueba que estime necesaria para demostrar la no responsabilidad en el hecho atribuido, con la consiguiente obligación del juez para recibirla. Sin embargo, corresponde al juez valorar la oportunidad de la prueba ofrecida, y </w:t>
      </w:r>
      <w:r w:rsidR="002A76CC">
        <w:rPr>
          <w:rFonts w:ascii="Palatino Linotype" w:hAnsi="Palatino Linotype" w:cs="Times New Roman"/>
          <w:i/>
          <w:sz w:val="21"/>
          <w:szCs w:val="21"/>
        </w:rPr>
        <w:t xml:space="preserve">solo </w:t>
      </w:r>
      <w:r w:rsidRPr="00E10347">
        <w:rPr>
          <w:rFonts w:ascii="Palatino Linotype" w:hAnsi="Palatino Linotype" w:cs="Times New Roman"/>
          <w:i/>
          <w:sz w:val="21"/>
          <w:szCs w:val="21"/>
        </w:rPr>
        <w:t>en el caso de que ésta resulte sobreabundante, impertinente o extemporánea, es que puede rechazarla, mediante una resolución debidamente fundamentada. En lo que respecta a la recepción y evacuación de la prueba, en sentencia número 2408-96, de las quince horas veinticuatro minutos del veintiuno de mayo de mil novecientos noventa y seis se consideró:</w:t>
      </w:r>
    </w:p>
    <w:p w:rsidR="00E10347" w:rsidRPr="00E10347" w:rsidRDefault="00E10347" w:rsidP="00E10347">
      <w:pPr>
        <w:ind w:left="284" w:right="333"/>
        <w:jc w:val="both"/>
        <w:rPr>
          <w:rFonts w:ascii="Palatino Linotype" w:hAnsi="Palatino Linotype" w:cs="Times New Roman"/>
          <w:i/>
          <w:sz w:val="21"/>
          <w:szCs w:val="21"/>
        </w:rPr>
      </w:pPr>
      <w:r w:rsidRPr="00E10347">
        <w:rPr>
          <w:rFonts w:ascii="Palatino Linotype" w:hAnsi="Palatino Linotype" w:cs="Times New Roman"/>
          <w:i/>
          <w:iCs/>
          <w:sz w:val="21"/>
          <w:szCs w:val="21"/>
        </w:rPr>
        <w:lastRenderedPageBreak/>
        <w:t>"No existiría violación al debido proceso si dichas pericias no hubiesen sido pedidas por el acusado o su defensor o si, pedidas por éstos, el Tribunal las rechaza en forma razonada, bien sea, entre otras razones, por existir otros elementos de prueba irrefutables -lo que haría innecesaria su recepción- suficientes para sustentar un juicio de certeza racional sobre la participación del encausado en los hechos que se le atribuyen o sobre su inocencia, o bien, porque la pericia aún cuando se realizara resultaría evidentemente infructuosa por haber variado sustancialmente el objeto sobre el cual se practicaría.</w:t>
      </w:r>
    </w:p>
    <w:p w:rsidR="00E10347" w:rsidRPr="00E10347" w:rsidRDefault="00E10347" w:rsidP="00E10347">
      <w:pPr>
        <w:ind w:left="284" w:right="333"/>
        <w:jc w:val="both"/>
        <w:rPr>
          <w:rFonts w:ascii="Palatino Linotype" w:hAnsi="Palatino Linotype" w:cs="Times New Roman"/>
          <w:i/>
          <w:iCs/>
          <w:sz w:val="21"/>
          <w:szCs w:val="21"/>
        </w:rPr>
      </w:pPr>
      <w:r w:rsidRPr="00E10347">
        <w:rPr>
          <w:rFonts w:ascii="Palatino Linotype" w:hAnsi="Palatino Linotype" w:cs="Times New Roman"/>
          <w:i/>
          <w:iCs/>
          <w:sz w:val="21"/>
          <w:szCs w:val="21"/>
        </w:rPr>
        <w:t>Ahora bien, si tales medios de prueba son ofrecidos por el imputado o su defensor y son rechazados en forma infundada o arbitraria por el Tribunal, aduciendo, por ejemplo, que no fueron ofrecidos oportunamente, cuando si lo fueron, sí se produciría una violación al debido proceso. Sobre este punto, ya la Sala en la sentencia número 3169-93 de las catorce horas cuarenta y cinco minutos del seis de julio del año pasado, afirmó:</w:t>
      </w:r>
    </w:p>
    <w:p w:rsidR="00E10347" w:rsidRPr="00E10347" w:rsidRDefault="00E10347" w:rsidP="00E10347">
      <w:pPr>
        <w:ind w:left="284" w:right="333"/>
        <w:jc w:val="both"/>
        <w:rPr>
          <w:rFonts w:ascii="Palatino Linotype" w:hAnsi="Palatino Linotype" w:cs="Times New Roman"/>
          <w:i/>
          <w:iCs/>
          <w:sz w:val="21"/>
          <w:szCs w:val="21"/>
        </w:rPr>
      </w:pPr>
      <w:r w:rsidRPr="00E10347">
        <w:rPr>
          <w:rFonts w:ascii="Palatino Linotype" w:hAnsi="Palatino Linotype" w:cs="Times New Roman"/>
          <w:i/>
          <w:iCs/>
          <w:sz w:val="21"/>
          <w:szCs w:val="21"/>
        </w:rPr>
        <w:t>«En lo que a la Pericia se refiere, considera este Tribunal que la violación al debido proceso se daría en aquel supuesto en que la parte la solicite y ésta sea rechazada en forma arbitraria. Si no se alegó la nulidad y no se solicitó la pericia, no hay razón para considerar que se ha cometido una infracción al debido proceso constitucional.»</w:t>
      </w:r>
    </w:p>
    <w:p w:rsidR="00E10347" w:rsidRPr="00E10347" w:rsidRDefault="00E10347" w:rsidP="00E10347">
      <w:pPr>
        <w:ind w:left="284" w:right="333"/>
        <w:jc w:val="both"/>
        <w:rPr>
          <w:rFonts w:ascii="Palatino Linotype" w:hAnsi="Palatino Linotype" w:cs="Times New Roman"/>
          <w:i/>
          <w:iCs/>
          <w:sz w:val="21"/>
          <w:szCs w:val="21"/>
        </w:rPr>
      </w:pPr>
      <w:r w:rsidRPr="00E10347">
        <w:rPr>
          <w:rFonts w:ascii="Palatino Linotype" w:hAnsi="Palatino Linotype" w:cs="Times New Roman"/>
          <w:i/>
          <w:iCs/>
          <w:sz w:val="21"/>
          <w:szCs w:val="21"/>
        </w:rPr>
        <w:t>No debe olvidarse que el juez tiene el deber de averiguar la verdad real, de modo que no puede anteponer a ésta obstáculos basados en meros formalismos procesales. Sobre esto ya también la Sala se ha pronunciado en varias oportunidades. Así en la sentencia número 1739-92 de las once horas cuarenta y cinco minutos del primero de julio de mil novecientos noventa y dos, se dijo que entre los principios de regularidad del procedimiento como parte integrante del debido proceso, se encuentra el principio de la amplitud de la prueba, que definió en los siguientes términos:</w:t>
      </w:r>
    </w:p>
    <w:p w:rsidR="00E10347" w:rsidRPr="00E10347" w:rsidRDefault="00E10347" w:rsidP="00E10347">
      <w:pPr>
        <w:ind w:left="284" w:right="333"/>
        <w:jc w:val="both"/>
        <w:rPr>
          <w:rFonts w:ascii="Palatino Linotype" w:hAnsi="Palatino Linotype" w:cs="Times New Roman"/>
          <w:i/>
          <w:iCs/>
          <w:sz w:val="21"/>
          <w:szCs w:val="21"/>
        </w:rPr>
      </w:pPr>
      <w:r w:rsidRPr="00E10347">
        <w:rPr>
          <w:rFonts w:ascii="Palatino Linotype" w:hAnsi="Palatino Linotype" w:cs="Times New Roman"/>
          <w:i/>
          <w:iCs/>
          <w:sz w:val="21"/>
          <w:szCs w:val="21"/>
        </w:rPr>
        <w:t>«Supuesto que la finalidad del procedimiento es ante todo la averiguación real de los hechos, tanto del Ministerio Público como el juez tienen el deber de investigar esa verdad objetiva y diligentemente, sin desdeñar ningún medio legítimo de prueba, sobre todo si ofrecida por la defensa no resulta manifiestamente impertinente, e inclusive ordenando para mejor proveer la que sea necesaria, aún si ofrecida irregular o extemporáneamente. En materia penal todo se puede probar y por cualquier medio legítimo, lo cual implica, desde luego, la prohibición absoluta de valerse de medios probatorios ilegítimos y de darles a éstos, si de hecho los hubiera, ninguna transcendencia, formal o material.»</w:t>
      </w:r>
    </w:p>
    <w:p w:rsidR="00E10347" w:rsidRPr="00E10347" w:rsidRDefault="00E10347" w:rsidP="00E10347">
      <w:pPr>
        <w:ind w:left="284" w:right="333"/>
        <w:jc w:val="both"/>
        <w:rPr>
          <w:rFonts w:ascii="Palatino Linotype" w:hAnsi="Palatino Linotype" w:cs="Times New Roman"/>
          <w:i/>
          <w:iCs/>
          <w:sz w:val="21"/>
          <w:szCs w:val="21"/>
        </w:rPr>
      </w:pPr>
      <w:r w:rsidRPr="00E10347">
        <w:rPr>
          <w:rFonts w:ascii="Palatino Linotype" w:hAnsi="Palatino Linotype" w:cs="Times New Roman"/>
          <w:i/>
          <w:iCs/>
          <w:sz w:val="21"/>
          <w:szCs w:val="21"/>
        </w:rPr>
        <w:t xml:space="preserve">En estos términos, el rechazo de prueba esencial o la omisión de realizarla, constituye </w:t>
      </w:r>
      <w:r w:rsidRPr="00E10347">
        <w:rPr>
          <w:rFonts w:ascii="Palatino Linotype" w:hAnsi="Palatino Linotype" w:cs="Times New Roman"/>
          <w:i/>
          <w:iCs/>
          <w:sz w:val="21"/>
          <w:szCs w:val="21"/>
        </w:rPr>
        <w:lastRenderedPageBreak/>
        <w:t>violación al derecho de defensa, y por ende, del debido proceso.</w:t>
      </w:r>
    </w:p>
    <w:p w:rsidR="00E10347" w:rsidRPr="00E10347" w:rsidRDefault="00E10347" w:rsidP="00E10347">
      <w:pPr>
        <w:ind w:left="284" w:right="333"/>
        <w:jc w:val="both"/>
        <w:rPr>
          <w:rFonts w:ascii="Palatino Linotype" w:hAnsi="Palatino Linotype" w:cs="Times New Roman"/>
          <w:i/>
          <w:iCs/>
          <w:sz w:val="21"/>
          <w:szCs w:val="21"/>
        </w:rPr>
      </w:pPr>
      <w:r w:rsidRPr="00E10347">
        <w:rPr>
          <w:rFonts w:ascii="Palatino Linotype" w:hAnsi="Palatino Linotype" w:cs="Times New Roman"/>
          <w:i/>
          <w:iCs/>
          <w:sz w:val="21"/>
          <w:szCs w:val="21"/>
        </w:rPr>
        <w:t>VII. Asimismo, cabe reiterar que, únicamente se puede prescindir de la prueba que resulte sobreabundante o impertinente; negatoria, que necesariamente debe hacerse mediante una resolución razonada y debidamente fundamentada, a efecto de que la misma no sea arbitraria ni injustificada; por cuanto, un rechazo injustificado de la prueba ofrecida constituye una violación al debido proceso, contenido en el artículo 39 constitucional; ya que ese principio conlleva la libertad, para que la defensa aporte la prueba que estime necesaria para demostrar la no responsabilidad en el hecho atribuido, con la consiguiente obligación del juez para recibirla. La oportunidad de la prueba corresponde valorarla al juez; por lo que a la hora de determinar si existió arbitrariedad en el rechazo de la prueba ofrecida (testimonio de agente policial supuestamente agredido por el recurrente), la Sala Consultante también debe valorar si la misma fue ofrecida en tiempo, si fue aceptada por el Juez y si se realizaron las diligencias necesarias para recibirla, requisitos indispensables para acreditar la violación que se acusa, como se indicó en la sentencia número 0523-93, de las catorce horas dieciocho minutos del tres de febrero de mil novecientos noventa y tres:</w:t>
      </w:r>
    </w:p>
    <w:p w:rsidR="00E10347" w:rsidRPr="00E10347" w:rsidRDefault="00E10347" w:rsidP="00E10347">
      <w:pPr>
        <w:ind w:left="284" w:right="333"/>
        <w:jc w:val="both"/>
        <w:rPr>
          <w:rFonts w:ascii="Palatino Linotype" w:hAnsi="Palatino Linotype" w:cs="Times New Roman"/>
          <w:i/>
          <w:sz w:val="21"/>
          <w:szCs w:val="21"/>
        </w:rPr>
      </w:pPr>
      <w:r w:rsidRPr="00E10347">
        <w:rPr>
          <w:rFonts w:ascii="Palatino Linotype" w:hAnsi="Palatino Linotype" w:cs="Times New Roman"/>
          <w:i/>
          <w:iCs/>
          <w:sz w:val="21"/>
          <w:szCs w:val="21"/>
        </w:rPr>
        <w:t>«Si no fue ofrecida oportunamente, o al no ser aceptada el oferente no reprocha el rechazo o no obstante que se realizó la diligencia necesaria para recibirla, ello no se logra por circunstancias no atribuibles al juzgador, ninguna afectación se produce al debido proceso, pero estas son circunstancias que, quedó señalado en el considerando anterior, corresponde fijarlas a la Sala Tercera al conocer el fondo de la cuestión planteada.»</w:t>
      </w:r>
      <w:r w:rsidRPr="00E10347">
        <w:rPr>
          <w:rFonts w:ascii="Palatino Linotype" w:hAnsi="Palatino Linotype" w:cs="Times New Roman"/>
          <w:i/>
          <w:sz w:val="21"/>
          <w:szCs w:val="21"/>
        </w:rPr>
        <w:t>"</w:t>
      </w:r>
    </w:p>
    <w:p w:rsidR="00E10347" w:rsidRPr="00E10347" w:rsidRDefault="00E10347" w:rsidP="00E10347">
      <w:pPr>
        <w:ind w:left="284" w:right="333"/>
        <w:jc w:val="both"/>
        <w:rPr>
          <w:rFonts w:ascii="Palatino Linotype" w:hAnsi="Palatino Linotype" w:cs="Times New Roman"/>
          <w:i/>
          <w:iCs/>
          <w:sz w:val="21"/>
          <w:szCs w:val="21"/>
        </w:rPr>
      </w:pPr>
      <w:r w:rsidRPr="00E10347">
        <w:rPr>
          <w:rFonts w:ascii="Palatino Linotype" w:hAnsi="Palatino Linotype" w:cs="Times New Roman"/>
          <w:b/>
          <w:i/>
          <w:sz w:val="21"/>
          <w:szCs w:val="21"/>
        </w:rPr>
        <w:t>V. DE LOS PRINCIPIOS DE LA DEMOSTRACIÓN DE CULPABILIDAD Y PRESUNCIÓN DE INOCENCIA.</w:t>
      </w:r>
      <w:r w:rsidRPr="00E10347">
        <w:rPr>
          <w:rFonts w:ascii="Palatino Linotype" w:hAnsi="Palatino Linotype" w:cs="Times New Roman"/>
          <w:i/>
          <w:sz w:val="21"/>
          <w:szCs w:val="21"/>
        </w:rPr>
        <w:t xml:space="preserve"> Asimismo, se alega que en la sentencia recurrida se violaron los principios de demostración de culpabilidad y presunción de inocencia, por cuanto se le condenó únicamente por el decir de los agentes antidrogas, sin que exista ninguna prueba contundente en su contra que lo ligue al tráfico de droga. Como lo ha señalado en reiteradas ocasiones esta Sala, de la legislación procesal penal (artículo 142 del Código Procesal Penal, antes artículo 106 del Código de Procedimientos Penales) se deriva el deber de fundamentar todas las resoluciones dictadas por las autoridades jurisdiccionales. En este orden de ideas, la necesaria demostración de culpabilidad implica, necesariamente, que de los elementos de prueba existentes, se concluya inexorablemente la responsabilidad del imputado en relación con el ilícito que se investiga; caso contrario, se violan los principios constitucionales de "</w:t>
      </w:r>
      <w:r w:rsidRPr="00E10347">
        <w:rPr>
          <w:rFonts w:ascii="Palatino Linotype" w:hAnsi="Palatino Linotype" w:cs="Times New Roman"/>
          <w:i/>
          <w:iCs/>
          <w:sz w:val="21"/>
          <w:szCs w:val="21"/>
        </w:rPr>
        <w:t>indubio pro reo</w:t>
      </w:r>
      <w:r w:rsidRPr="00E10347">
        <w:rPr>
          <w:rFonts w:ascii="Palatino Linotype" w:hAnsi="Palatino Linotype" w:cs="Times New Roman"/>
          <w:i/>
          <w:sz w:val="21"/>
          <w:szCs w:val="21"/>
        </w:rPr>
        <w:t>" y de presunción de inocencia”.</w:t>
      </w:r>
    </w:p>
    <w:p w:rsidR="00E10347" w:rsidRPr="00E10347" w:rsidRDefault="00E10347" w:rsidP="00E10347">
      <w:pPr>
        <w:ind w:left="284"/>
        <w:jc w:val="both"/>
        <w:rPr>
          <w:rFonts w:ascii="Palatino Linotype" w:hAnsi="Palatino Linotype" w:cs="Times New Roman"/>
          <w:iCs/>
          <w:sz w:val="21"/>
          <w:szCs w:val="21"/>
        </w:rPr>
      </w:pPr>
    </w:p>
    <w:p w:rsidR="00E10347" w:rsidRPr="00E10347" w:rsidRDefault="00E10347" w:rsidP="00E10347">
      <w:pPr>
        <w:ind w:firstLine="426"/>
        <w:jc w:val="both"/>
        <w:rPr>
          <w:rFonts w:ascii="Palatino Linotype" w:hAnsi="Palatino Linotype" w:cs="Times New Roman"/>
          <w:sz w:val="21"/>
          <w:szCs w:val="21"/>
        </w:rPr>
      </w:pPr>
      <w:r w:rsidRPr="00E10347">
        <w:rPr>
          <w:rFonts w:ascii="Palatino Linotype" w:eastAsiaTheme="minorHAnsi" w:hAnsi="Palatino Linotype" w:cs="Times New Roman"/>
          <w:bCs/>
          <w:iCs/>
          <w:color w:val="000000"/>
          <w:sz w:val="21"/>
          <w:szCs w:val="21"/>
          <w:lang w:val="es-CR"/>
        </w:rPr>
        <w:t xml:space="preserve">Con fundamento en lo anterior, aspectos como </w:t>
      </w:r>
      <w:r w:rsidRPr="00E10347">
        <w:rPr>
          <w:rFonts w:ascii="Palatino Linotype" w:eastAsiaTheme="minorHAnsi" w:hAnsi="Palatino Linotype" w:cs="Times New Roman"/>
          <w:color w:val="000000"/>
          <w:sz w:val="21"/>
          <w:szCs w:val="21"/>
          <w:lang w:val="es-CR"/>
        </w:rPr>
        <w:t xml:space="preserve">la legitimidad o licitud de la prueba, la fundamentación de la sentencia conforme a las reglas de la sana crítica racional, la demostración de culpabilidad y la presunción de inocencia constituyen elementos integrantes del debido proceso. </w:t>
      </w:r>
    </w:p>
    <w:p w:rsidR="00E10347" w:rsidRPr="00E10347" w:rsidRDefault="00E10347" w:rsidP="00E10347">
      <w:pPr>
        <w:jc w:val="both"/>
        <w:rPr>
          <w:rFonts w:ascii="Palatino Linotype" w:hAnsi="Palatino Linotype" w:cs="Times New Roman"/>
          <w:sz w:val="21"/>
          <w:szCs w:val="21"/>
        </w:rPr>
      </w:pPr>
    </w:p>
    <w:p w:rsidR="00E10347" w:rsidRPr="00E10347" w:rsidRDefault="00DD5619" w:rsidP="00E10347">
      <w:pPr>
        <w:jc w:val="both"/>
        <w:rPr>
          <w:rFonts w:ascii="Palatino Linotype" w:hAnsi="Palatino Linotype" w:cs="Times New Roman"/>
          <w:b/>
          <w:sz w:val="21"/>
          <w:szCs w:val="21"/>
        </w:rPr>
      </w:pPr>
      <w:r>
        <w:rPr>
          <w:rFonts w:ascii="Palatino Linotype" w:hAnsi="Palatino Linotype" w:cs="Times New Roman"/>
          <w:b/>
          <w:sz w:val="21"/>
          <w:szCs w:val="21"/>
        </w:rPr>
        <w:t>10</w:t>
      </w:r>
      <w:r w:rsidR="00E10347" w:rsidRPr="00E10347">
        <w:rPr>
          <w:rFonts w:ascii="Palatino Linotype" w:hAnsi="Palatino Linotype" w:cs="Times New Roman"/>
          <w:b/>
          <w:sz w:val="21"/>
          <w:szCs w:val="21"/>
        </w:rPr>
        <w:t xml:space="preserve">. Conclusiones </w:t>
      </w:r>
    </w:p>
    <w:p w:rsidR="00E10347" w:rsidRPr="00E10347" w:rsidRDefault="00E10347" w:rsidP="00E10347">
      <w:pPr>
        <w:ind w:firstLine="708"/>
        <w:jc w:val="both"/>
        <w:rPr>
          <w:rFonts w:ascii="Palatino Linotype" w:hAnsi="Palatino Linotype"/>
          <w:sz w:val="21"/>
          <w:szCs w:val="21"/>
        </w:rPr>
      </w:pPr>
      <w:r w:rsidRPr="00E10347">
        <w:rPr>
          <w:rFonts w:ascii="Palatino Linotype" w:hAnsi="Palatino Linotype"/>
          <w:sz w:val="21"/>
          <w:szCs w:val="21"/>
        </w:rPr>
        <w:t>El presente estudio analizó el tema de la prueba desde la perspectiva del derecho constitucional, en particular, en los recursos de amparo contra órganos o servidores públicos, en los recursos de hábeas corpus y en el control de constitucionalidad de las leyes.</w:t>
      </w:r>
    </w:p>
    <w:p w:rsidR="00E10347" w:rsidRPr="00E10347" w:rsidRDefault="00E10347" w:rsidP="00DD5619">
      <w:pPr>
        <w:ind w:firstLine="708"/>
        <w:jc w:val="both"/>
        <w:rPr>
          <w:rFonts w:ascii="Palatino Linotype" w:hAnsi="Palatino Linotype"/>
          <w:sz w:val="21"/>
          <w:szCs w:val="21"/>
        </w:rPr>
      </w:pPr>
      <w:r w:rsidRPr="00E10347">
        <w:rPr>
          <w:rFonts w:ascii="Palatino Linotype" w:hAnsi="Palatino Linotype"/>
          <w:sz w:val="21"/>
          <w:szCs w:val="21"/>
        </w:rPr>
        <w:t>Al respecto por</w:t>
      </w:r>
      <w:r w:rsidRPr="00E10347">
        <w:rPr>
          <w:rFonts w:ascii="Palatino Linotype" w:hAnsi="Palatino Linotype" w:cs="Times New Roman"/>
          <w:sz w:val="21"/>
          <w:szCs w:val="21"/>
          <w:lang w:val="es-CR"/>
        </w:rPr>
        <w:t xml:space="preserve"> la importancia de los procesos constitucionales y la informalidad de los mismos, rige el principio de la prueba libre de manera que la Sala Constitucional forma libremente su convicción sobre los hechos probados, según las reglas de la sana critica</w:t>
      </w:r>
      <w:r w:rsidRPr="00E10347">
        <w:rPr>
          <w:rStyle w:val="Refdenotaalpie"/>
          <w:rFonts w:ascii="Palatino Linotype" w:hAnsi="Palatino Linotype" w:cs="Times New Roman"/>
          <w:sz w:val="21"/>
          <w:szCs w:val="21"/>
          <w:lang w:val="es-CR"/>
        </w:rPr>
        <w:footnoteReference w:id="467"/>
      </w:r>
      <w:r w:rsidRPr="00E10347">
        <w:rPr>
          <w:rFonts w:ascii="Palatino Linotype" w:hAnsi="Palatino Linotype" w:cs="Times New Roman"/>
          <w:sz w:val="21"/>
          <w:szCs w:val="21"/>
          <w:lang w:val="es-CR"/>
        </w:rPr>
        <w:t>.</w:t>
      </w:r>
      <w:r w:rsidRPr="00E10347">
        <w:rPr>
          <w:rFonts w:ascii="Palatino Linotype" w:hAnsi="Palatino Linotype"/>
          <w:sz w:val="21"/>
          <w:szCs w:val="21"/>
        </w:rPr>
        <w:t xml:space="preserve"> Así, </w:t>
      </w:r>
      <w:r w:rsidRPr="00E10347">
        <w:rPr>
          <w:rFonts w:ascii="Palatino Linotype" w:hAnsi="Palatino Linotype" w:cs="Times New Roman"/>
          <w:sz w:val="21"/>
          <w:szCs w:val="21"/>
        </w:rPr>
        <w:t>en los procesos constitucionales la función de la prueba no tiene la misma trascendencia que en el derecho administrativo, civil, laboral, penal y tributario, etc. Ello en virtud de la misma naturaleza, objeto y finalidad de éste tipo de procesos, en donde incluso no existe un etapa probatoria en sentido estricto en la que se lleve una audiencia para evacuar las pruebas aportadas por las partes al proceso. Nótese que la jurisdicción constitucional, en reiterados pronunciamientos ha precisado que cuando se trata de asuntos que requieren evacuar abundantes elementos de convicción, la vía idónea para conocer del asunto no es la del proceso de amparo, sino un proceso jurisdiccional ordinario pleno que es la adecuada para ofrecer, aportar y producir abundantes medios de prueba.</w:t>
      </w:r>
    </w:p>
    <w:p w:rsidR="00E10347" w:rsidRPr="00E10347" w:rsidRDefault="00E10347" w:rsidP="00E10347">
      <w:pPr>
        <w:ind w:firstLine="708"/>
        <w:jc w:val="both"/>
        <w:rPr>
          <w:rFonts w:ascii="Palatino Linotype" w:hAnsi="Palatino Linotype"/>
          <w:sz w:val="21"/>
          <w:szCs w:val="21"/>
        </w:rPr>
      </w:pPr>
      <w:r w:rsidRPr="00E10347">
        <w:rPr>
          <w:rFonts w:ascii="Palatino Linotype" w:hAnsi="Palatino Linotype" w:cs="Times New Roman"/>
          <w:sz w:val="21"/>
          <w:szCs w:val="21"/>
        </w:rPr>
        <w:t>En la Ley de la Jurisdicción Constitucional no existe una regulación expresa que determine que los recurrentes tienen la carga de la prueba en los procesos constitucionales, sino que ha sido una obligación que ha sido reconocida vía jurisprudencial. Al respecto, la Sala Constitucional ha determinado que en relación a los recursos interpuestos por personas privadas de libertad que</w:t>
      </w:r>
      <w:r w:rsidRPr="00E10347">
        <w:rPr>
          <w:rFonts w:ascii="Palatino Linotype" w:hAnsi="Palatino Linotype" w:cs="Times New Roman"/>
          <w:i/>
          <w:sz w:val="21"/>
          <w:szCs w:val="21"/>
        </w:rPr>
        <w:t xml:space="preserve"> “la regla según la cual corresponde al accionante probar todos los hechos en que fundamenta su acción de amparo, debe aplicarse de manera flexible porque en la situación de vulnerabilidad en que se encuentra, éste </w:t>
      </w:r>
      <w:r w:rsidR="002A76CC">
        <w:rPr>
          <w:rFonts w:ascii="Palatino Linotype" w:hAnsi="Palatino Linotype" w:cs="Times New Roman"/>
          <w:i/>
          <w:sz w:val="21"/>
          <w:szCs w:val="21"/>
        </w:rPr>
        <w:t xml:space="preserve">solo </w:t>
      </w:r>
      <w:r w:rsidRPr="00E10347">
        <w:rPr>
          <w:rFonts w:ascii="Palatino Linotype" w:hAnsi="Palatino Linotype" w:cs="Times New Roman"/>
          <w:i/>
          <w:sz w:val="21"/>
          <w:szCs w:val="21"/>
        </w:rPr>
        <w:t xml:space="preserve">debe probar aquellos hechos que le sea posible demostrar desde su </w:t>
      </w:r>
      <w:r w:rsidRPr="00E10347">
        <w:rPr>
          <w:rFonts w:ascii="Palatino Linotype" w:hAnsi="Palatino Linotype" w:cs="Times New Roman"/>
          <w:i/>
          <w:sz w:val="21"/>
          <w:szCs w:val="21"/>
        </w:rPr>
        <w:lastRenderedPageBreak/>
        <w:t>situación particular”</w:t>
      </w:r>
      <w:r w:rsidRPr="00E10347">
        <w:rPr>
          <w:rStyle w:val="Refdenotaalpie"/>
          <w:rFonts w:ascii="Palatino Linotype" w:hAnsi="Palatino Linotype" w:cs="Times New Roman"/>
          <w:i/>
          <w:sz w:val="21"/>
          <w:szCs w:val="21"/>
        </w:rPr>
        <w:footnoteReference w:id="468"/>
      </w:r>
      <w:r w:rsidRPr="00E10347">
        <w:rPr>
          <w:rFonts w:ascii="Palatino Linotype" w:hAnsi="Palatino Linotype" w:cs="Times New Roman"/>
          <w:i/>
          <w:sz w:val="21"/>
          <w:szCs w:val="21"/>
        </w:rPr>
        <w:t xml:space="preserve">. </w:t>
      </w:r>
      <w:r w:rsidRPr="00E10347">
        <w:rPr>
          <w:rFonts w:ascii="Palatino Linotype" w:hAnsi="Palatino Linotype" w:cs="Times New Roman"/>
          <w:sz w:val="21"/>
          <w:szCs w:val="21"/>
        </w:rPr>
        <w:t>Con fundamento en lo anterior podemos afirmar que en los recursos de amparo contra órganos públicos y hábeas corpus, es la parte recurrente quién tiene la carga de la prueba en un primer momento sobre todo como forma de reforzar los hechos denunciados y en aquellos supuestos donde solicita el dictado de una medida cautelar, además de que los informes son rendidos bajo la fe de juramentos por las autoridades recurridas. Ello tiene excepciones pues en algunos supuestos la carga de la prueba se invierte y es una obligación de la autoridad recurrida, como por ejemplo a) en aquellos casos en donde se instaura un procedimiento administrativo en contra de un funcionario público por el ejercicio de la libertad de expresión; b)</w:t>
      </w:r>
      <w:r w:rsidRPr="00E10347">
        <w:rPr>
          <w:rFonts w:ascii="Palatino Linotype" w:hAnsi="Palatino Linotype" w:cs="Times New Roman"/>
          <w:b/>
          <w:bCs/>
          <w:i/>
          <w:sz w:val="21"/>
          <w:szCs w:val="21"/>
        </w:rPr>
        <w:t xml:space="preserve"> </w:t>
      </w:r>
      <w:r w:rsidRPr="00E10347">
        <w:rPr>
          <w:rFonts w:ascii="Palatino Linotype" w:hAnsi="Palatino Linotype" w:cs="Times New Roman"/>
          <w:bCs/>
          <w:sz w:val="21"/>
          <w:szCs w:val="21"/>
        </w:rPr>
        <w:t xml:space="preserve">En casos de maltrato, tortura de personas bajo custodia estatal. c) Caso de grupos vulnerables. Además en las acciones de inconstitucional el recurrente tiene la carga de la prueba en los siguientes supuestos: </w:t>
      </w:r>
      <w:r w:rsidRPr="00E10347">
        <w:rPr>
          <w:rFonts w:ascii="Palatino Linotype" w:hAnsi="Palatino Linotype" w:cs="Times New Roman"/>
          <w:sz w:val="21"/>
          <w:szCs w:val="21"/>
        </w:rPr>
        <w:t>1) cuando se alega la violación del principio de igualdad; 2) Cuando se argumenta la violación del principio de razonabilidad; 3) en las hipótesis en que se invoca una costumbre constitucional como integrante del parámetro de constitucionalidad y 4) cuando se platea acciones de inconstitucionalidad por interpretación errónea de normas sub-constitucionales</w:t>
      </w:r>
      <w:r w:rsidRPr="00E10347">
        <w:rPr>
          <w:rStyle w:val="Refdenotaalpie"/>
          <w:rFonts w:ascii="Palatino Linotype" w:hAnsi="Palatino Linotype" w:cs="Times New Roman"/>
          <w:sz w:val="21"/>
          <w:szCs w:val="21"/>
        </w:rPr>
        <w:footnoteReference w:id="469"/>
      </w:r>
      <w:r w:rsidRPr="00E10347">
        <w:rPr>
          <w:rFonts w:ascii="Palatino Linotype" w:hAnsi="Palatino Linotype" w:cs="Times New Roman"/>
          <w:sz w:val="21"/>
          <w:szCs w:val="21"/>
        </w:rPr>
        <w:t>.</w:t>
      </w:r>
    </w:p>
    <w:p w:rsidR="00E10347" w:rsidRPr="00E10347" w:rsidRDefault="00E10347" w:rsidP="00E10347">
      <w:pPr>
        <w:ind w:firstLine="708"/>
        <w:jc w:val="both"/>
        <w:rPr>
          <w:rFonts w:ascii="Palatino Linotype" w:hAnsi="Palatino Linotype"/>
          <w:sz w:val="21"/>
          <w:szCs w:val="21"/>
        </w:rPr>
      </w:pPr>
      <w:r w:rsidRPr="00E10347">
        <w:rPr>
          <w:rFonts w:ascii="Palatino Linotype" w:hAnsi="Palatino Linotype" w:cs="Times New Roman"/>
          <w:sz w:val="21"/>
          <w:szCs w:val="21"/>
        </w:rPr>
        <w:t xml:space="preserve">Por otra parte, la Sala Constitucional ha determinado que no es una instancia más en el proceso penal, y no le corresponde entrar a fiscalizar las interpretaciones de la Ley o la apreciación que las autoridades jurisdiccionales penales hagan del acervo probatorio del que dispongan, salvo ciertos casos muy calificados.  Por lo tanto, cuando se cuestiona la prisión preventiva decretada contra una persona en esta sede, lo que es objeto de verificación, en principio, es que en la resolución que decrete una medida que restrinja la libertad de una persona, se expongan en forma explícita las razones, normas y elementos de prueba que fundamentan la decisión. </w:t>
      </w:r>
    </w:p>
    <w:p w:rsidR="00E10347" w:rsidRPr="00E10347" w:rsidRDefault="00E10347" w:rsidP="00E10347">
      <w:pPr>
        <w:ind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El juez constitucional tiene amplios poderes para ordenar medidas de instrucción en las tramitación de un proceso constitucional. </w:t>
      </w:r>
      <w:r w:rsidRPr="00E10347">
        <w:rPr>
          <w:rFonts w:ascii="Palatino Linotype" w:hAnsi="Palatino Linotype" w:cs="Times New Roman"/>
          <w:sz w:val="21"/>
          <w:szCs w:val="21"/>
          <w:lang w:val="es-CR"/>
        </w:rPr>
        <w:t>La Sala puede ordenar cualquier medio de prueba de los admitidos en derecho, lo que quiere decir que se puede utilizar todo elemento probatorio que le sirva para converserse de la existencia o inexitencia de un hecho determinado.</w:t>
      </w:r>
      <w:r w:rsidRPr="00E10347">
        <w:rPr>
          <w:rFonts w:ascii="Palatino Linotype" w:hAnsi="Palatino Linotype" w:cs="Times New Roman"/>
          <w:sz w:val="21"/>
          <w:szCs w:val="21"/>
        </w:rPr>
        <w:t xml:space="preserve"> En tal sentido, el Magistrado instructor puede ordenar que se recaben datos, informaciones, documentos, la realización de una vista para escuchar los argumentos y pruebas presentadas por </w:t>
      </w:r>
      <w:r w:rsidRPr="00E10347">
        <w:rPr>
          <w:rFonts w:ascii="Palatino Linotype" w:hAnsi="Palatino Linotype" w:cs="Times New Roman"/>
          <w:sz w:val="21"/>
          <w:szCs w:val="21"/>
        </w:rPr>
        <w:lastRenderedPageBreak/>
        <w:t xml:space="preserve">las partes, así como efectuar inspecciones in situ. Por último, en relación a la prueba dentro del proceso penal, la jurisdicción constitucional se ha referido al tema de la legitimidad o licitud de la prueba y ha determinado que </w:t>
      </w:r>
      <w:r w:rsidRPr="00E10347">
        <w:rPr>
          <w:rFonts w:ascii="Palatino Linotype" w:eastAsiaTheme="minorHAnsi" w:hAnsi="Palatino Linotype" w:cs="Times New Roman"/>
          <w:iCs/>
          <w:color w:val="000000"/>
          <w:sz w:val="21"/>
          <w:szCs w:val="21"/>
          <w:lang w:val="es-CR"/>
        </w:rPr>
        <w:t>el principio de amplitud de la prueba</w:t>
      </w:r>
      <w:r w:rsidRPr="00E10347">
        <w:rPr>
          <w:rFonts w:ascii="Palatino Linotype" w:hAnsi="Palatino Linotype" w:cs="Times New Roman"/>
          <w:sz w:val="21"/>
          <w:szCs w:val="21"/>
        </w:rPr>
        <w:t xml:space="preserve">, </w:t>
      </w:r>
      <w:r w:rsidRPr="00E10347">
        <w:rPr>
          <w:rFonts w:ascii="Palatino Linotype" w:eastAsiaTheme="minorHAnsi" w:hAnsi="Palatino Linotype" w:cs="Times New Roman"/>
          <w:color w:val="000000"/>
          <w:sz w:val="21"/>
          <w:szCs w:val="21"/>
          <w:lang w:val="es-CR"/>
        </w:rPr>
        <w:t>la licitud de la prueba, la fundamentación de la sentencia conforme a las reglas de la sana crítica racional, la demostración de culpabilidad y la presunción de inocencia constituyen elementos integrantes del debido proceso en sede penal.</w:t>
      </w:r>
    </w:p>
    <w:p w:rsidR="00E10347" w:rsidRPr="00E10347" w:rsidRDefault="00E10347" w:rsidP="00E10347">
      <w:pPr>
        <w:ind w:firstLine="708"/>
        <w:jc w:val="both"/>
        <w:rPr>
          <w:rFonts w:ascii="Palatino Linotype" w:hAnsi="Palatino Linotype" w:cs="Times New Roman"/>
          <w:sz w:val="21"/>
          <w:szCs w:val="21"/>
        </w:rPr>
      </w:pPr>
    </w:p>
    <w:p w:rsidR="00E10347" w:rsidRPr="00E10347" w:rsidRDefault="00DD5619" w:rsidP="00E10347">
      <w:pPr>
        <w:jc w:val="both"/>
        <w:rPr>
          <w:rFonts w:ascii="Palatino Linotype" w:hAnsi="Palatino Linotype" w:cs="Times New Roman"/>
          <w:b/>
          <w:sz w:val="21"/>
          <w:szCs w:val="21"/>
        </w:rPr>
      </w:pPr>
      <w:r>
        <w:rPr>
          <w:rFonts w:ascii="Palatino Linotype" w:hAnsi="Palatino Linotype" w:cs="Times New Roman"/>
          <w:b/>
          <w:sz w:val="21"/>
          <w:szCs w:val="21"/>
        </w:rPr>
        <w:t>11</w:t>
      </w:r>
      <w:r w:rsidR="00E10347" w:rsidRPr="00E10347">
        <w:rPr>
          <w:rFonts w:ascii="Palatino Linotype" w:hAnsi="Palatino Linotype" w:cs="Times New Roman"/>
          <w:b/>
          <w:sz w:val="21"/>
          <w:szCs w:val="21"/>
        </w:rPr>
        <w:t>. Bibliografía</w:t>
      </w:r>
    </w:p>
    <w:p w:rsidR="00E10347" w:rsidRPr="00E10347" w:rsidRDefault="00E10347" w:rsidP="00E10347">
      <w:pPr>
        <w:jc w:val="both"/>
        <w:rPr>
          <w:rFonts w:ascii="Palatino Linotype" w:hAnsi="Palatino Linotype" w:cs="Times New Roman"/>
          <w:sz w:val="21"/>
          <w:szCs w:val="21"/>
        </w:rPr>
      </w:pPr>
      <w:r w:rsidRPr="00E10347">
        <w:rPr>
          <w:rFonts w:ascii="Palatino Linotype" w:hAnsi="Palatino Linotype" w:cs="Times New Roman"/>
          <w:sz w:val="21"/>
          <w:szCs w:val="21"/>
        </w:rPr>
        <w:t xml:space="preserve">CARNELUTTI Francesco. </w:t>
      </w:r>
      <w:r w:rsidRPr="00E10347">
        <w:rPr>
          <w:rFonts w:ascii="Palatino Linotype" w:hAnsi="Palatino Linotype" w:cs="Times New Roman"/>
          <w:i/>
          <w:sz w:val="21"/>
          <w:szCs w:val="21"/>
        </w:rPr>
        <w:t>La prova civile</w:t>
      </w:r>
      <w:r w:rsidRPr="00E10347">
        <w:rPr>
          <w:rFonts w:ascii="Palatino Linotype" w:hAnsi="Palatino Linotype" w:cs="Times New Roman"/>
          <w:sz w:val="21"/>
          <w:szCs w:val="21"/>
        </w:rPr>
        <w:t xml:space="preserve">. Ed. Giuffrè, Italia, 1992. </w:t>
      </w:r>
    </w:p>
    <w:p w:rsidR="00E10347" w:rsidRPr="00E10347" w:rsidRDefault="00E10347" w:rsidP="00E10347">
      <w:pPr>
        <w:jc w:val="both"/>
        <w:rPr>
          <w:rFonts w:ascii="Palatino Linotype" w:eastAsiaTheme="minorHAnsi" w:hAnsi="Palatino Linotype" w:cs="Times New Roman"/>
          <w:sz w:val="21"/>
          <w:szCs w:val="21"/>
          <w:lang w:val="es-CR"/>
        </w:rPr>
      </w:pPr>
      <w:r w:rsidRPr="00E10347">
        <w:rPr>
          <w:rFonts w:ascii="Palatino Linotype" w:hAnsi="Palatino Linotype" w:cs="Times New Roman"/>
          <w:sz w:val="21"/>
          <w:szCs w:val="21"/>
        </w:rPr>
        <w:t xml:space="preserve">CONTE Mario. </w:t>
      </w:r>
      <w:r w:rsidRPr="00E10347">
        <w:rPr>
          <w:rFonts w:ascii="Palatino Linotype" w:hAnsi="Palatino Linotype" w:cs="Times New Roman"/>
          <w:i/>
          <w:sz w:val="21"/>
          <w:szCs w:val="21"/>
        </w:rPr>
        <w:t>Le prove civile.</w:t>
      </w:r>
      <w:r w:rsidRPr="00E10347">
        <w:rPr>
          <w:rFonts w:ascii="Palatino Linotype" w:hAnsi="Palatino Linotype" w:cs="Times New Roman"/>
          <w:sz w:val="21"/>
          <w:szCs w:val="21"/>
        </w:rPr>
        <w:t xml:space="preserve"> Ed. Giuffrè, Milán, 2005. </w:t>
      </w:r>
    </w:p>
    <w:p w:rsidR="00E10347" w:rsidRPr="00E10347" w:rsidRDefault="00E10347" w:rsidP="00E10347">
      <w:pPr>
        <w:jc w:val="both"/>
        <w:rPr>
          <w:rFonts w:ascii="Palatino Linotype" w:eastAsiaTheme="minorHAnsi" w:hAnsi="Palatino Linotype" w:cs="Times New Roman"/>
          <w:sz w:val="21"/>
          <w:szCs w:val="21"/>
          <w:lang w:val="es-CR"/>
        </w:rPr>
      </w:pPr>
      <w:r w:rsidRPr="00E10347">
        <w:rPr>
          <w:rFonts w:ascii="Palatino Linotype" w:hAnsi="Palatino Linotype" w:cs="Times New Roman"/>
          <w:sz w:val="21"/>
          <w:szCs w:val="21"/>
        </w:rPr>
        <w:t xml:space="preserve">LEANZA Piero (Coordinador). </w:t>
      </w:r>
      <w:r w:rsidRPr="00E10347">
        <w:rPr>
          <w:rFonts w:ascii="Palatino Linotype" w:hAnsi="Palatino Linotype" w:cs="Times New Roman"/>
          <w:i/>
          <w:sz w:val="21"/>
          <w:szCs w:val="21"/>
        </w:rPr>
        <w:t>Le prove civil</w:t>
      </w:r>
      <w:r w:rsidRPr="00E10347">
        <w:rPr>
          <w:rFonts w:ascii="Palatino Linotype" w:hAnsi="Palatino Linotype" w:cs="Times New Roman"/>
          <w:sz w:val="21"/>
          <w:szCs w:val="21"/>
        </w:rPr>
        <w:t>. Ed. Giappichelli, Turín, 2012.</w:t>
      </w:r>
    </w:p>
    <w:p w:rsidR="00E10347" w:rsidRPr="00E10347" w:rsidRDefault="00E10347" w:rsidP="00E10347">
      <w:pPr>
        <w:jc w:val="both"/>
        <w:rPr>
          <w:rFonts w:ascii="Palatino Linotype" w:eastAsiaTheme="minorHAnsi" w:hAnsi="Palatino Linotype" w:cs="Times New Roman"/>
          <w:i/>
          <w:iCs/>
          <w:sz w:val="21"/>
          <w:szCs w:val="21"/>
          <w:lang w:val="es-CR"/>
        </w:rPr>
      </w:pPr>
      <w:r w:rsidRPr="00E10347">
        <w:rPr>
          <w:rFonts w:ascii="Palatino Linotype" w:eastAsiaTheme="minorHAnsi" w:hAnsi="Palatino Linotype" w:cs="Times New Roman"/>
          <w:sz w:val="21"/>
          <w:szCs w:val="21"/>
          <w:lang w:val="es-CR"/>
        </w:rPr>
        <w:t xml:space="preserve">MALFATTI Elena, PANIZZA Saulle, ROMBOLI Roberto. </w:t>
      </w:r>
      <w:r w:rsidRPr="00E10347">
        <w:rPr>
          <w:rFonts w:ascii="Palatino Linotype" w:eastAsiaTheme="minorHAnsi" w:hAnsi="Palatino Linotype" w:cs="Times New Roman"/>
          <w:i/>
          <w:iCs/>
          <w:sz w:val="21"/>
          <w:szCs w:val="21"/>
          <w:lang w:val="es-CR"/>
        </w:rPr>
        <w:t xml:space="preserve">Giustizia Costituzionale. </w:t>
      </w:r>
      <w:r w:rsidRPr="00E10347">
        <w:rPr>
          <w:rFonts w:ascii="Palatino Linotype" w:eastAsiaTheme="minorHAnsi" w:hAnsi="Palatino Linotype" w:cs="Times New Roman"/>
          <w:sz w:val="21"/>
          <w:szCs w:val="21"/>
          <w:lang w:val="es-CR"/>
        </w:rPr>
        <w:t>Ed. Giappichelli, Torino, 2010.</w:t>
      </w:r>
    </w:p>
    <w:p w:rsidR="00E10347" w:rsidRPr="00003A48" w:rsidRDefault="00E10347" w:rsidP="00E10347">
      <w:pPr>
        <w:pStyle w:val="Textonotapie"/>
        <w:jc w:val="both"/>
        <w:rPr>
          <w:rFonts w:ascii="Palatino Linotype" w:hAnsi="Palatino Linotype" w:cs="Times New Roman"/>
          <w:sz w:val="21"/>
          <w:szCs w:val="21"/>
          <w:lang w:val="en-US"/>
        </w:rPr>
      </w:pPr>
      <w:r w:rsidRPr="00E10347">
        <w:rPr>
          <w:rFonts w:ascii="Palatino Linotype" w:hAnsi="Palatino Linotype" w:cs="Times New Roman"/>
          <w:sz w:val="21"/>
          <w:szCs w:val="21"/>
        </w:rPr>
        <w:t xml:space="preserve">MANDRIOLI Crisanto, CARANTA Antonio. </w:t>
      </w:r>
      <w:r w:rsidRPr="00003A48">
        <w:rPr>
          <w:rFonts w:ascii="Palatino Linotype" w:hAnsi="Palatino Linotype" w:cs="Times New Roman"/>
          <w:i/>
          <w:sz w:val="21"/>
          <w:szCs w:val="21"/>
          <w:lang w:val="en-US"/>
        </w:rPr>
        <w:t>Diritto processuale civile</w:t>
      </w:r>
      <w:r w:rsidRPr="00003A48">
        <w:rPr>
          <w:rFonts w:ascii="Palatino Linotype" w:hAnsi="Palatino Linotype" w:cs="Times New Roman"/>
          <w:sz w:val="21"/>
          <w:szCs w:val="21"/>
          <w:lang w:val="en-US"/>
        </w:rPr>
        <w:t>. Ed. Giappichelli, Turín, 2015.</w:t>
      </w:r>
    </w:p>
    <w:p w:rsidR="00E10347" w:rsidRPr="00E10347" w:rsidRDefault="00E10347" w:rsidP="00E10347">
      <w:pPr>
        <w:jc w:val="both"/>
        <w:rPr>
          <w:rFonts w:ascii="Palatino Linotype" w:hAnsi="Palatino Linotype" w:cs="Times New Roman"/>
          <w:sz w:val="21"/>
          <w:szCs w:val="21"/>
        </w:rPr>
      </w:pPr>
      <w:r w:rsidRPr="00E10347">
        <w:rPr>
          <w:rFonts w:ascii="Palatino Linotype" w:hAnsi="Palatino Linotype" w:cs="Times New Roman"/>
          <w:sz w:val="21"/>
          <w:szCs w:val="21"/>
          <w:lang w:val="es-CR"/>
        </w:rPr>
        <w:t xml:space="preserve">HERNÁNDEZ VALLE Rubén. </w:t>
      </w:r>
      <w:r w:rsidRPr="00E10347">
        <w:rPr>
          <w:rFonts w:ascii="Palatino Linotype" w:hAnsi="Palatino Linotype" w:cs="Times New Roman"/>
          <w:i/>
          <w:sz w:val="21"/>
          <w:szCs w:val="21"/>
        </w:rPr>
        <w:t>La prueba en los procesos constitucionales</w:t>
      </w:r>
      <w:r w:rsidRPr="00E10347">
        <w:rPr>
          <w:rFonts w:ascii="Palatino Linotype" w:hAnsi="Palatino Linotype" w:cs="Times New Roman"/>
          <w:sz w:val="21"/>
          <w:szCs w:val="21"/>
        </w:rPr>
        <w:t>, p. 184. En Revista Iberoamericana de Derecho Procesal Constitucional, número 5, enero – junio 2006. Ed. Porrúa, Instituto IIDPC.</w:t>
      </w:r>
    </w:p>
    <w:p w:rsidR="00E10347" w:rsidRPr="00E10347" w:rsidRDefault="00E10347" w:rsidP="00E10347">
      <w:pPr>
        <w:ind w:firstLine="708"/>
        <w:rPr>
          <w:rFonts w:ascii="Palatino Linotype" w:hAnsi="Palatino Linotype" w:cs="Times New Roman"/>
          <w:sz w:val="21"/>
          <w:szCs w:val="21"/>
          <w:lang w:val="es-CR"/>
        </w:rPr>
      </w:pPr>
      <w:r w:rsidRPr="00E10347">
        <w:rPr>
          <w:rFonts w:ascii="Palatino Linotype" w:hAnsi="Palatino Linotype" w:cs="Times New Roman"/>
          <w:sz w:val="21"/>
          <w:szCs w:val="21"/>
          <w:lang w:val="es-CR"/>
        </w:rPr>
        <w:t xml:space="preserve">- </w:t>
      </w:r>
      <w:r w:rsidRPr="00E10347">
        <w:rPr>
          <w:rFonts w:ascii="Palatino Linotype" w:hAnsi="Palatino Linotype" w:cs="Times New Roman"/>
          <w:i/>
          <w:sz w:val="21"/>
          <w:szCs w:val="21"/>
          <w:lang w:val="es-CR"/>
        </w:rPr>
        <w:t>Derecho procesal constitucional</w:t>
      </w:r>
      <w:r w:rsidRPr="00E10347">
        <w:rPr>
          <w:rFonts w:ascii="Palatino Linotype" w:hAnsi="Palatino Linotype" w:cs="Times New Roman"/>
          <w:sz w:val="21"/>
          <w:szCs w:val="21"/>
          <w:lang w:val="es-CR"/>
        </w:rPr>
        <w:t>. Ed. Juricentro, San José, 2009.</w:t>
      </w:r>
    </w:p>
    <w:p w:rsidR="00E10347" w:rsidRPr="00E10347" w:rsidRDefault="00E10347" w:rsidP="00E10347">
      <w:pPr>
        <w:rPr>
          <w:rFonts w:ascii="Palatino Linotype" w:hAnsi="Palatino Linotype" w:cs="Times New Roman"/>
          <w:b/>
          <w:sz w:val="21"/>
          <w:szCs w:val="21"/>
        </w:rPr>
      </w:pPr>
      <w:r w:rsidRPr="00E10347">
        <w:rPr>
          <w:rFonts w:ascii="Palatino Linotype" w:hAnsi="Palatino Linotype" w:cs="Times New Roman"/>
          <w:sz w:val="21"/>
          <w:szCs w:val="21"/>
        </w:rPr>
        <w:t xml:space="preserve">JINESTA LOBO Ernesto. </w:t>
      </w:r>
      <w:r w:rsidRPr="00E10347">
        <w:rPr>
          <w:rFonts w:ascii="Palatino Linotype" w:hAnsi="Palatino Linotype" w:cs="Times New Roman"/>
          <w:i/>
          <w:sz w:val="21"/>
          <w:szCs w:val="21"/>
        </w:rPr>
        <w:t>Manual del proceso contencioso – administrativo</w:t>
      </w:r>
      <w:r w:rsidRPr="00E10347">
        <w:rPr>
          <w:rFonts w:ascii="Palatino Linotype" w:hAnsi="Palatino Linotype" w:cs="Times New Roman"/>
          <w:sz w:val="21"/>
          <w:szCs w:val="21"/>
        </w:rPr>
        <w:t>. Ed. Jurídica Continental, San José, 2009.</w:t>
      </w:r>
    </w:p>
    <w:p w:rsidR="00E10347" w:rsidRPr="00E10347" w:rsidRDefault="00E10347" w:rsidP="00E10347">
      <w:pPr>
        <w:ind w:firstLine="708"/>
        <w:rPr>
          <w:rFonts w:ascii="Palatino Linotype" w:hAnsi="Palatino Linotype" w:cs="Times New Roman"/>
          <w:sz w:val="21"/>
          <w:szCs w:val="21"/>
        </w:rPr>
      </w:pPr>
      <w:r w:rsidRPr="00E10347">
        <w:rPr>
          <w:rFonts w:ascii="Palatino Linotype" w:hAnsi="Palatino Linotype" w:cs="Times New Roman"/>
          <w:sz w:val="21"/>
          <w:szCs w:val="21"/>
        </w:rPr>
        <w:t xml:space="preserve">- </w:t>
      </w:r>
      <w:r w:rsidRPr="00E10347">
        <w:rPr>
          <w:rFonts w:ascii="Palatino Linotype" w:hAnsi="Palatino Linotype" w:cs="Times New Roman"/>
          <w:i/>
          <w:sz w:val="21"/>
          <w:szCs w:val="21"/>
        </w:rPr>
        <w:t>Derecho Procesal Constitucional</w:t>
      </w:r>
      <w:r w:rsidRPr="00E10347">
        <w:rPr>
          <w:rFonts w:ascii="Palatino Linotype" w:hAnsi="Palatino Linotype" w:cs="Times New Roman"/>
          <w:sz w:val="21"/>
          <w:szCs w:val="21"/>
        </w:rPr>
        <w:t>. Ed. Ediciones Guayacán, San José, 2014.</w:t>
      </w:r>
    </w:p>
    <w:p w:rsidR="00E10347" w:rsidRPr="00E10347" w:rsidRDefault="00E10347" w:rsidP="00E10347">
      <w:pPr>
        <w:ind w:firstLine="708"/>
        <w:jc w:val="both"/>
        <w:rPr>
          <w:rFonts w:ascii="Palatino Linotype" w:hAnsi="Palatino Linotype" w:cs="Times New Roman"/>
          <w:b/>
          <w:sz w:val="21"/>
          <w:szCs w:val="21"/>
        </w:rPr>
      </w:pPr>
      <w:r w:rsidRPr="00E10347">
        <w:rPr>
          <w:rFonts w:ascii="Palatino Linotype" w:hAnsi="Palatino Linotype" w:cs="Times New Roman"/>
          <w:sz w:val="21"/>
          <w:szCs w:val="21"/>
        </w:rPr>
        <w:t>-</w:t>
      </w:r>
      <w:r w:rsidRPr="00E10347">
        <w:rPr>
          <w:rFonts w:ascii="Palatino Linotype" w:hAnsi="Palatino Linotype" w:cs="Times New Roman"/>
          <w:i/>
          <w:sz w:val="21"/>
          <w:szCs w:val="21"/>
        </w:rPr>
        <w:t>Proceso de Hábeas</w:t>
      </w:r>
      <w:r w:rsidRPr="00E10347">
        <w:rPr>
          <w:rFonts w:ascii="Palatino Linotype" w:hAnsi="Palatino Linotype" w:cs="Times New Roman"/>
          <w:sz w:val="21"/>
          <w:szCs w:val="21"/>
        </w:rPr>
        <w:t xml:space="preserve"> Corpus, pp. 101 – 119. </w:t>
      </w:r>
      <w:r w:rsidRPr="00E10347">
        <w:rPr>
          <w:rFonts w:ascii="Palatino Linotype" w:hAnsi="Palatino Linotype" w:cs="Times New Roman"/>
          <w:bCs/>
          <w:sz w:val="21"/>
          <w:szCs w:val="21"/>
        </w:rPr>
        <w:t>En Derecho Penal y Constitución. Libro en homenaje del Dr. Luis Paulino Mora Mora. González Álvarez Daniel y Llobet Rodríguez Javier (coordinadores). Corte Suprema de Justicia, Asociación de Ciencias Penales de Costa Rica. Maestría en Ciencias Penales de Costa Rica, volumen I.</w:t>
      </w:r>
    </w:p>
    <w:p w:rsidR="00E10347" w:rsidRPr="00E10347" w:rsidRDefault="00E10347" w:rsidP="00E10347">
      <w:pPr>
        <w:rPr>
          <w:rFonts w:ascii="Palatino Linotype" w:hAnsi="Palatino Linotype" w:cs="Times New Roman"/>
          <w:sz w:val="21"/>
          <w:szCs w:val="21"/>
          <w:lang w:val="es-CR"/>
        </w:rPr>
      </w:pPr>
      <w:r w:rsidRPr="00E10347">
        <w:rPr>
          <w:rFonts w:ascii="Palatino Linotype" w:hAnsi="Palatino Linotype" w:cs="Times New Roman"/>
          <w:sz w:val="21"/>
          <w:szCs w:val="21"/>
          <w:lang w:val="it-IT"/>
        </w:rPr>
        <w:t xml:space="preserve">MIRANDA BONILLA Haideer. </w:t>
      </w:r>
      <w:r w:rsidRPr="00E10347">
        <w:rPr>
          <w:rFonts w:ascii="Palatino Linotype" w:hAnsi="Palatino Linotype" w:cs="Times New Roman"/>
          <w:i/>
          <w:sz w:val="21"/>
          <w:szCs w:val="21"/>
          <w:lang w:val="es-CR"/>
        </w:rPr>
        <w:t>Diálogo judicial interamericano (entre constitucionalidad convencionalidad).</w:t>
      </w:r>
      <w:r w:rsidRPr="00E10347">
        <w:rPr>
          <w:rFonts w:ascii="Palatino Linotype" w:hAnsi="Palatino Linotype" w:cs="Times New Roman"/>
          <w:sz w:val="21"/>
          <w:szCs w:val="21"/>
          <w:lang w:val="es-CR"/>
        </w:rPr>
        <w:t xml:space="preserve"> Ed. Nueva Jurídica, Bogotá, Colombia, 2016.</w:t>
      </w:r>
    </w:p>
    <w:p w:rsidR="00E10347" w:rsidRPr="00E10347" w:rsidRDefault="00E10347" w:rsidP="00E10347">
      <w:pPr>
        <w:rPr>
          <w:rFonts w:ascii="Palatino Linotype" w:hAnsi="Palatino Linotype" w:cs="Times New Roman"/>
          <w:sz w:val="21"/>
          <w:szCs w:val="21"/>
          <w:lang w:val="es-CR"/>
        </w:rPr>
      </w:pPr>
      <w:r w:rsidRPr="00E10347">
        <w:rPr>
          <w:rFonts w:ascii="Palatino Linotype" w:hAnsi="Palatino Linotype" w:cs="Times New Roman"/>
          <w:sz w:val="21"/>
          <w:szCs w:val="21"/>
          <w:lang w:val="es-CR"/>
        </w:rPr>
        <w:t xml:space="preserve">PISACHECHI Andrea. </w:t>
      </w:r>
      <w:r w:rsidRPr="00E10347">
        <w:rPr>
          <w:rFonts w:ascii="Palatino Linotype" w:hAnsi="Palatino Linotype" w:cs="Times New Roman"/>
          <w:i/>
          <w:sz w:val="21"/>
          <w:szCs w:val="21"/>
          <w:lang w:val="es-CR"/>
        </w:rPr>
        <w:t>Diritto Costituzionale</w:t>
      </w:r>
      <w:r w:rsidRPr="00E10347">
        <w:rPr>
          <w:rFonts w:ascii="Palatino Linotype" w:hAnsi="Palatino Linotype" w:cs="Times New Roman"/>
          <w:sz w:val="21"/>
          <w:szCs w:val="21"/>
          <w:lang w:val="es-CR"/>
        </w:rPr>
        <w:t xml:space="preserve">. Ed. Giappichelli, Torino, 2016. </w:t>
      </w:r>
    </w:p>
    <w:p w:rsidR="00C72A23" w:rsidRDefault="00C72A23" w:rsidP="00E10347">
      <w:pPr>
        <w:ind w:firstLine="709"/>
        <w:jc w:val="center"/>
        <w:rPr>
          <w:rFonts w:ascii="Palatino Linotype" w:hAnsi="Palatino Linotype"/>
          <w:b/>
          <w:sz w:val="21"/>
          <w:szCs w:val="21"/>
          <w:lang w:val="es-CR"/>
        </w:rPr>
        <w:sectPr w:rsidR="00C72A23" w:rsidSect="00FC1DF6">
          <w:headerReference w:type="even" r:id="rId53"/>
          <w:headerReference w:type="default" r:id="rId54"/>
          <w:type w:val="oddPage"/>
          <w:pgSz w:w="12240" w:h="15840" w:code="1"/>
          <w:pgMar w:top="1667" w:right="851" w:bottom="4253" w:left="3686" w:header="1021" w:footer="3005" w:gutter="0"/>
          <w:cols w:space="708"/>
          <w:titlePg/>
          <w:docGrid w:linePitch="360"/>
        </w:sectPr>
      </w:pPr>
    </w:p>
    <w:p w:rsidR="00F80BB6" w:rsidRPr="00E10347" w:rsidRDefault="00F80BB6" w:rsidP="00E10347">
      <w:pPr>
        <w:ind w:firstLine="709"/>
        <w:jc w:val="center"/>
        <w:rPr>
          <w:rFonts w:ascii="Palatino Linotype" w:hAnsi="Palatino Linotype"/>
          <w:b/>
          <w:sz w:val="21"/>
          <w:szCs w:val="21"/>
          <w:lang w:val="es-CR"/>
        </w:rPr>
      </w:pPr>
      <w:bookmarkStart w:id="65" w:name="_Hlk479197878"/>
      <w:r w:rsidRPr="00E10347">
        <w:rPr>
          <w:rFonts w:ascii="Palatino Linotype" w:hAnsi="Palatino Linotype"/>
          <w:b/>
          <w:sz w:val="21"/>
          <w:szCs w:val="21"/>
          <w:lang w:val="es-CR"/>
        </w:rPr>
        <w:lastRenderedPageBreak/>
        <w:t>LA PRUEBA EN PROCESOS AMBIENTALES</w:t>
      </w:r>
      <w:r w:rsidRPr="00E10347">
        <w:rPr>
          <w:rStyle w:val="Refdenotaalpie"/>
          <w:rFonts w:ascii="Palatino Linotype" w:hAnsi="Palatino Linotype"/>
          <w:sz w:val="21"/>
          <w:szCs w:val="21"/>
          <w:lang w:val="es-CR"/>
        </w:rPr>
        <w:footnoteReference w:id="470"/>
      </w:r>
    </w:p>
    <w:p w:rsidR="00F80BB6" w:rsidRDefault="00F80BB6" w:rsidP="00E10347">
      <w:pPr>
        <w:ind w:firstLine="709"/>
        <w:jc w:val="right"/>
        <w:rPr>
          <w:rFonts w:ascii="Palatino Linotype" w:hAnsi="Palatino Linotype"/>
          <w:b/>
          <w:sz w:val="21"/>
          <w:szCs w:val="21"/>
          <w:lang w:val="es-CR"/>
        </w:rPr>
      </w:pPr>
      <w:r w:rsidRPr="00E10347">
        <w:rPr>
          <w:rFonts w:ascii="Palatino Linotype" w:hAnsi="Palatino Linotype"/>
          <w:b/>
          <w:sz w:val="21"/>
          <w:szCs w:val="21"/>
          <w:lang w:val="es-CR"/>
        </w:rPr>
        <w:t>Mario Peña Chacón</w:t>
      </w:r>
      <w:bookmarkEnd w:id="65"/>
      <w:r w:rsidRPr="00E10347">
        <w:rPr>
          <w:rFonts w:ascii="Palatino Linotype" w:hAnsi="Palatino Linotype"/>
          <w:b/>
          <w:sz w:val="21"/>
          <w:szCs w:val="21"/>
          <w:lang w:val="es-CR"/>
        </w:rPr>
        <w:t xml:space="preserve"> </w:t>
      </w:r>
      <w:r w:rsidRPr="00E10347">
        <w:rPr>
          <w:rStyle w:val="Refdenotaalpie"/>
          <w:rFonts w:ascii="Palatino Linotype" w:hAnsi="Palatino Linotype"/>
          <w:sz w:val="21"/>
          <w:szCs w:val="21"/>
        </w:rPr>
        <w:footnoteReference w:id="471"/>
      </w:r>
    </w:p>
    <w:p w:rsidR="00A05EF6" w:rsidRDefault="00A05EF6" w:rsidP="00A05EF6">
      <w:pPr>
        <w:rPr>
          <w:rFonts w:ascii="Palatino Linotype" w:hAnsi="Palatino Linotype"/>
          <w:b/>
          <w:sz w:val="21"/>
          <w:szCs w:val="21"/>
          <w:lang w:val="es-CR"/>
        </w:rPr>
      </w:pPr>
    </w:p>
    <w:p w:rsidR="00A05EF6" w:rsidRDefault="00A05EF6" w:rsidP="00A05EF6">
      <w:pPr>
        <w:rPr>
          <w:rFonts w:ascii="Palatino Linotype" w:hAnsi="Palatino Linotype"/>
          <w:sz w:val="21"/>
          <w:szCs w:val="21"/>
        </w:rPr>
      </w:pPr>
      <w:r w:rsidRPr="00D1279A">
        <w:rPr>
          <w:rFonts w:ascii="Palatino Linotype" w:eastAsia="Times New Roman" w:hAnsi="Palatino Linotype"/>
          <w:color w:val="000000"/>
          <w:sz w:val="21"/>
          <w:szCs w:val="21"/>
        </w:rPr>
        <w:t xml:space="preserve">SUMARIO:  </w:t>
      </w:r>
      <w:r w:rsidRPr="00D1279A">
        <w:rPr>
          <w:rFonts w:ascii="Palatino Linotype" w:hAnsi="Palatino Linotype"/>
          <w:sz w:val="21"/>
          <w:szCs w:val="21"/>
        </w:rPr>
        <w:t>1.- Generalidades.  2.- Papel del juez.  3.- Dictámenes periciales.  4.- Consultores técnicos.  5.- Carga de la prueba.  6.- Valoración.  7.- Jurisprudencia.  Colofón.</w:t>
      </w:r>
    </w:p>
    <w:p w:rsidR="00A05EF6" w:rsidRPr="00E10347" w:rsidRDefault="00A05EF6" w:rsidP="00A05EF6">
      <w:pPr>
        <w:rPr>
          <w:rFonts w:ascii="Palatino Linotype" w:hAnsi="Palatino Linotype"/>
          <w:sz w:val="21"/>
          <w:szCs w:val="21"/>
          <w:lang w:val="es-CR"/>
        </w:rPr>
      </w:pPr>
    </w:p>
    <w:p w:rsidR="00F80BB6" w:rsidRPr="00E10347" w:rsidRDefault="00E338DC" w:rsidP="00E10347">
      <w:pPr>
        <w:widowControl/>
        <w:autoSpaceDE/>
        <w:autoSpaceDN/>
        <w:adjustRightInd/>
        <w:jc w:val="both"/>
        <w:rPr>
          <w:rFonts w:ascii="Palatino Linotype" w:hAnsi="Palatino Linotype"/>
          <w:b/>
          <w:sz w:val="21"/>
          <w:szCs w:val="21"/>
          <w:lang w:val="es-CR"/>
        </w:rPr>
      </w:pPr>
      <w:r w:rsidRPr="00E10347">
        <w:rPr>
          <w:rFonts w:ascii="Palatino Linotype" w:hAnsi="Palatino Linotype"/>
          <w:b/>
          <w:sz w:val="21"/>
          <w:szCs w:val="21"/>
          <w:lang w:val="es-CR"/>
        </w:rPr>
        <w:t xml:space="preserve">1.- </w:t>
      </w:r>
      <w:r w:rsidR="00F80BB6" w:rsidRPr="00E10347">
        <w:rPr>
          <w:rFonts w:ascii="Palatino Linotype" w:hAnsi="Palatino Linotype"/>
          <w:b/>
          <w:sz w:val="21"/>
          <w:szCs w:val="21"/>
          <w:lang w:val="es-CR"/>
        </w:rPr>
        <w:t>Generalidades</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En los procesos ambientales la prueba es un tema de capital importancia.  Demostrar la mera existencia del daño ambiental, así como el ligamen del nexo causal (causa-efecto) es sumamente difícil y complejo, pues por lo general, se trata de prueba revestida de enorme cientificidad a raíz de las características propias del daño ambiental.</w:t>
      </w:r>
      <w:r w:rsidRPr="00E10347">
        <w:rPr>
          <w:rStyle w:val="Refdenotaalpie"/>
          <w:rFonts w:ascii="Palatino Linotype" w:hAnsi="Palatino Linotype"/>
          <w:sz w:val="21"/>
          <w:szCs w:val="21"/>
          <w:lang w:val="es-CR"/>
        </w:rPr>
        <w:footnoteReference w:id="472"/>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lastRenderedPageBreak/>
        <w:t>La dificultad de la prueba radica en la ausencia de precisión de las características del daño: su extensión, alcance, prolongación, el carácter muchas veces retardatorio de sus efectos nocivos, así como sus efectos sinérgicos, ya que puede encontrarse y unirse con otras varias concausas, hacen tan difícil su demostración como su sola existencia.</w:t>
      </w:r>
      <w:r w:rsidRPr="00E10347">
        <w:rPr>
          <w:rStyle w:val="Refdenotaalpie"/>
          <w:rFonts w:ascii="Palatino Linotype" w:hAnsi="Palatino Linotype"/>
          <w:sz w:val="21"/>
          <w:szCs w:val="21"/>
          <w:lang w:val="es-CR"/>
        </w:rPr>
        <w:footnoteReference w:id="473"/>
      </w:r>
      <w:r w:rsidRPr="00E10347">
        <w:rPr>
          <w:rFonts w:ascii="Palatino Linotype" w:hAnsi="Palatino Linotype"/>
          <w:sz w:val="21"/>
          <w:szCs w:val="21"/>
          <w:lang w:val="es-CR"/>
        </w:rPr>
        <w:t xml:space="preserve"> </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Parte de las numerosas dificultades que surgen a la hora de probar el nexo causal, son las dudas científicas que constantemente se plantean, mismas que conspiran contra la certeza causal del daño ambiental.  Por ello, el juez debe formarse criterio con base en probabilidades y no en certeza absoluta,</w:t>
      </w:r>
      <w:r w:rsidRPr="00E10347">
        <w:rPr>
          <w:rStyle w:val="Refdenotaalpie"/>
          <w:rFonts w:ascii="Palatino Linotype" w:hAnsi="Palatino Linotype"/>
          <w:sz w:val="21"/>
          <w:szCs w:val="21"/>
          <w:lang w:val="es-CR"/>
        </w:rPr>
        <w:footnoteReference w:id="474"/>
      </w:r>
      <w:r w:rsidRPr="00E10347">
        <w:rPr>
          <w:rFonts w:ascii="Palatino Linotype" w:hAnsi="Palatino Linotype"/>
          <w:sz w:val="21"/>
          <w:szCs w:val="21"/>
          <w:lang w:val="es-CR"/>
        </w:rPr>
        <w:t xml:space="preserve"> lo anterior en aplicación estricta del principio precautorio. A raíz de lo anterior, debe de admitirse que el juzgador sustente su decisión en un alto grado de probabilidad. </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En los procesos ambientales, las partes procesales deben contentarse muchas veces con la probabilidad antes que, con la certeza, por tanto, en muchas ocasiones, la certeza debe ser reemplazada por la probabilidad,</w:t>
      </w:r>
      <w:r w:rsidRPr="00E10347">
        <w:rPr>
          <w:rStyle w:val="Refdenotaalpie"/>
          <w:rFonts w:ascii="Palatino Linotype" w:hAnsi="Palatino Linotype"/>
          <w:sz w:val="21"/>
          <w:szCs w:val="21"/>
          <w:lang w:val="es-CR"/>
        </w:rPr>
        <w:footnoteReference w:id="475"/>
      </w:r>
      <w:r w:rsidRPr="00E10347">
        <w:rPr>
          <w:rFonts w:ascii="Palatino Linotype" w:hAnsi="Palatino Linotype"/>
          <w:sz w:val="21"/>
          <w:szCs w:val="21"/>
          <w:lang w:val="es-CR"/>
        </w:rPr>
        <w:t xml:space="preserve"> ya que si se espera certeza científica se trabajará sobre daños consumados, que es precisamente lo que se pretende evitar.</w:t>
      </w:r>
    </w:p>
    <w:p w:rsidR="00DD5619" w:rsidRDefault="00DD5619" w:rsidP="00E10347">
      <w:pPr>
        <w:widowControl/>
        <w:autoSpaceDE/>
        <w:autoSpaceDN/>
        <w:adjustRightInd/>
        <w:jc w:val="both"/>
        <w:rPr>
          <w:rFonts w:ascii="Palatino Linotype" w:hAnsi="Palatino Linotype"/>
          <w:b/>
          <w:sz w:val="21"/>
          <w:szCs w:val="21"/>
          <w:lang w:val="es-CR"/>
        </w:rPr>
      </w:pPr>
    </w:p>
    <w:p w:rsidR="00F80BB6" w:rsidRPr="00E10347" w:rsidRDefault="00E338DC" w:rsidP="00E10347">
      <w:pPr>
        <w:widowControl/>
        <w:autoSpaceDE/>
        <w:autoSpaceDN/>
        <w:adjustRightInd/>
        <w:jc w:val="both"/>
        <w:rPr>
          <w:rFonts w:ascii="Palatino Linotype" w:hAnsi="Palatino Linotype"/>
          <w:b/>
          <w:sz w:val="21"/>
          <w:szCs w:val="21"/>
          <w:lang w:val="es-CR"/>
        </w:rPr>
      </w:pPr>
      <w:r w:rsidRPr="00E10347">
        <w:rPr>
          <w:rFonts w:ascii="Palatino Linotype" w:hAnsi="Palatino Linotype"/>
          <w:b/>
          <w:sz w:val="21"/>
          <w:szCs w:val="21"/>
          <w:lang w:val="es-CR"/>
        </w:rPr>
        <w:t xml:space="preserve">2.- </w:t>
      </w:r>
      <w:r w:rsidR="00F80BB6" w:rsidRPr="00E10347">
        <w:rPr>
          <w:rFonts w:ascii="Palatino Linotype" w:hAnsi="Palatino Linotype"/>
          <w:b/>
          <w:sz w:val="21"/>
          <w:szCs w:val="21"/>
          <w:lang w:val="es-CR"/>
        </w:rPr>
        <w:t>Papel del juez</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El juzgador ambiental debe ordenar y practicar todas las diligencias de prueba necesarias, para determinar la verdad real de los hechos relevantes en el proceso.  Los medios de prueba deben ser todos los que estén permitidos por el Derecho Público y el Derecho Común, y lo ideal es que las pruebas puedan ser consignadas y aportadas al proceso mediante cualquier tipo de soporte documental, electrónico, informático, magnético, óptico, telemático o producido por nuevas tecnologías.</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 xml:space="preserve">Los procesos ambientales exigen un juzgador proactivo, quien además de ser el director del proceso debe ser el jefe de la prueba, en el entendido que debe participar, junto con las partes, a su búsqueda, pues su fin es llegar a la verdad real de los hechos y a la vez, salvaguardar el interés público ambiental.  Se parte de un </w:t>
      </w:r>
      <w:r w:rsidRPr="00E10347">
        <w:rPr>
          <w:rFonts w:ascii="Palatino Linotype" w:hAnsi="Palatino Linotype"/>
          <w:sz w:val="21"/>
          <w:szCs w:val="21"/>
          <w:lang w:val="es-CR"/>
        </w:rPr>
        <w:lastRenderedPageBreak/>
        <w:t>juez comprometido socialmente, quien debe cumplir el mandato constitucional de garantizar un ambiente sano y ecológicamente equilibrado.</w:t>
      </w:r>
    </w:p>
    <w:p w:rsidR="00DD5619" w:rsidRDefault="00DD5619" w:rsidP="00E10347">
      <w:pPr>
        <w:widowControl/>
        <w:autoSpaceDE/>
        <w:autoSpaceDN/>
        <w:adjustRightInd/>
        <w:jc w:val="both"/>
        <w:rPr>
          <w:rFonts w:ascii="Palatino Linotype" w:hAnsi="Palatino Linotype"/>
          <w:b/>
          <w:sz w:val="21"/>
          <w:szCs w:val="21"/>
          <w:lang w:val="es-CR"/>
        </w:rPr>
      </w:pPr>
    </w:p>
    <w:p w:rsidR="00F80BB6" w:rsidRPr="00E10347" w:rsidRDefault="00E338DC" w:rsidP="00843063">
      <w:pPr>
        <w:widowControl/>
        <w:tabs>
          <w:tab w:val="left" w:pos="2439"/>
        </w:tabs>
        <w:autoSpaceDE/>
        <w:autoSpaceDN/>
        <w:adjustRightInd/>
        <w:jc w:val="both"/>
        <w:rPr>
          <w:rFonts w:ascii="Palatino Linotype" w:hAnsi="Palatino Linotype"/>
          <w:b/>
          <w:sz w:val="21"/>
          <w:szCs w:val="21"/>
          <w:lang w:val="es-CR"/>
        </w:rPr>
      </w:pPr>
      <w:r w:rsidRPr="00E10347">
        <w:rPr>
          <w:rFonts w:ascii="Palatino Linotype" w:hAnsi="Palatino Linotype"/>
          <w:b/>
          <w:sz w:val="21"/>
          <w:szCs w:val="21"/>
          <w:lang w:val="es-CR"/>
        </w:rPr>
        <w:t xml:space="preserve">3.- </w:t>
      </w:r>
      <w:r w:rsidR="00F80BB6" w:rsidRPr="00E10347">
        <w:rPr>
          <w:rFonts w:ascii="Palatino Linotype" w:hAnsi="Palatino Linotype"/>
          <w:b/>
          <w:sz w:val="21"/>
          <w:szCs w:val="21"/>
          <w:lang w:val="es-CR"/>
        </w:rPr>
        <w:t>Dictámenes periciales</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 xml:space="preserve">La prueba pericial revista especial importancia en los procesos ambientales. El oferente debe señalar al momento de su ofrecimiento, con claridad y precisión, los aspectos sobre los cuales versa el dictamen. </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 xml:space="preserve">Sin perjuicio de la solicitud de nombramiento de perito, lo ideal sería que las partes estén facultadas para aportar, con la demanda o contestación, informes técnicos elaborados por entidades públicas, particulares, colegios profesionales, universidades, etc. </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 xml:space="preserve">Se parte de la idea de que los tribunales pueden fallar de mejor manera si cuentan con el auxilio de la prueba pericial o del informe de peritos o expertos en una determinada ciencia o arte.  Igual papel pueden jugar los consultores técnicos así como la figura del </w:t>
      </w:r>
      <w:r w:rsidRPr="00E10347">
        <w:rPr>
          <w:rFonts w:ascii="Palatino Linotype" w:hAnsi="Palatino Linotype"/>
          <w:i/>
          <w:sz w:val="21"/>
          <w:szCs w:val="21"/>
          <w:lang w:val="es-CR"/>
        </w:rPr>
        <w:t>amicus curiae</w:t>
      </w:r>
      <w:r w:rsidRPr="00E10347">
        <w:rPr>
          <w:rFonts w:ascii="Palatino Linotype" w:hAnsi="Palatino Linotype"/>
          <w:sz w:val="21"/>
          <w:szCs w:val="21"/>
          <w:lang w:val="es-CR"/>
        </w:rPr>
        <w:t>.</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 xml:space="preserve">De igual manera, con relación a los gastos de la prueba científica, debería aplicarse la inversión del pago de los mismos en contra de quien se le impute la comisión de un daño.    </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 xml:space="preserve">Los dictámenes emitidos por organismos especializados del Estado deben ostentar fuerza probatoria </w:t>
      </w:r>
      <w:r w:rsidRPr="00E10347">
        <w:rPr>
          <w:rFonts w:ascii="Palatino Linotype" w:hAnsi="Palatino Linotype"/>
          <w:i/>
          <w:sz w:val="21"/>
          <w:szCs w:val="21"/>
          <w:lang w:val="es-CR"/>
        </w:rPr>
        <w:t>iuris tantum</w:t>
      </w:r>
      <w:r w:rsidRPr="00E10347">
        <w:rPr>
          <w:rFonts w:ascii="Palatino Linotype" w:hAnsi="Palatino Linotype"/>
          <w:sz w:val="21"/>
          <w:szCs w:val="21"/>
          <w:lang w:val="es-CR"/>
        </w:rPr>
        <w:t xml:space="preserve">, pudiendo ser rebatidos únicamente por otros informes técnicos.   Por ello, los dictámenes periciales deben presentarse por escrito, firmados y fechados, sin perjuicio del informe oral en las audiencias.  Deben estar fundamentados y contener, de manera clara y precisa, una relación detallada de las operaciones practicadas y de sus resultados, las observaciones de las partes o las de sus consultores técnicos, y las conclusiones que se formulen respecto de cada tema estudiado. Una vez rendido el informe pericial, debe ponerse en conocimiento de todas las partes. </w:t>
      </w:r>
    </w:p>
    <w:p w:rsidR="00DD5619" w:rsidRDefault="00DD5619" w:rsidP="00E10347">
      <w:pPr>
        <w:widowControl/>
        <w:autoSpaceDE/>
        <w:autoSpaceDN/>
        <w:adjustRightInd/>
        <w:jc w:val="both"/>
        <w:rPr>
          <w:rFonts w:ascii="Palatino Linotype" w:hAnsi="Palatino Linotype"/>
          <w:b/>
          <w:sz w:val="21"/>
          <w:szCs w:val="21"/>
          <w:lang w:val="es-CR"/>
        </w:rPr>
      </w:pPr>
    </w:p>
    <w:p w:rsidR="00F80BB6" w:rsidRPr="00E10347" w:rsidRDefault="00E338DC" w:rsidP="00E10347">
      <w:pPr>
        <w:widowControl/>
        <w:autoSpaceDE/>
        <w:autoSpaceDN/>
        <w:adjustRightInd/>
        <w:jc w:val="both"/>
        <w:rPr>
          <w:rFonts w:ascii="Palatino Linotype" w:hAnsi="Palatino Linotype"/>
          <w:sz w:val="21"/>
          <w:szCs w:val="21"/>
          <w:lang w:val="es-CR"/>
        </w:rPr>
      </w:pPr>
      <w:r w:rsidRPr="00E10347">
        <w:rPr>
          <w:rFonts w:ascii="Palatino Linotype" w:hAnsi="Palatino Linotype"/>
          <w:b/>
          <w:sz w:val="21"/>
          <w:szCs w:val="21"/>
          <w:lang w:val="es-CR"/>
        </w:rPr>
        <w:t xml:space="preserve">4.- </w:t>
      </w:r>
      <w:r w:rsidR="00F80BB6" w:rsidRPr="00E10347">
        <w:rPr>
          <w:rFonts w:ascii="Palatino Linotype" w:hAnsi="Palatino Linotype"/>
          <w:b/>
          <w:sz w:val="21"/>
          <w:szCs w:val="21"/>
          <w:lang w:val="es-CR"/>
        </w:rPr>
        <w:t>Consultores técnicos</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 xml:space="preserve">En los procesos ambientales debe darse la posibilidad a las partes de solicitarle al tribunal la asistencia de un consultor en una ciencia, arte o técnica.  </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 xml:space="preserve">Para ello, el juez podrá citar a la audiencia a un consultor para efectos de ilustración y, excepcionalmente, autorizarlo para que interrogue a los peritos y testigos.  </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 xml:space="preserve">El consultor técnico podría presenciar las operaciones periciales y acotar </w:t>
      </w:r>
      <w:r w:rsidRPr="00E10347">
        <w:rPr>
          <w:rFonts w:ascii="Palatino Linotype" w:hAnsi="Palatino Linotype"/>
          <w:sz w:val="21"/>
          <w:szCs w:val="21"/>
          <w:lang w:val="es-CR"/>
        </w:rPr>
        <w:lastRenderedPageBreak/>
        <w:t>observaciones durante su transcurso sin emitir dictamen; además, debe dejar constancia de sus observaciones.</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También, durante la audiencia las partes podrían contar con un consultor para que las auxilie en los actos propios de su función.  Ello le ayudaría al juzgador a entender y valorar la prueba altamente científica.</w:t>
      </w:r>
    </w:p>
    <w:p w:rsidR="00DD5619" w:rsidRDefault="00DD5619" w:rsidP="00E10347">
      <w:pPr>
        <w:widowControl/>
        <w:autoSpaceDE/>
        <w:autoSpaceDN/>
        <w:adjustRightInd/>
        <w:jc w:val="both"/>
        <w:rPr>
          <w:rFonts w:ascii="Palatino Linotype" w:hAnsi="Palatino Linotype"/>
          <w:b/>
          <w:sz w:val="21"/>
          <w:szCs w:val="21"/>
          <w:lang w:val="es-CR"/>
        </w:rPr>
      </w:pPr>
    </w:p>
    <w:p w:rsidR="00F80BB6" w:rsidRPr="00E10347" w:rsidRDefault="00E338DC" w:rsidP="00E10347">
      <w:pPr>
        <w:widowControl/>
        <w:autoSpaceDE/>
        <w:autoSpaceDN/>
        <w:adjustRightInd/>
        <w:jc w:val="both"/>
        <w:rPr>
          <w:rFonts w:ascii="Palatino Linotype" w:hAnsi="Palatino Linotype"/>
          <w:b/>
          <w:sz w:val="21"/>
          <w:szCs w:val="21"/>
          <w:lang w:val="es-CR"/>
        </w:rPr>
      </w:pPr>
      <w:r w:rsidRPr="00E10347">
        <w:rPr>
          <w:rFonts w:ascii="Palatino Linotype" w:hAnsi="Palatino Linotype"/>
          <w:b/>
          <w:sz w:val="21"/>
          <w:szCs w:val="21"/>
          <w:lang w:val="es-CR"/>
        </w:rPr>
        <w:t xml:space="preserve">5.- </w:t>
      </w:r>
      <w:r w:rsidR="00F80BB6" w:rsidRPr="00E10347">
        <w:rPr>
          <w:rFonts w:ascii="Palatino Linotype" w:hAnsi="Palatino Linotype"/>
          <w:b/>
          <w:sz w:val="21"/>
          <w:szCs w:val="21"/>
          <w:lang w:val="es-CR"/>
        </w:rPr>
        <w:t>Carga de la prueba</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La relación de causalidad es el presupuesto más difícil de probar, por ello la tendencia es hacia la inversión de la carga probatoria. Así lo establece el artículo 109 de la Ley de Biodiversidad al disponer que la carga de la prueba de la ausencia de contaminación, degradación o afectación no permitidas, corresponde a quien se le acusa de haber ocasionado daño ambiental.</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 xml:space="preserve">Se trata de aligerar la carga de la prueba de la víctima del daño ambiental, por tratarse de la parte más endeble de la relación con el fin de restituir el equilibrio afectado por la masividad de conductas riesgosas.  </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 xml:space="preserve">La inversión de la carga de la prueba es producto de la responsabilidad de tipo objetiva aplicable a las cuestiones ambientales. Cae entonces en la espalda del demandado demostrar su no participación, ya que la culpa se presume en quien ejecuta una actividad riesgosa.    </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La parte actora solo debe demostrar que el agente pudo haber causado el daño acontecido, mientras que el demandado debe demostrar que la causa real del siniestro ambiental fue otra, o bien, excusarse mediante las excepciones de fuerza mayor, culpa de la víctima y hecho de un tercero.</w:t>
      </w:r>
      <w:r w:rsidRPr="00E10347">
        <w:rPr>
          <w:rStyle w:val="Refdenotaalpie"/>
          <w:rFonts w:ascii="Palatino Linotype" w:hAnsi="Palatino Linotype"/>
          <w:sz w:val="21"/>
          <w:szCs w:val="21"/>
          <w:lang w:val="es-CR"/>
        </w:rPr>
        <w:footnoteReference w:id="476"/>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lastRenderedPageBreak/>
        <w:t xml:space="preserve">Cuando no es posible procesalmente la inversión de la carga probatoria, el juez debe exigir la cooperación imprescindible de las partes para llegar a la verdad real de los hechos. La parte que se halle en mejores condiciones según las circunstancias es la que llevaría la carga.  </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 xml:space="preserve">Quien realiza la actividad riesgosa es quien debe desmeritar los hechos que se le atribuyen ya que existe una ventaja en quien genera la contaminación o degradación ambiental de poseer mayor conocimiento sobre las causas y consecuencias de las acciones producidas por su actividad, y suele ser muy difícil para el demandante y mucho más fácil para el demandado, probar la existencia o no del daño.  </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Cabe destacar que el derecho procesal social, del cual forma parte el derecho procesal ambiental, siempre protege a la parte más débil de la relación jurídica.</w:t>
      </w:r>
    </w:p>
    <w:p w:rsidR="00DD5619" w:rsidRDefault="00DD5619" w:rsidP="00E10347">
      <w:pPr>
        <w:widowControl/>
        <w:autoSpaceDE/>
        <w:autoSpaceDN/>
        <w:adjustRightInd/>
        <w:jc w:val="both"/>
        <w:rPr>
          <w:rFonts w:ascii="Palatino Linotype" w:hAnsi="Palatino Linotype"/>
          <w:b/>
          <w:sz w:val="21"/>
          <w:szCs w:val="21"/>
          <w:lang w:val="es-CR"/>
        </w:rPr>
      </w:pPr>
    </w:p>
    <w:p w:rsidR="00F80BB6" w:rsidRPr="00E10347" w:rsidRDefault="00E338DC" w:rsidP="00E10347">
      <w:pPr>
        <w:widowControl/>
        <w:autoSpaceDE/>
        <w:autoSpaceDN/>
        <w:adjustRightInd/>
        <w:jc w:val="both"/>
        <w:rPr>
          <w:rFonts w:ascii="Palatino Linotype" w:hAnsi="Palatino Linotype"/>
          <w:b/>
          <w:sz w:val="21"/>
          <w:szCs w:val="21"/>
          <w:lang w:val="es-CR"/>
        </w:rPr>
      </w:pPr>
      <w:r w:rsidRPr="00E10347">
        <w:rPr>
          <w:rFonts w:ascii="Palatino Linotype" w:hAnsi="Palatino Linotype"/>
          <w:b/>
          <w:sz w:val="21"/>
          <w:szCs w:val="21"/>
          <w:lang w:val="es-CR"/>
        </w:rPr>
        <w:lastRenderedPageBreak/>
        <w:t xml:space="preserve">6.- </w:t>
      </w:r>
      <w:r w:rsidR="00F80BB6" w:rsidRPr="00E10347">
        <w:rPr>
          <w:rFonts w:ascii="Palatino Linotype" w:hAnsi="Palatino Linotype"/>
          <w:b/>
          <w:sz w:val="21"/>
          <w:szCs w:val="21"/>
          <w:lang w:val="es-CR"/>
        </w:rPr>
        <w:t>Valoración</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Respecto a la valoración de la prueba destaca el criterio “</w:t>
      </w:r>
      <w:r w:rsidRPr="00E10347">
        <w:rPr>
          <w:rFonts w:ascii="Palatino Linotype" w:hAnsi="Palatino Linotype"/>
          <w:i/>
          <w:sz w:val="21"/>
          <w:szCs w:val="21"/>
          <w:lang w:val="es-CR"/>
        </w:rPr>
        <w:t>res ipsa loquitur</w:t>
      </w:r>
      <w:r w:rsidRPr="00E10347">
        <w:rPr>
          <w:rFonts w:ascii="Palatino Linotype" w:hAnsi="Palatino Linotype"/>
          <w:sz w:val="21"/>
          <w:szCs w:val="21"/>
          <w:lang w:val="es-CR"/>
        </w:rPr>
        <w:t xml:space="preserve">”, el cual  implica por una parte, que la culpa se infiere de un daño inexplicable del tipo que no ocurre normalmente en ausencia de culpa,  y a la vez, se deduce que la causa del daño fue la culpa.  </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 xml:space="preserve">Para casos de alta complejidad como los ambientales, se propone un tratamiento diferente de la prueba.  Uno de carácter innovador, destacando mayor flexibilidad en el proceso de evaluación de la sana crítica racional mediante un mecanismo intelectivo de apreciación de la fuerza de convicción de los medios probatorios, donde el intérprete debe actuar con amplitud y flexibilidad, aplicando los principios sustantivos y procesales del derecho ambiental, especialmente el criterio hermenéutico </w:t>
      </w:r>
      <w:r w:rsidRPr="00E10347">
        <w:rPr>
          <w:rFonts w:ascii="Palatino Linotype" w:hAnsi="Palatino Linotype"/>
          <w:i/>
          <w:sz w:val="21"/>
          <w:szCs w:val="21"/>
          <w:lang w:val="es-CR"/>
        </w:rPr>
        <w:t>in dubio</w:t>
      </w:r>
      <w:r w:rsidRPr="00E10347">
        <w:rPr>
          <w:rFonts w:ascii="Palatino Linotype" w:hAnsi="Palatino Linotype"/>
          <w:sz w:val="21"/>
          <w:szCs w:val="21"/>
          <w:lang w:val="es-CR"/>
        </w:rPr>
        <w:t xml:space="preserve"> </w:t>
      </w:r>
      <w:r w:rsidRPr="00E10347">
        <w:rPr>
          <w:rFonts w:ascii="Palatino Linotype" w:hAnsi="Palatino Linotype"/>
          <w:i/>
          <w:sz w:val="21"/>
          <w:szCs w:val="21"/>
          <w:lang w:val="es-CR"/>
        </w:rPr>
        <w:t>pro natura.</w:t>
      </w:r>
      <w:r w:rsidRPr="00E10347">
        <w:rPr>
          <w:rFonts w:ascii="Palatino Linotype" w:hAnsi="Palatino Linotype"/>
          <w:sz w:val="21"/>
          <w:szCs w:val="21"/>
          <w:lang w:val="es-CR"/>
        </w:rPr>
        <w:t xml:space="preserve">  </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 xml:space="preserve">La prueba se debe valorar en conjunto, respetando el contradictorio y conforme a los criterios de la lógica, experiencia, ciencia, el correcto entendimiento humano y las presunciones humanas o legales.  </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 xml:space="preserve">De esta forma, el juzgador está obligado a expresar los fundamentos fácticos y jurídicos de sus conclusiones, según le hubieren conferido mayor o menor valor a unas u otras conforme a su credibilidad, derivada de una apreciación conjunta y armónica de las probanzas evacuadas y las eventuales presunciones.  </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Como bien lo señala CAFFERATTA,</w:t>
      </w:r>
      <w:r w:rsidRPr="00E10347">
        <w:rPr>
          <w:rStyle w:val="Refdenotaalpie"/>
          <w:rFonts w:ascii="Palatino Linotype" w:hAnsi="Palatino Linotype"/>
          <w:sz w:val="21"/>
          <w:szCs w:val="21"/>
          <w:lang w:val="es-CR"/>
        </w:rPr>
        <w:footnoteReference w:id="477"/>
      </w:r>
      <w:r w:rsidRPr="00E10347">
        <w:rPr>
          <w:rFonts w:ascii="Palatino Linotype" w:hAnsi="Palatino Linotype"/>
          <w:sz w:val="21"/>
          <w:szCs w:val="21"/>
          <w:lang w:val="es-CR"/>
        </w:rPr>
        <w:t xml:space="preserve"> el juzgador debe realizar un análisis comprensivo y no atomístico de los elementos probatorios, si resulta indispensable o manifiestamente útil para esclarecer la verdad real de los hechos controvertidos. </w:t>
      </w:r>
    </w:p>
    <w:p w:rsidR="00F80BB6" w:rsidRPr="00E10347" w:rsidRDefault="00F80BB6" w:rsidP="00DD5619">
      <w:pPr>
        <w:ind w:firstLine="708"/>
        <w:jc w:val="both"/>
        <w:rPr>
          <w:rFonts w:ascii="Palatino Linotype" w:hAnsi="Palatino Linotype"/>
          <w:sz w:val="21"/>
          <w:szCs w:val="21"/>
          <w:lang w:val="es-CR"/>
        </w:rPr>
      </w:pPr>
      <w:r w:rsidRPr="00E10347">
        <w:rPr>
          <w:rFonts w:ascii="Palatino Linotype" w:hAnsi="Palatino Linotype"/>
          <w:sz w:val="21"/>
          <w:szCs w:val="21"/>
          <w:lang w:val="es-CR"/>
        </w:rPr>
        <w:t xml:space="preserve">Debe tenerse en cuenta que en materia ambiental la prueba de presunciones posee un valor excepcional, siendo posible fundamentar la causalidad con base en presunciones graves, precisas y concordantes, siendo de aplicación la teoría de la casualidad adecuada.   </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 xml:space="preserve">En muchas ocasiones el juzgador debe valerse de indicios y con ellos aplicar presunciones, valorándolos críticamente   para llegar al convencimiento respecto a la existencia del hecho  </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 xml:space="preserve">Para ello, también es posible aplicar la teoría de la prueba </w:t>
      </w:r>
      <w:r w:rsidRPr="00E10347">
        <w:rPr>
          <w:rFonts w:ascii="Palatino Linotype" w:hAnsi="Palatino Linotype"/>
          <w:i/>
          <w:sz w:val="21"/>
          <w:szCs w:val="21"/>
          <w:lang w:val="es-CR"/>
        </w:rPr>
        <w:t>prima facie</w:t>
      </w:r>
      <w:r w:rsidRPr="00E10347">
        <w:rPr>
          <w:rFonts w:ascii="Palatino Linotype" w:hAnsi="Palatino Linotype"/>
          <w:sz w:val="21"/>
          <w:szCs w:val="21"/>
          <w:lang w:val="es-CR"/>
        </w:rPr>
        <w:t xml:space="preserve">, donde el juez admite como cierto, con carácter provisorio, la existencia de circunstancias que, según la experiencia común, debían concurrir para que se verificare el hecho </w:t>
      </w:r>
      <w:r w:rsidRPr="00E10347">
        <w:rPr>
          <w:rFonts w:ascii="Palatino Linotype" w:hAnsi="Palatino Linotype"/>
          <w:sz w:val="21"/>
          <w:szCs w:val="21"/>
          <w:lang w:val="es-CR"/>
        </w:rPr>
        <w:lastRenderedPageBreak/>
        <w:t xml:space="preserve">atribuido.  </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 xml:space="preserve">En todos estos casos se admiten simples argumentos de probabilidad que no producen una evidencia objetiva, pero que se tienen en cuenta como excepción debido a la dificultad probatoria. </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 xml:space="preserve">La prueba ambiental es una prueba difícil, lo que determina que el juzgador debe adoptar una actitud proclive al favor </w:t>
      </w:r>
      <w:r w:rsidRPr="00E10347">
        <w:rPr>
          <w:rFonts w:ascii="Palatino Linotype" w:hAnsi="Palatino Linotype"/>
          <w:i/>
          <w:sz w:val="21"/>
          <w:szCs w:val="21"/>
          <w:lang w:val="es-CR"/>
        </w:rPr>
        <w:t>probationen</w:t>
      </w:r>
      <w:r w:rsidRPr="00E10347">
        <w:rPr>
          <w:rFonts w:ascii="Palatino Linotype" w:hAnsi="Palatino Linotype"/>
          <w:sz w:val="21"/>
          <w:szCs w:val="21"/>
          <w:lang w:val="es-CR"/>
        </w:rPr>
        <w:t xml:space="preserve">. </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Tal y como lo señala CAFFERATTA, la extraordinaria complejidad de la prueba del daño ambiental requiere de elastizar posturas rígidas, para facilitar la labor judicial.</w:t>
      </w:r>
      <w:r w:rsidRPr="00E10347">
        <w:rPr>
          <w:rStyle w:val="Refdenotaalpie"/>
          <w:rFonts w:ascii="Palatino Linotype" w:hAnsi="Palatino Linotype"/>
          <w:sz w:val="21"/>
          <w:szCs w:val="21"/>
          <w:lang w:val="es-CR"/>
        </w:rPr>
        <w:footnoteReference w:id="478"/>
      </w:r>
      <w:r w:rsidRPr="00E10347">
        <w:rPr>
          <w:rFonts w:ascii="Palatino Linotype" w:hAnsi="Palatino Linotype"/>
          <w:sz w:val="21"/>
          <w:szCs w:val="21"/>
          <w:lang w:val="es-CR"/>
        </w:rPr>
        <w:t xml:space="preserve"> </w:t>
      </w:r>
    </w:p>
    <w:p w:rsidR="00DD5619" w:rsidRDefault="00DD5619" w:rsidP="00E10347">
      <w:pPr>
        <w:widowControl/>
        <w:autoSpaceDE/>
        <w:autoSpaceDN/>
        <w:adjustRightInd/>
        <w:jc w:val="both"/>
        <w:rPr>
          <w:rFonts w:ascii="Palatino Linotype" w:hAnsi="Palatino Linotype"/>
          <w:b/>
          <w:sz w:val="21"/>
          <w:szCs w:val="21"/>
        </w:rPr>
      </w:pPr>
    </w:p>
    <w:p w:rsidR="00F80BB6" w:rsidRPr="00E10347" w:rsidRDefault="00F80BB6" w:rsidP="00E10347">
      <w:pPr>
        <w:widowControl/>
        <w:autoSpaceDE/>
        <w:autoSpaceDN/>
        <w:adjustRightInd/>
        <w:jc w:val="both"/>
        <w:rPr>
          <w:rFonts w:ascii="Palatino Linotype" w:hAnsi="Palatino Linotype"/>
          <w:b/>
          <w:sz w:val="21"/>
          <w:szCs w:val="21"/>
        </w:rPr>
      </w:pPr>
      <w:r w:rsidRPr="00E10347">
        <w:rPr>
          <w:rFonts w:ascii="Palatino Linotype" w:hAnsi="Palatino Linotype"/>
          <w:b/>
          <w:sz w:val="21"/>
          <w:szCs w:val="21"/>
        </w:rPr>
        <w:t>Jurisprudencia</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b/>
          <w:sz w:val="21"/>
          <w:szCs w:val="21"/>
        </w:rPr>
        <w:t>Medios de Prueba. Verdad Real.  Contradictorio.  Valoración conforme Sana Crítica.</w:t>
      </w:r>
      <w:r w:rsidRPr="00E10347">
        <w:rPr>
          <w:rFonts w:ascii="Palatino Linotype" w:hAnsi="Palatino Linotype"/>
          <w:sz w:val="21"/>
          <w:szCs w:val="21"/>
        </w:rPr>
        <w:t xml:space="preserve">  “</w:t>
      </w:r>
      <w:r w:rsidRPr="00E10347">
        <w:rPr>
          <w:rFonts w:ascii="Palatino Linotype" w:hAnsi="Palatino Linotype"/>
          <w:i/>
          <w:sz w:val="21"/>
          <w:szCs w:val="21"/>
        </w:rPr>
        <w:t xml:space="preserve">En síntesis, puede afirmarse que la prueba fija los hechos relevantes y controvertidos para resolver el conflicto judicial planteado. Además, permite administrar justicia conforme al régimen democrático y al bloque de derecho, pues se juzga conforme a reglas jurídicas y no en conciencia, ni con criterios subjetivos o desprovistos de cualquier base probatoria. En tercer lugar, convence al juez no en su criterio estrictamente personal, sino en el convencimiento objetivo, de acuerdo con lo que se logró traer al proceso acerca de la existencia o inexistencia de determinados presupuestos fácticos, sobre los cuales, hará después la ponderación o aplicación jurídica pertinente. Y por último, con igual relevancia, la prueba permite establecer la certeza jurídica de los acontecimientos y hechos necesarios para definir y aplicar en última instancia el Derecho pertinente, y aquí se reitera, dicha certeza se logra sobre la base de elementos objetivos, ajenos a la percepción arbitraria o subjetiva del juzgador, que imperó en regímenes pasados. De este modo, los hechos se prueban, las normas se aplican y los derechos e intereses se declaran u otorgan a quienes pidieron probando. Sin embargo, para la coronación de tal certeza en los hechos, el ordenamiento jurídico puede atribuir distintos regímenes de “apreciación”, como el de plena y absoluta libertad en la valoración (en conciencia); bajo criterios de la sana crítica, o también, bajo fórmulas predeterminadas o tasadas por el propio ordenamiento jurídico, en todo, o algunos de los elementos probatorios. En esta línea, el apartado 4 del artículo 82 pregona: “todas las pruebas serán apreciadas conforme a las reglas de la sana crítica” Esta disposición toma partido por la valoración probatoria bajo criterios de la sana crítica, sujetando la ponderación de aquéllas, a las reglas de la ciencia, la lógica, la psicología y la </w:t>
      </w:r>
      <w:r w:rsidRPr="00E10347">
        <w:rPr>
          <w:rFonts w:ascii="Palatino Linotype" w:hAnsi="Palatino Linotype"/>
          <w:i/>
          <w:sz w:val="21"/>
          <w:szCs w:val="21"/>
        </w:rPr>
        <w:lastRenderedPageBreak/>
        <w:t>experiencia. No obstante, su interpretación debe ser cuidadosa y con gran apego al sistema jurídico total y más amplio al que pertenece. En ese sentido, importa aclarar que con ello no se desecha, deroga o destruye el régimen prevalente que establece la misma ley para los documentos públicos y la prueba confesional. No hay por ende, una fractura o disociación, con el régimen general de valoración que establece el sistema jurídico costarricense. Esos dos particulares instrumentos probatorios (confesión y documentos públicos), guardan, según se ha dicho, un valor prioritario sobre los demás mecanismos de prueba, sobre la base de la fe pública que en ellos se consigna o del propio dicho en contra de la parte afectada. El desconocimiento de esta prevalencia produciría desautorización absoluta para todos los fedatarios públicos y de quienes aceptan en su perjuicio un hecho determinado, lo cual generaría una severa inseguridad jurídica y por ende, caos más allá de lo jurídico. Por tanto, debe entenderse que la sana crítica que señala con acierto el apartado 4 del numeral 82, lo es sin detrimento y con respeto pleno a la prevalencia o predominio del valor probatorio de aquellos elementos a los que por ley se asigna tal potencialidad (en concreto, por el Código Procesal Civil). Se puede decir entonces que, en el nuevo régimen contencioso administrativo no se deroga del todo el régimen de prueba tasada, lo cual no quiere decir tampoco, que perviva como un régimen absoluto, inexpugnable o de imposible prueba en contrario Los reducidos elementos probatorios que cuentan con semejante privilegio en su valoración, crean una presunción sobre el aserto en ellos contenido que no se puede tener como verdad absoluta, sino como presunción relativa (iuris tantum), lo que implica que en determinados supuestos, dicha presunción podrá ser rebatida o destrozada con diferentes elementos de prueba, que con independencia de su fuente o nivel, contradigan con veracidad lo que se ha consignado en ellos. Empero, entre tanto eso no ocurra, seguirán manteniendo su presunción, resistencia y potencialidad probatoria</w:t>
      </w:r>
      <w:r w:rsidRPr="00E10347">
        <w:rPr>
          <w:rFonts w:ascii="Palatino Linotype" w:hAnsi="Palatino Linotype"/>
          <w:sz w:val="21"/>
          <w:szCs w:val="21"/>
        </w:rPr>
        <w:t>.”  Resolución: 000287-F-S1-2009, de las 10:45 horas del 19/03/2009, Sala Primera de la Corte Suprema de Justicia.</w:t>
      </w:r>
    </w:p>
    <w:p w:rsidR="00DD5619" w:rsidRDefault="00DD5619" w:rsidP="00E10347">
      <w:pPr>
        <w:ind w:firstLine="709"/>
        <w:jc w:val="both"/>
        <w:rPr>
          <w:rFonts w:ascii="Palatino Linotype" w:hAnsi="Palatino Linotype"/>
          <w:b/>
          <w:sz w:val="21"/>
          <w:szCs w:val="21"/>
        </w:rPr>
      </w:pP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b/>
          <w:sz w:val="21"/>
          <w:szCs w:val="21"/>
        </w:rPr>
        <w:t>Cadena de custodia. Distinción entre  responsabilidad penal y civil.</w:t>
      </w:r>
      <w:r w:rsidRPr="00E10347">
        <w:rPr>
          <w:rFonts w:ascii="Palatino Linotype" w:hAnsi="Palatino Linotype"/>
          <w:sz w:val="21"/>
          <w:szCs w:val="21"/>
        </w:rPr>
        <w:t xml:space="preserve"> “</w:t>
      </w:r>
      <w:r w:rsidRPr="00E10347">
        <w:rPr>
          <w:rFonts w:ascii="Palatino Linotype" w:hAnsi="Palatino Linotype"/>
          <w:i/>
          <w:sz w:val="21"/>
          <w:szCs w:val="21"/>
        </w:rPr>
        <w:t>Así las cosas, el argumento central del recurrente en cuanto a que se violó la cadena de custodia en relación con la recolección de muestras no resulta atendible. Tales principios son válidos para establecer la responsabilidad penal, no así para la responsabilidad civil donde aplican otros criterios.</w:t>
      </w:r>
      <w:r w:rsidRPr="00E10347">
        <w:rPr>
          <w:rFonts w:ascii="Palatino Linotype" w:hAnsi="Palatino Linotype"/>
          <w:sz w:val="21"/>
          <w:szCs w:val="21"/>
        </w:rPr>
        <w:t>” Resolución número 493-2004 de las 10:20 horas del 20/05/2004, Tribunal de Casación Penal.</w:t>
      </w:r>
    </w:p>
    <w:p w:rsidR="00DD5619" w:rsidRDefault="00DD5619" w:rsidP="00E10347">
      <w:pPr>
        <w:ind w:firstLine="709"/>
        <w:jc w:val="both"/>
        <w:rPr>
          <w:rFonts w:ascii="Palatino Linotype" w:hAnsi="Palatino Linotype"/>
          <w:b/>
          <w:sz w:val="21"/>
          <w:szCs w:val="21"/>
        </w:rPr>
      </w:pP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b/>
          <w:sz w:val="21"/>
          <w:szCs w:val="21"/>
        </w:rPr>
        <w:t>Inversión de la carga probatoria. Regla general en materia ambiental</w:t>
      </w:r>
      <w:r w:rsidRPr="00E10347">
        <w:rPr>
          <w:rFonts w:ascii="Palatino Linotype" w:hAnsi="Palatino Linotype"/>
          <w:sz w:val="21"/>
          <w:szCs w:val="21"/>
        </w:rPr>
        <w:t xml:space="preserve">. </w:t>
      </w:r>
      <w:r w:rsidRPr="00E10347">
        <w:rPr>
          <w:rFonts w:ascii="Palatino Linotype" w:hAnsi="Palatino Linotype"/>
          <w:i/>
          <w:sz w:val="21"/>
          <w:szCs w:val="21"/>
        </w:rPr>
        <w:t xml:space="preserve">“En primer término, conviene precisar, que en materia ambiental se produce una inversión en la </w:t>
      </w:r>
      <w:r w:rsidRPr="00E10347">
        <w:rPr>
          <w:rFonts w:ascii="Palatino Linotype" w:hAnsi="Palatino Linotype"/>
          <w:i/>
          <w:sz w:val="21"/>
          <w:szCs w:val="21"/>
        </w:rPr>
        <w:lastRenderedPageBreak/>
        <w:t>carga de la prueba, por disposición expresa del cardinal 109 de la Ley de Biodiversidad, el cual, a la letra establece: “La carga de la prueba, de la ausencia de contaminación, degradación o afectación no permitidas, corresponderá a quien solicite la aprobación, el permiso o acceso a la biodiversidad o a quien se le acuse de haber ocasionado daño ambiental.”  De ahí que no sea de recibo el argumento en el sentido de que debió advertirse esta inversión desde la audiencia preliminar, por cuanto es claro que su aplicación deriva del propio texto legal, y no de una decisión del Tribunal.”</w:t>
      </w:r>
      <w:r w:rsidRPr="00E10347">
        <w:rPr>
          <w:rFonts w:ascii="Palatino Linotype" w:hAnsi="Palatino Linotype"/>
          <w:sz w:val="21"/>
          <w:szCs w:val="21"/>
        </w:rPr>
        <w:t xml:space="preserve"> Resolución 1469-F-S1-2011 de las 9:00 horas del 30/11/2011, Sala Primera de la Corte Suprema de Justicia.</w:t>
      </w:r>
    </w:p>
    <w:p w:rsidR="00DD5619" w:rsidRDefault="00DD5619" w:rsidP="00E10347">
      <w:pPr>
        <w:ind w:firstLine="709"/>
        <w:jc w:val="both"/>
        <w:rPr>
          <w:rFonts w:ascii="Palatino Linotype" w:hAnsi="Palatino Linotype"/>
          <w:b/>
          <w:sz w:val="21"/>
          <w:szCs w:val="21"/>
        </w:rPr>
      </w:pP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b/>
          <w:sz w:val="21"/>
          <w:szCs w:val="21"/>
        </w:rPr>
        <w:t>Inversión de la carga probatoria. Regla general en materia ambiental.</w:t>
      </w:r>
      <w:r w:rsidRPr="00E10347">
        <w:rPr>
          <w:rFonts w:ascii="Palatino Linotype" w:hAnsi="Palatino Linotype"/>
          <w:sz w:val="21"/>
          <w:szCs w:val="21"/>
        </w:rPr>
        <w:t xml:space="preserve"> “</w:t>
      </w:r>
      <w:r w:rsidRPr="00E10347">
        <w:rPr>
          <w:rFonts w:ascii="Palatino Linotype" w:hAnsi="Palatino Linotype"/>
          <w:i/>
          <w:sz w:val="21"/>
          <w:szCs w:val="21"/>
        </w:rPr>
        <w:t>Téngase presente también que tampoco en este proceso jurisdiccional, los actores instaron de forma efectiva el reconocimiento sobre el inmueble, ni aportaron otra prueba -testimonios, fotografías, vídeos- que permitieran determinar que en el momento de los hechos, el daño ambiental podía producirlo, cualquier otro sujeto. Así, en la especie, no se causó gravamen, ni indefensión alguna a los actores, por cuanto ellos a pesar de haber podido desarrollar actividad procesal, para demostrar los hechos que le interesaban, no la desplegaron como correspondía. En cuanto a la inversión de la carga probatoria, establecida en el art. 109 de la Ley Orgánica del Ambiente, esta es una regla procedimental fundamental en materia ambiental que por lo indicado, no se aplicó indebidamente en el presente caso.</w:t>
      </w:r>
      <w:r w:rsidRPr="00E10347">
        <w:rPr>
          <w:rFonts w:ascii="Palatino Linotype" w:hAnsi="Palatino Linotype"/>
          <w:sz w:val="21"/>
          <w:szCs w:val="21"/>
        </w:rPr>
        <w:t>” Resolución número 19-2009 de las 11:59 horas del 13/02/2009 del Tribunal Contencioso Administrativo, Sección X.</w:t>
      </w:r>
    </w:p>
    <w:p w:rsidR="00DD5619" w:rsidRDefault="00DD5619" w:rsidP="00E10347">
      <w:pPr>
        <w:ind w:firstLine="709"/>
        <w:jc w:val="both"/>
        <w:rPr>
          <w:rFonts w:ascii="Palatino Linotype" w:hAnsi="Palatino Linotype"/>
          <w:b/>
          <w:sz w:val="21"/>
          <w:szCs w:val="21"/>
        </w:rPr>
      </w:pP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b/>
          <w:sz w:val="21"/>
          <w:szCs w:val="21"/>
        </w:rPr>
        <w:t>Inversión de la carga probatoria. Materia agroambiental. Principio precautorio.</w:t>
      </w:r>
      <w:r w:rsidRPr="00E10347">
        <w:rPr>
          <w:rFonts w:ascii="Palatino Linotype" w:hAnsi="Palatino Linotype"/>
          <w:sz w:val="21"/>
          <w:szCs w:val="21"/>
        </w:rPr>
        <w:t xml:space="preserve"> “En </w:t>
      </w:r>
      <w:r w:rsidRPr="00E10347">
        <w:rPr>
          <w:rFonts w:ascii="Palatino Linotype" w:hAnsi="Palatino Linotype"/>
          <w:i/>
          <w:sz w:val="21"/>
          <w:szCs w:val="21"/>
        </w:rPr>
        <w:t>materia agroambiental, además de los presupuestos explicados en el considerando anterior, rige el denominado principio precautorio.  Este principio, del cual hasta ahora se ha enfocado como parte del derecho de fondo en materia ambiental, viene  a ser llamado como un nuevo presupuesto de aplicación para este tipo especial de medidas cautelares, junto con el peligro de demora y la apariencia del buen derecho.  Tiene efectos procesales, pues amplía la legitimación activa para solicitar la medida cautelar y revierte la carga de la prueba (onus probandi) a favor del medio ambiente y la salud de las personas</w:t>
      </w:r>
      <w:r w:rsidRPr="00E10347">
        <w:rPr>
          <w:rFonts w:ascii="Palatino Linotype" w:hAnsi="Palatino Linotype"/>
          <w:sz w:val="21"/>
          <w:szCs w:val="21"/>
        </w:rPr>
        <w:t xml:space="preserve">.” Resolución número 106-2008 de las 3:30 horas del 13/02/2008, Tribunal Agrario.  </w:t>
      </w:r>
    </w:p>
    <w:p w:rsidR="00DD5619" w:rsidRDefault="00DD5619" w:rsidP="00E10347">
      <w:pPr>
        <w:ind w:firstLine="709"/>
        <w:jc w:val="both"/>
        <w:rPr>
          <w:rFonts w:ascii="Palatino Linotype" w:hAnsi="Palatino Linotype"/>
          <w:b/>
          <w:sz w:val="21"/>
          <w:szCs w:val="21"/>
        </w:rPr>
      </w:pP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b/>
          <w:sz w:val="21"/>
          <w:szCs w:val="21"/>
        </w:rPr>
        <w:t>Inversión de la carga probatoria. Jurisdicción Contenciosa Administrativa. Principio Precautorio.</w:t>
      </w:r>
      <w:r w:rsidRPr="00E10347">
        <w:rPr>
          <w:rFonts w:ascii="Palatino Linotype" w:hAnsi="Palatino Linotype"/>
          <w:sz w:val="21"/>
          <w:szCs w:val="21"/>
        </w:rPr>
        <w:t xml:space="preserve"> “</w:t>
      </w:r>
      <w:r w:rsidRPr="00E10347">
        <w:rPr>
          <w:rFonts w:ascii="Palatino Linotype" w:hAnsi="Palatino Linotype"/>
          <w:i/>
          <w:sz w:val="21"/>
          <w:szCs w:val="21"/>
        </w:rPr>
        <w:t xml:space="preserve">Una consecuencia procesal que produce la aplicación del principio precautorio, es la inversión de la carga de la prueba, aspecto que está </w:t>
      </w:r>
      <w:r w:rsidRPr="00E10347">
        <w:rPr>
          <w:rFonts w:ascii="Palatino Linotype" w:hAnsi="Palatino Linotype"/>
          <w:i/>
          <w:sz w:val="21"/>
          <w:szCs w:val="21"/>
        </w:rPr>
        <w:lastRenderedPageBreak/>
        <w:t>expresamente regulado en el artículo 109 de la Ley de Biodiversidad, que dispone: "La carga de la prueba, de la ausencia de contaminación, degradación o afectación no permitidas, corresponderá a quien solicite la aprobación, el permiso o acceso a la biodiversidad o a quién se le acuse de haber ocasionado daño ambiental", norma que debe verse en estrecha relación el artículo 5 de la misma Ley, que señala que lo establecido en esa legislación servirá de marco de interpretación del resto de las normas que regulan la materia objeto de dicha Ley. Esto quiere decir que en materia ambiental se rompe el clásico esquema de que "quién demanda debe probar", y adquiere un papel preponderante la teoría de la carga dinámica de la prueba, según la cual, "se traslada la carga a quién, a raíz de su situación personal, se halla en mejores condiciones para acercar la probanza al proceso, sin que importe si es el actor o el demandado" (sobre la carga dinámica de la prueba puede consultarse la sentencia de la Sala Primera de la Corte Suprema de Justicia N° 212-2008 de las 8:15 horas del 25 de marzo del 2008). Esta posición es aceptada por la doctrina del derecho ambiental, que en ese sentido ha indicado lo siguiente: "En el proceso ambiental, especialmente en función del principio precautorio, se produce una modificación en la carga de la prueba de encuadre clásico (según la cual es principio "que todo el que alega un hecho como pretensión o defensa tiene la carga de probarlo") y cobra vida, en función de la precaución, la doctrina de las cargas dinámicas probatorias como paliativo para aligerar la ímproba tarea de producir pruebas diabólicas que, en ciertos supuestos, se hacían recaer sin miramientos sobre las espaldas de alguna de las partes (actor o demandado), por malentender las sacrosantas reglas apriorísticas de distribución de la prueba. Finalmente, las modificaciones señaladas en el ámbito del proceso ambiental imponen hablar de un "verdadero derecho procesal ambiental", sea considerado como una rama autónoma o no; y la complejidad científico-técnica de los casos ambientales, que demandan soluciones inéditas a problemas también inéditos, imponen como mecanismo superador de las estructuras tradicionales del derecho la conveniencia de contar con fueros especializados en la materia ambiental como garantes de la aplicación efectiva del principio de precaución". (Martínez, María Paulina. "El principio precautorio</w:t>
      </w:r>
      <w:r w:rsidRPr="00E10347">
        <w:rPr>
          <w:rFonts w:ascii="Palatino Linotype" w:hAnsi="Palatino Linotype"/>
          <w:sz w:val="21"/>
          <w:szCs w:val="21"/>
        </w:rPr>
        <w:t>”.” En Protección Ambiental, Argentina, 2008, p. 122). Resolución número 4399-2010 de las 10:40 horas del 14/12/2010, Tribunal Contencioso Administrativo Sección IV.</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b/>
          <w:sz w:val="21"/>
          <w:szCs w:val="21"/>
        </w:rPr>
        <w:t>Inversión de la carga probatoria. Acción civil resarcitoria dentro del proceso penal.</w:t>
      </w:r>
      <w:r w:rsidRPr="00E10347">
        <w:rPr>
          <w:rFonts w:ascii="Palatino Linotype" w:hAnsi="Palatino Linotype"/>
          <w:sz w:val="21"/>
          <w:szCs w:val="21"/>
        </w:rPr>
        <w:t xml:space="preserve">  "</w:t>
      </w:r>
      <w:r w:rsidRPr="00E10347">
        <w:rPr>
          <w:rFonts w:ascii="Palatino Linotype" w:hAnsi="Palatino Linotype"/>
          <w:i/>
          <w:sz w:val="21"/>
          <w:szCs w:val="21"/>
        </w:rPr>
        <w:t>En realidad, con esto la responsabilidad objetiva se resume en una ventaja a favor del lesionado que significa una inversión de la carga de la prueba, en el sentido de que éste queda exonerado de la carga de probar la culpa o dolo del causante del daño y tampoco requiere probar su falta de culpa, a diferencia de los casos de responsabilidad subjetiva</w:t>
      </w:r>
      <w:r w:rsidRPr="00E10347">
        <w:rPr>
          <w:rFonts w:ascii="Palatino Linotype" w:hAnsi="Palatino Linotype"/>
          <w:sz w:val="21"/>
          <w:szCs w:val="21"/>
        </w:rPr>
        <w:t xml:space="preserve">”.  Resolución número 493-2004 de las 10:20 horas del 20/05/2004, Tribunal de Casación </w:t>
      </w:r>
      <w:r w:rsidRPr="00E10347">
        <w:rPr>
          <w:rFonts w:ascii="Palatino Linotype" w:hAnsi="Palatino Linotype"/>
          <w:sz w:val="21"/>
          <w:szCs w:val="21"/>
        </w:rPr>
        <w:lastRenderedPageBreak/>
        <w:t>Penal.</w:t>
      </w:r>
    </w:p>
    <w:p w:rsidR="00DD5619" w:rsidRDefault="00DD5619" w:rsidP="00DD5619">
      <w:pPr>
        <w:jc w:val="both"/>
        <w:rPr>
          <w:rFonts w:ascii="Palatino Linotype" w:hAnsi="Palatino Linotype"/>
          <w:b/>
          <w:sz w:val="21"/>
          <w:szCs w:val="21"/>
        </w:rPr>
      </w:pPr>
    </w:p>
    <w:p w:rsidR="00F80BB6" w:rsidRPr="00E10347" w:rsidRDefault="00F80BB6" w:rsidP="00DD5619">
      <w:pPr>
        <w:jc w:val="both"/>
        <w:rPr>
          <w:rFonts w:ascii="Palatino Linotype" w:hAnsi="Palatino Linotype"/>
          <w:b/>
          <w:sz w:val="21"/>
          <w:szCs w:val="21"/>
        </w:rPr>
      </w:pPr>
      <w:r w:rsidRPr="00E10347">
        <w:rPr>
          <w:rFonts w:ascii="Palatino Linotype" w:hAnsi="Palatino Linotype"/>
          <w:b/>
          <w:sz w:val="21"/>
          <w:szCs w:val="21"/>
        </w:rPr>
        <w:t xml:space="preserve">Colofón </w:t>
      </w:r>
    </w:p>
    <w:p w:rsidR="005506ED"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 xml:space="preserve">En los procesos ambientales la prueba posee especial importancia, requiriendo para su valoración, una alta especialización y conocimiento científico. Siendo la relación de causalidad el presupuesto más difícil de probar, la regla general deber ser la inversión de la carga probatoria. Los dictámenes emitidos por organismos especializados del Estado deben ostentar fuerza probatoria </w:t>
      </w:r>
      <w:r w:rsidRPr="00E10347">
        <w:rPr>
          <w:rFonts w:ascii="Palatino Linotype" w:hAnsi="Palatino Linotype"/>
          <w:i/>
          <w:sz w:val="21"/>
          <w:szCs w:val="21"/>
        </w:rPr>
        <w:t>iuris tantum</w:t>
      </w:r>
      <w:r w:rsidRPr="00E10347">
        <w:rPr>
          <w:rFonts w:ascii="Palatino Linotype" w:hAnsi="Palatino Linotype"/>
          <w:sz w:val="21"/>
          <w:szCs w:val="21"/>
        </w:rPr>
        <w:t>, sin perjuicio del derecho de las partes a su impugnación.  Las pruebas deben apreciarse respetando el resultado del contradictorio, conforme a las reglas de la sana crítica racional.</w:t>
      </w:r>
    </w:p>
    <w:p w:rsidR="005506ED" w:rsidRPr="00E10347" w:rsidRDefault="005506ED" w:rsidP="00E10347">
      <w:pPr>
        <w:rPr>
          <w:rFonts w:ascii="Palatino Linotype" w:hAnsi="Palatino Linotype"/>
          <w:sz w:val="21"/>
          <w:szCs w:val="21"/>
        </w:rPr>
      </w:pPr>
      <w:r w:rsidRPr="00E10347">
        <w:rPr>
          <w:rFonts w:ascii="Palatino Linotype" w:hAnsi="Palatino Linotype"/>
          <w:sz w:val="21"/>
          <w:szCs w:val="21"/>
        </w:rPr>
        <w:br w:type="page"/>
      </w:r>
    </w:p>
    <w:p w:rsidR="00F80BB6" w:rsidRPr="00E10347" w:rsidRDefault="00F80BB6" w:rsidP="00E10347">
      <w:pPr>
        <w:ind w:firstLine="709"/>
        <w:jc w:val="both"/>
        <w:rPr>
          <w:rFonts w:ascii="Palatino Linotype" w:hAnsi="Palatino Linotype"/>
          <w:sz w:val="21"/>
          <w:szCs w:val="21"/>
        </w:rPr>
      </w:pPr>
    </w:p>
    <w:p w:rsidR="00F80BB6" w:rsidRPr="00E10347" w:rsidRDefault="00F80BB6" w:rsidP="00E10347">
      <w:pPr>
        <w:jc w:val="center"/>
        <w:rPr>
          <w:rFonts w:ascii="Palatino Linotype" w:hAnsi="Palatino Linotype"/>
          <w:b/>
          <w:sz w:val="21"/>
          <w:szCs w:val="21"/>
        </w:rPr>
      </w:pPr>
      <w:r w:rsidRPr="00E10347">
        <w:rPr>
          <w:rFonts w:ascii="Palatino Linotype" w:hAnsi="Palatino Linotype"/>
          <w:b/>
          <w:sz w:val="21"/>
          <w:szCs w:val="21"/>
        </w:rPr>
        <w:t>Bibliografía</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Cafferatta, Néstor. La prueba en el daño ambiental, publicado en la Revista Brasileira de Direito Ambiental, enero/marzo 2005, Editora Fiuza, vol 01, año 01, 2005.</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Cafferatta, Néstor. Prueba y Nexo de causalidad en el daño ambiental, en Revista de Derecho Ambiental, número 0, noviembre 2004, Editorial Lexis Nexos, Buenos Aires, 2004.</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Cafferatta Néstor. Proceso Colectivo Ambienta a la luz de la Ley 25675 General del Ambiente, en Revista de Direito Ambiental, año 8, enero – marzo 2003, Editora Dos Tribunais, Sao Paulo, 2003.</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Goldenberg, Isidoro.  Daño Ambiental, Problemática de la determinación causal. Editorial Abeledo Perrot.  Argentina.  2001.</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Peña Chacón, Mario. Aspectos procesales de la responsabilidad por daño ambiental aplicables en el nueva jurisdicción contencioso administrativa, en Revista Judicial número 102, diciembre 2012, San José, 2012.</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Peña Chacón, Mario. El derecho procesal ambiental en la jurisprudencia costarricense, Revista Iberoamericana de Derecho Ambiental y Recursos Naturales número 14, noviembre 2014, Buenos Aires,  2014.</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Peña Chacón, Mario. Jurisprudencia sobre daño, responsabilidad y reparación del medio ambiente. Editorial Investigaciones Jurídicas, primera edición, San José. 2012.</w:t>
      </w:r>
    </w:p>
    <w:p w:rsidR="00F80BB6" w:rsidRPr="00E10347" w:rsidRDefault="00F80BB6" w:rsidP="00E10347">
      <w:pPr>
        <w:ind w:firstLine="709"/>
        <w:jc w:val="both"/>
        <w:rPr>
          <w:rFonts w:ascii="Palatino Linotype" w:hAnsi="Palatino Linotype"/>
          <w:sz w:val="21"/>
          <w:szCs w:val="21"/>
          <w:lang w:val="es-CR"/>
        </w:rPr>
      </w:pPr>
      <w:r w:rsidRPr="00E10347">
        <w:rPr>
          <w:rFonts w:ascii="Palatino Linotype" w:hAnsi="Palatino Linotype"/>
          <w:sz w:val="21"/>
          <w:szCs w:val="21"/>
          <w:lang w:val="es-CR"/>
        </w:rPr>
        <w:t>Peña Chacón, Mario. Daño, responsabilidad y reparación del ambiente.  Editorial Investigaciones Jurídicas S.A. Segunda edición, San José, 2011.</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lang w:val="es-CR"/>
        </w:rPr>
        <w:t xml:space="preserve">Peña Chacón, Mario, González Ballar, Rafael, El Proceso Ambiental en Costa Rica, </w:t>
      </w:r>
      <w:r w:rsidRPr="00E10347">
        <w:rPr>
          <w:rFonts w:ascii="Palatino Linotype" w:hAnsi="Palatino Linotype"/>
          <w:sz w:val="21"/>
          <w:szCs w:val="21"/>
        </w:rPr>
        <w:t>Editorial Isolma S.A., primera edición, 2015.</w:t>
      </w:r>
    </w:p>
    <w:p w:rsidR="00F80BB6" w:rsidRPr="00E10347" w:rsidRDefault="00F80BB6" w:rsidP="00E10347">
      <w:pPr>
        <w:ind w:firstLine="709"/>
        <w:rPr>
          <w:rFonts w:ascii="Palatino Linotype" w:hAnsi="Palatino Linotype"/>
          <w:sz w:val="21"/>
          <w:szCs w:val="21"/>
        </w:rPr>
      </w:pPr>
    </w:p>
    <w:p w:rsidR="00A528E4" w:rsidRPr="00E10347" w:rsidRDefault="00A528E4" w:rsidP="00E10347">
      <w:pPr>
        <w:widowControl/>
        <w:ind w:firstLine="709"/>
        <w:jc w:val="center"/>
        <w:rPr>
          <w:rFonts w:ascii="Palatino Linotype" w:eastAsia="Times New Roman" w:hAnsi="Palatino Linotype" w:cs="Times New Roman"/>
          <w:b/>
          <w:sz w:val="21"/>
          <w:szCs w:val="21"/>
        </w:rPr>
        <w:sectPr w:rsidR="00A528E4" w:rsidRPr="00E10347" w:rsidSect="00FC1DF6">
          <w:headerReference w:type="even" r:id="rId55"/>
          <w:headerReference w:type="default" r:id="rId56"/>
          <w:type w:val="oddPage"/>
          <w:pgSz w:w="12240" w:h="15840" w:code="1"/>
          <w:pgMar w:top="1667" w:right="851" w:bottom="4253" w:left="3686" w:header="1021" w:footer="3005" w:gutter="0"/>
          <w:cols w:space="708"/>
          <w:titlePg/>
          <w:docGrid w:linePitch="360"/>
        </w:sectPr>
      </w:pPr>
    </w:p>
    <w:p w:rsidR="00F80BB6" w:rsidRPr="00E10347" w:rsidRDefault="00F80BB6" w:rsidP="00E10347">
      <w:pPr>
        <w:widowControl/>
        <w:ind w:firstLine="709"/>
        <w:jc w:val="center"/>
        <w:rPr>
          <w:rFonts w:ascii="Palatino Linotype" w:eastAsia="Times New Roman" w:hAnsi="Palatino Linotype" w:cs="Times New Roman"/>
          <w:b/>
          <w:sz w:val="21"/>
          <w:szCs w:val="21"/>
        </w:rPr>
      </w:pPr>
      <w:bookmarkStart w:id="66" w:name="_Hlk479197982"/>
      <w:r w:rsidRPr="00E10347">
        <w:rPr>
          <w:rFonts w:ascii="Palatino Linotype" w:eastAsia="Times New Roman" w:hAnsi="Palatino Linotype" w:cs="Times New Roman"/>
          <w:b/>
          <w:sz w:val="21"/>
          <w:szCs w:val="21"/>
        </w:rPr>
        <w:lastRenderedPageBreak/>
        <w:t>“La sentencia oral: ¿mito o realidad?”</w:t>
      </w:r>
      <w:bookmarkEnd w:id="66"/>
    </w:p>
    <w:p w:rsidR="00F80BB6" w:rsidRPr="00E10347" w:rsidRDefault="00F80BB6" w:rsidP="00E10347">
      <w:pPr>
        <w:widowControl/>
        <w:ind w:firstLine="709"/>
        <w:jc w:val="center"/>
        <w:rPr>
          <w:rFonts w:ascii="Palatino Linotype" w:eastAsia="Times New Roman" w:hAnsi="Palatino Linotype" w:cs="Times New Roman"/>
          <w:b/>
          <w:sz w:val="21"/>
          <w:szCs w:val="21"/>
        </w:rPr>
      </w:pPr>
      <w:r w:rsidRPr="00E10347">
        <w:rPr>
          <w:rFonts w:ascii="Palatino Linotype" w:eastAsia="Times New Roman" w:hAnsi="Palatino Linotype" w:cs="Times New Roman"/>
          <w:b/>
          <w:sz w:val="21"/>
          <w:szCs w:val="21"/>
        </w:rPr>
        <w:t>Análisis desde la óptica constitucional costarricense</w:t>
      </w:r>
    </w:p>
    <w:p w:rsidR="00F80BB6" w:rsidRPr="00E10347" w:rsidRDefault="00F80BB6" w:rsidP="00E10347">
      <w:pPr>
        <w:widowControl/>
        <w:ind w:firstLine="709"/>
        <w:jc w:val="center"/>
        <w:rPr>
          <w:rFonts w:ascii="Palatino Linotype" w:eastAsia="Times New Roman" w:hAnsi="Palatino Linotype" w:cs="Times New Roman"/>
          <w:b/>
          <w:sz w:val="21"/>
          <w:szCs w:val="21"/>
        </w:rPr>
      </w:pPr>
      <w:r w:rsidRPr="00E10347">
        <w:rPr>
          <w:rFonts w:ascii="Palatino Linotype" w:eastAsia="Times New Roman" w:hAnsi="Palatino Linotype" w:cs="Times New Roman"/>
          <w:b/>
          <w:sz w:val="21"/>
          <w:szCs w:val="21"/>
        </w:rPr>
        <w:t>sobre el Sistema de Oralidad del Poder Judicial</w:t>
      </w:r>
    </w:p>
    <w:p w:rsidR="00F80BB6" w:rsidRPr="00E10347" w:rsidRDefault="00F80BB6" w:rsidP="00E10347">
      <w:pPr>
        <w:widowControl/>
        <w:ind w:firstLine="709"/>
        <w:jc w:val="center"/>
        <w:rPr>
          <w:rFonts w:ascii="Palatino Linotype" w:eastAsia="Times New Roman" w:hAnsi="Palatino Linotype" w:cs="Times New Roman"/>
          <w:b/>
          <w:sz w:val="21"/>
          <w:szCs w:val="21"/>
        </w:rPr>
      </w:pPr>
    </w:p>
    <w:p w:rsidR="00F80BB6" w:rsidRDefault="00F80BB6" w:rsidP="00E10347">
      <w:pPr>
        <w:widowControl/>
        <w:ind w:firstLine="709"/>
        <w:jc w:val="right"/>
        <w:rPr>
          <w:rFonts w:ascii="Palatino Linotype" w:eastAsia="Times New Roman" w:hAnsi="Palatino Linotype" w:cs="Times New Roman"/>
          <w:b/>
          <w:sz w:val="21"/>
          <w:szCs w:val="21"/>
        </w:rPr>
      </w:pPr>
      <w:bookmarkStart w:id="67" w:name="_Hlk479197994"/>
      <w:r w:rsidRPr="00E10347">
        <w:rPr>
          <w:rFonts w:ascii="Palatino Linotype" w:eastAsia="Times New Roman" w:hAnsi="Palatino Linotype" w:cs="Times New Roman"/>
          <w:b/>
          <w:sz w:val="21"/>
          <w:szCs w:val="21"/>
        </w:rPr>
        <w:t>Pablo José Porras Barahona</w:t>
      </w:r>
      <w:bookmarkEnd w:id="67"/>
      <w:r w:rsidR="00E338DC" w:rsidRPr="00E10347">
        <w:rPr>
          <w:rStyle w:val="Refdenotaalpie"/>
          <w:rFonts w:ascii="Palatino Linotype" w:eastAsia="Times New Roman" w:hAnsi="Palatino Linotype" w:cs="Times New Roman"/>
          <w:b/>
          <w:sz w:val="21"/>
          <w:szCs w:val="21"/>
        </w:rPr>
        <w:footnoteReference w:id="479"/>
      </w:r>
    </w:p>
    <w:p w:rsidR="00A05EF6" w:rsidRDefault="00A05EF6" w:rsidP="00A05EF6">
      <w:pPr>
        <w:widowControl/>
        <w:rPr>
          <w:rFonts w:ascii="Palatino Linotype" w:eastAsia="Times New Roman" w:hAnsi="Palatino Linotype" w:cs="Times New Roman"/>
          <w:b/>
          <w:sz w:val="21"/>
          <w:szCs w:val="21"/>
        </w:rPr>
      </w:pPr>
    </w:p>
    <w:p w:rsidR="00A05EF6" w:rsidRPr="00E10347" w:rsidRDefault="00A05EF6" w:rsidP="00A05EF6">
      <w:pPr>
        <w:widowControl/>
        <w:rPr>
          <w:rFonts w:ascii="Palatino Linotype" w:eastAsia="Times New Roman" w:hAnsi="Palatino Linotype" w:cs="Times New Roman"/>
          <w:b/>
          <w:sz w:val="21"/>
          <w:szCs w:val="21"/>
        </w:rPr>
      </w:pPr>
      <w:r w:rsidRPr="00D1279A">
        <w:rPr>
          <w:rFonts w:ascii="Palatino Linotype" w:hAnsi="Palatino Linotype"/>
          <w:smallCaps/>
          <w:sz w:val="21"/>
          <w:szCs w:val="21"/>
          <w:lang w:val="es-CR"/>
        </w:rPr>
        <w:t xml:space="preserve">SUMARIO:  </w:t>
      </w:r>
      <w:r w:rsidRPr="00D1279A">
        <w:rPr>
          <w:rFonts w:ascii="Palatino Linotype" w:eastAsia="Times New Roman" w:hAnsi="Palatino Linotype" w:cs="Times New Roman"/>
          <w:sz w:val="21"/>
          <w:szCs w:val="21"/>
        </w:rPr>
        <w:t>1.- Marco de constitucionalidad de la sentencia oral.  2.- Los roles de los sujetos procesales en el Sistema de Oralidad del Poder Judicial. ¿Cuáles poderes debería tener una persona juzgadora en un sistema de oralidad?  3.- ¿Con cuáles condiciones personales debe contar la persona administradora de justicia frente al nuevo paradigma de oralidad?  4.- ¿Cuáles deben ser las funciones, actividad y los deberes de las partes y sus representantes en un sistema de oralidad?  5.- Garantía de tutela judicial implícita en el dictado de la sentencia oral  6.- Comunicación oral de la sentencia. Recomendaciones.  7.- El derecho a una justicia comprensible.  Consideraciones conclusivas.  Bibliografía</w:t>
      </w:r>
    </w:p>
    <w:p w:rsidR="00F80BB6" w:rsidRPr="00E10347" w:rsidRDefault="00F80BB6" w:rsidP="00E10347">
      <w:pPr>
        <w:widowControl/>
        <w:ind w:firstLine="709"/>
        <w:jc w:val="right"/>
        <w:rPr>
          <w:rFonts w:ascii="Palatino Linotype" w:eastAsia="Times New Roman" w:hAnsi="Palatino Linotype" w:cs="Times New Roman"/>
          <w:b/>
          <w:sz w:val="21"/>
          <w:szCs w:val="21"/>
        </w:rPr>
      </w:pPr>
      <w:r w:rsidRPr="00E10347">
        <w:rPr>
          <w:rFonts w:ascii="Palatino Linotype" w:eastAsia="Times New Roman" w:hAnsi="Palatino Linotype" w:cs="Times New Roman"/>
          <w:b/>
          <w:sz w:val="21"/>
          <w:szCs w:val="21"/>
        </w:rPr>
        <w:t xml:space="preserve"> </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La oralidad, como muchas otras herramientas con las que cuenta la Administración de Justicia, representa para la persona usuaria una posibilidad más para satisfacer el mandato constitucional de justicia pronta y cumplida. Entre las principales características con las que debe contar el juez y la jueza del siglo XXI, se encuentra la de ser flexible ante las formalidades procesales, así como tener la habilidad de dirigir el proceso de manera que garantice los derechos fundamentales de las personas.</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Es importante hablar acerca de la modernidad y de los cambios tecnológicos que ella representa, por cuanto la justicia es un estado que de igual forma, debe ajustarse a las necesidades de las personas, quienes cada vez son más exigentes a que se les brinde una respuesta pronta, por lo que el tema de la justicia y la tecnología en nuestro medio, deben estar siempre asociadas con el fin de incentivar el desarrollo de aquellas destrezas indispensables para la adecuada administración de justicia.</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 xml:space="preserve">El presente trabajo, tiene por objeto analizar la constitucionalidad de la sentencia oral. Además, el propósito es analizar el rol de los sujetos procesales </w:t>
      </w:r>
      <w:r w:rsidRPr="00E10347">
        <w:rPr>
          <w:rFonts w:ascii="Palatino Linotype" w:eastAsia="Times New Roman" w:hAnsi="Palatino Linotype" w:cs="Times New Roman"/>
          <w:sz w:val="21"/>
          <w:szCs w:val="21"/>
        </w:rPr>
        <w:lastRenderedPageBreak/>
        <w:t xml:space="preserve">dentro del Sistema de Oralidad del Poder Judicial, con énfasis en la función del juez y de la jueza.  Luego, descubrir si tiene relación con el principio de tutela judicial efectiva, para finalmente establecer cuál debería ser el modelo de comunicación oral por el que debería caracterizarse la función de la persona juzgadora al momento de tomar la decisión dentro de un proceso judicial determinado. </w:t>
      </w:r>
    </w:p>
    <w:p w:rsidR="00DD5619" w:rsidRDefault="00DD5619" w:rsidP="00E10347">
      <w:pPr>
        <w:widowControl/>
        <w:jc w:val="both"/>
        <w:rPr>
          <w:rFonts w:ascii="Palatino Linotype" w:eastAsia="Times New Roman" w:hAnsi="Palatino Linotype" w:cs="Times New Roman"/>
          <w:b/>
          <w:sz w:val="21"/>
          <w:szCs w:val="21"/>
        </w:rPr>
      </w:pPr>
    </w:p>
    <w:p w:rsidR="00F80BB6" w:rsidRPr="00E10347" w:rsidRDefault="00E338DC" w:rsidP="00E10347">
      <w:pPr>
        <w:widowControl/>
        <w:jc w:val="both"/>
        <w:rPr>
          <w:rFonts w:ascii="Palatino Linotype" w:eastAsia="Times New Roman" w:hAnsi="Palatino Linotype" w:cs="Times New Roman"/>
          <w:b/>
          <w:sz w:val="21"/>
          <w:szCs w:val="21"/>
        </w:rPr>
      </w:pPr>
      <w:r w:rsidRPr="00E10347">
        <w:rPr>
          <w:rFonts w:ascii="Palatino Linotype" w:eastAsia="Times New Roman" w:hAnsi="Palatino Linotype" w:cs="Times New Roman"/>
          <w:b/>
          <w:sz w:val="21"/>
          <w:szCs w:val="21"/>
        </w:rPr>
        <w:t xml:space="preserve">1.- </w:t>
      </w:r>
      <w:r w:rsidR="00F80BB6" w:rsidRPr="00E10347">
        <w:rPr>
          <w:rFonts w:ascii="Palatino Linotype" w:eastAsia="Times New Roman" w:hAnsi="Palatino Linotype" w:cs="Times New Roman"/>
          <w:b/>
          <w:sz w:val="21"/>
          <w:szCs w:val="21"/>
        </w:rPr>
        <w:t>Marco de constitucionalidad de la sentencia oral</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 xml:space="preserve">La Sala Constitucional de la Corte Suprema de Justicia de la República de Costa Rica, mediante el Voto n° 3117-2009 de las 15:03 horas del 25 de febrero de 2009, evacuó una Consulta Judicial de Constitucionalidad formulada por el Tribunal de Casación Penal del Segundo Circuito Judicial de San José, por considerar inconstitucional la práctica de emitir la sentencia oralmente, ya que a criterio de dicho órgano judicial, vulnera el principio de legalidad. </w:t>
      </w:r>
      <w:r w:rsidRPr="00E10347">
        <w:rPr>
          <w:rFonts w:ascii="Palatino Linotype" w:eastAsia="Times New Roman" w:hAnsi="Palatino Linotype" w:cs="Times New Roman"/>
          <w:sz w:val="21"/>
          <w:szCs w:val="21"/>
        </w:rPr>
        <w:tab/>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La importancia de esta jurisprudencia, radica en que para muchas personas marcó un hito respecto a la dirección que tomaba el Poder Judicial al implementar la oralidad dentro de los procesos judiciales, la cual, por recaer en el dictado de la resolución de fondo, también permitía que otras decisiones dentro del proceso fueran tomadas bajo esa misma modalidad, lo que permite reducir considerablemente los tiempos de respuesta a la persona usuaria, tal y como se expondrá más adelante.</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b/>
          <w:sz w:val="21"/>
          <w:szCs w:val="21"/>
          <w:u w:val="single"/>
        </w:rPr>
        <w:t>Razones de la consulta</w:t>
      </w:r>
      <w:r w:rsidRPr="00E10347">
        <w:rPr>
          <w:rFonts w:ascii="Palatino Linotype" w:eastAsia="Times New Roman" w:hAnsi="Palatino Linotype" w:cs="Times New Roman"/>
          <w:sz w:val="21"/>
          <w:szCs w:val="21"/>
        </w:rPr>
        <w:t>: Entre los principales argumentos de la Consulta, se encontró el hecho que, a criterio del Tribunal, respaldar la sentencia oral en un dispositivo de almacenamiento como DVD, no mejoraba en nada el desarrollo de la justicia penal, ya que, por el contrario, producía que la mayor parte de la población no tuviera acceso al contenido de ese recurso por carecer de las herramientas necesarias para reproducirlo.</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El Tribunal invocó una gran cantidad de normativa que señalaba expresamente que la sentencia debía ser un documento que siempre debía constar por escrito, por lo que al cambiar su forma, estaría poniendo en riesgo la posibilidad de reunir u ordenar las experiencias y conocimientos producidos en el juicio. Además, indicó que la escritura era el mejor sistema de representación de la lengua, por tratarse del mejor método de comunicación humana, y el vehículo óptimo para acceder al conocimiento de la jurisprudencia.</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b/>
          <w:sz w:val="21"/>
          <w:szCs w:val="21"/>
          <w:u w:val="single"/>
        </w:rPr>
        <w:t>Posición de la Sala</w:t>
      </w:r>
      <w:r w:rsidRPr="00E10347">
        <w:rPr>
          <w:rFonts w:ascii="Palatino Linotype" w:eastAsia="Times New Roman" w:hAnsi="Palatino Linotype" w:cs="Times New Roman"/>
          <w:sz w:val="21"/>
          <w:szCs w:val="21"/>
        </w:rPr>
        <w:t xml:space="preserve">: La Sala Constitucional concluye que esta forma de emitir la sentencia (oral), no violenta ningún derecho constitucional, ya que la </w:t>
      </w:r>
      <w:r w:rsidRPr="00E10347">
        <w:rPr>
          <w:rFonts w:ascii="Palatino Linotype" w:eastAsia="Times New Roman" w:hAnsi="Palatino Linotype" w:cs="Times New Roman"/>
          <w:sz w:val="21"/>
          <w:szCs w:val="21"/>
        </w:rPr>
        <w:lastRenderedPageBreak/>
        <w:t xml:space="preserve">oralidad es un medio que acerca a la persona usuaria con la justicia, de manera que le permite identificar al juzgador o juzgadora, como aquella persona que emite sus decisiones en forma directa (viva voz) y sin formalismos excesivos, aunado al hecho de que esto facilita la inmediación y la celeridad procesal. </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Este órgano judicial estableció que las normas deben ser interpretadas a partir del momento histórico en que fueron creadas, por lo que al decirse que la sentencia debía ser emitida por escrito, es porque en aquel momento, no se contaba con las posibilidades tecnológicas existentes en la actualidad.</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La Sala, para decir que el empleo de la oralidad al momento de dictar la sentencia, no es inconstitucional, refiere a la interpretación histórica de las normas que establecen que la sentencia debe ser escrita. De forma acertada, la Sala justifica que para el momento en que dichas normas fueron redactadas, el único medio por el que esa decisión podía quedar documentada, era precisamente la escritura. El aparato legislador de esa época, nunca se representó como posible que años adelante, existiera la posibilidad de respaldar las actuaciones diarias en dispositivos magnéticos.</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Afortunadamente, dicha tendencia ha cambiado. A manera de ejemplo, la Ley de Notificaciones Judiciales, permite que la persona usuaria realice el señalamiento de medios electrónicos para recibir este tipo de comunicados. Incluso, la propia normativa queda abierta para cualquier otra forma en que se pueda hacer efectivo el comunicado judicial. Por su parte, el Poder Judicial se ha preocupado por incursionar programas novedosos tales como el Sistema de Gestión en Línea, que permite la consulta electrónica de los expedientes desde cualquier lugar del mundo, siempre y cuando se tenga acceso a internet. Si realizáramos una interpretación literal de la norma, entendiendo que los expedientes deben ser siempre documentos físicos, no sería posible contar con expedientes electrónicos en los cuales todos sus documentos se encuentran en forma digital.</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Existe el temor que algunas personas no tengan el acceso para reproducir el contenido de algún dispositivo en el que se haya respaldado cualquier tipo de acto judicial, pero lo cierto es que en la actualidad, las oportunidades se han ido ampliando poco a poco. Hace algunos años, solo una determinada clase social podía tener acceso a un teléfono celular. Ahora, casi todas las personas tenemos uno, lo que significa que hemos tenido que ajustar dichos recursos a nuestras necesidades… ¡Lo mismo ocurre con la justicia!</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lastRenderedPageBreak/>
        <w:t>Cuando exista alguna persona que no pueda acceder al contenido del registro de la grabación que se le brinda, la institución debe procurar porque al menos dentro de sus instalaciones, se cuente con los recursos necesarios para reproducir ese dispositivo. Así parece entenderlo la Sala Constitucional y en la actualidad, esto es lo que se ha venido realizando en las oficinas judiciales.</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 xml:space="preserve">Sin embargo, estos esfuerzos nunca serán suficientes. El Poder Judicial debe contemplar dentro de sus Planes Estratégicos, el presupuesto para que cada vez una mayor cantidad de despachos judiciales cuenten con estos recursos, y no solo los que se encuentren dentro de algún Circuito Judicial. Sin embargo, se estima que sin importar los recursos con los que se cuente al momento de celebrar la audiencia, quien presida debe garantizar de una u otra forma el cumplimiento de las tres “C” para llevar a cabo una adecuada dirección: “Comodidad”, “Calidad” y “Control”. Por esto, aunque no se cuente con los instrumentos mínimos para realizar el registro de la grabación, le corresponde a la persona juzgadora incorporar nuevos recursos, como bien podría ser las grabadoras de mano, o las aplicaciones telefónicas que permiten registrar la voz. </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 xml:space="preserve">En un mundo cada vez más demandante, tanto el juez como la jueza deben de estar preparados para incursionar cualquier recurso tecnológico para acercar la justicia a la persona. No sería posible atrincherarse en la oficina, a la espera de lo que pueda ocurrir con el servicio que se le brinda al usuario o a la usuaria. Nunca será lo mismo leer de un documento la resolución de un caso concreto, que escucharla de viva voz de parte de ese juez o jueza de la República. Es lo que la Sala denomina: “Justicia con rostro humano”. </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Otra de las preocupaciones del Tribunal que realiza la Consulta, consistía en que si el registro de la sentencia se realizaba por cualquier otro medio excepto en la forma tradicional (escrita), no se iba a lograr identificar aquellos segmentos de interés que comúnmente realiza la persona lectora, por el simple hecho de ubicar en forma ágil aquel párrafo u oración que le permitiera evacuar su duda. Sin embargo, dicha posición no fue atendida por la Sala Constitucional, ya que ese riesgo podría reducirse si se consigna dentro de la minuta de la audiencia o bien dentro del mismo dispositivo de grabación, el momento exacto por donde comienza –por ejemplo- la declaración de alguna persona, o bien la formulación del alegato de conclusiones.</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 xml:space="preserve">Por otro lado, se cuestionó la posición del Tribunal cuando indicó que las sentencias, para que fueran eficaces, debían ser firmadas. Al respecto, si bien resultaría materialmente imposible firmar una resolución oral, lo cierto es que la </w:t>
      </w:r>
      <w:r w:rsidRPr="00E10347">
        <w:rPr>
          <w:rFonts w:ascii="Palatino Linotype" w:eastAsia="Times New Roman" w:hAnsi="Palatino Linotype" w:cs="Times New Roman"/>
          <w:sz w:val="21"/>
          <w:szCs w:val="21"/>
        </w:rPr>
        <w:lastRenderedPageBreak/>
        <w:t>sola presencia de la persona juzgadora, le da esa validez que necesita la decisión para suponer que en efecto, es ésta y no otra la persona legitimada para juzgar. Si la firma es la solemnidad universal que establece la máxima declaración de voluntad de la persona, el registro de la presencia de ella, lo es aún más.</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Las ventajas de un proceso con tendencia hacia la oralidad son numerosas. Es el mejor modelo procesal para la consecución de los principios rectores del proceso. Nuestra legislación ha venido incursionando sobre este tema en casi todas las materias. Así, Contravencional y Tránsito, por derivarse directamente de los principios de la materia Penal, han sido las primeras en acoger el tema de la oralidad como la base para todas sus actuaciones. Es, sin lugar a dudas, la forma más natural en la que nos expresamos los seres humanos. Para tales efectos, se creó el “Protocolo de Actuaciones para el Desempeño de los Tribunales de Juicio en Materia Penal”, el cual brinda algunas directrices sobre la implementación de la oralidad en las audiencias. En este instrumento, los artículos 1, 8 y 11, establecen expresamente que las decisiones –entre ellas la sentencia-, deben ser manifestadas en forma oral, salvo algunos casos excepcionales.</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En el proceso civil y laboral, es tal vez donde más se ha dificultado implementar la oralidad. Esto por cuanto las formalidades que conlleva la materia civil -la cual también aplica en forma supletoria con la materia laboral y agraria-, han impedido que personas juzgadoras se desapeguen de esa rigurosidad literal que les asiste en material procesal. Sin embargo, gracias a los esfuerzos de procesalistas y personas doctrinarias en la materia, han permitido la promulgación de leyes en las que poco a poco la oralidad, se ha ido incursionando como principio rector de cada proceso (Ley de Cobro Judicial, Proceso Monitorio Arrendaticio y nuevo Código Procesal Civil).</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 xml:space="preserve">A raíz de estos incentivos, en materia laboral se ha aprobado el “Protocolo de Manejo de la Oralidad en las Audiencias de los Procesos Laborales en Costa Rica”. En materia agraria, se encuentra en desarrollo el proyecto del Código Procesal Agrario. En cuanto al protocolo de oralidad en materia laboral, en la regla 8.01, se indica expresamente que la decisión jurisdiccional debe hacerse en forma oral. </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En materia de familia, actualmente no se cuenta con algún instrumento que direccione la implementación de la oralidad en las audiencias, sin embargo, la Comisión de la Jurisdicción de Familia y Pensiones Alimentarias, ya se encuentra elaborando un protocolo muy similar a los dos anteriores.</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lastRenderedPageBreak/>
        <w:t xml:space="preserve">De esta forma, entendemos que para la Sala, no es contrario a la Constitución el dictado de la sentencia oral, ya que, entre otros beneficios, perfecciona la inmediatez y la economía procesal. Con esto se pretende mantener el roce personal de las partes, con la correlativa inmediación del juez o de la jueza, para así alcanzar la aplicación de un verdadero principio contradictorio. </w:t>
      </w:r>
    </w:p>
    <w:p w:rsidR="00DD5619" w:rsidRDefault="00DD5619" w:rsidP="00E10347">
      <w:pPr>
        <w:widowControl/>
        <w:jc w:val="both"/>
        <w:rPr>
          <w:rFonts w:ascii="Palatino Linotype" w:eastAsia="Times New Roman" w:hAnsi="Palatino Linotype" w:cs="Times New Roman"/>
          <w:b/>
          <w:sz w:val="21"/>
          <w:szCs w:val="21"/>
        </w:rPr>
      </w:pPr>
    </w:p>
    <w:p w:rsidR="00F80BB6" w:rsidRPr="00E10347" w:rsidRDefault="00E338DC" w:rsidP="00E10347">
      <w:pPr>
        <w:widowControl/>
        <w:jc w:val="both"/>
        <w:rPr>
          <w:rFonts w:ascii="Palatino Linotype" w:eastAsia="Times New Roman" w:hAnsi="Palatino Linotype" w:cs="Times New Roman"/>
          <w:sz w:val="21"/>
          <w:szCs w:val="21"/>
        </w:rPr>
      </w:pPr>
      <w:r w:rsidRPr="00E10347">
        <w:rPr>
          <w:rFonts w:ascii="Palatino Linotype" w:eastAsia="Times New Roman" w:hAnsi="Palatino Linotype" w:cs="Times New Roman"/>
          <w:b/>
          <w:sz w:val="21"/>
          <w:szCs w:val="21"/>
        </w:rPr>
        <w:t xml:space="preserve">2.- </w:t>
      </w:r>
      <w:r w:rsidR="00F80BB6" w:rsidRPr="00E10347">
        <w:rPr>
          <w:rFonts w:ascii="Palatino Linotype" w:eastAsia="Times New Roman" w:hAnsi="Palatino Linotype" w:cs="Times New Roman"/>
          <w:b/>
          <w:sz w:val="21"/>
          <w:szCs w:val="21"/>
        </w:rPr>
        <w:t>Los roles de los sujetos procesales en el Sistema de Oralidad del Poder Judicial</w:t>
      </w:r>
      <w:r w:rsidRPr="00E10347">
        <w:rPr>
          <w:rFonts w:ascii="Palatino Linotype" w:eastAsia="Times New Roman" w:hAnsi="Palatino Linotype" w:cs="Times New Roman"/>
          <w:b/>
          <w:sz w:val="21"/>
          <w:szCs w:val="21"/>
        </w:rPr>
        <w:t xml:space="preserve">. </w:t>
      </w:r>
      <w:r w:rsidR="00F80BB6" w:rsidRPr="00E10347">
        <w:rPr>
          <w:rFonts w:ascii="Palatino Linotype" w:eastAsia="Times New Roman" w:hAnsi="Palatino Linotype" w:cs="Times New Roman"/>
          <w:b/>
          <w:sz w:val="21"/>
          <w:szCs w:val="21"/>
        </w:rPr>
        <w:t>¿Cuáles poderes debería tener una persona juzgadora en un sistema de oralidad?</w:t>
      </w:r>
    </w:p>
    <w:p w:rsidR="00F80BB6" w:rsidRPr="00E10347" w:rsidRDefault="00F80BB6" w:rsidP="00E10347">
      <w:pPr>
        <w:pStyle w:val="Default"/>
        <w:ind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color w:val="auto"/>
          <w:sz w:val="21"/>
          <w:szCs w:val="21"/>
        </w:rPr>
        <w:t>Las necesidades de las personas atienden a un determinado momento histórico. Antes, era más sencillo que las personas pudieran ponerse de acuerdo para resolver sus conflictos. Ahora, parece que solo algunas cosas fueran realmente importantes, mientras que la opinión de las demás personas resulta intransigente, siempre y cuando no sea parte de la solución sobre los intereses que se busquen.</w:t>
      </w:r>
    </w:p>
    <w:p w:rsidR="00F80BB6" w:rsidRPr="00E10347" w:rsidRDefault="00F80BB6" w:rsidP="00E10347">
      <w:pPr>
        <w:pStyle w:val="Default"/>
        <w:ind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color w:val="auto"/>
          <w:sz w:val="21"/>
          <w:szCs w:val="21"/>
        </w:rPr>
        <w:t>Constitucionalmente, le corresponde al Poder Judicial de Costa Rica resolver los conflictos que surjan a partir de las relaciones humanas (artículo 153 de la Constitución Política). Como es de suponer, las exigencias de las personas frente a un sistema judicial cada vez más colapsado por la alta demanda, ha ocasionado que la institución adopte medidas cada vez más ágiles y eficaces para reducir el retraso que actualmente existe para la solución de estos conflictos. Una de estas medidas, ha sido la implementación de la oralidad, la cual, entre muchas otras bondades, permite que la persona juzgadora tenga un mayor y mejor contacto con las partes, así como con los elementos de prueba, lo cual permite resolver de manera célere e inmediata, congruente con el mandato constitucional de justicia pronta y cumplida.</w:t>
      </w:r>
    </w:p>
    <w:p w:rsidR="00F80BB6" w:rsidRPr="00E10347" w:rsidRDefault="00F80BB6" w:rsidP="00E10347">
      <w:pPr>
        <w:pStyle w:val="Default"/>
        <w:ind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color w:val="auto"/>
          <w:sz w:val="21"/>
          <w:szCs w:val="21"/>
        </w:rPr>
        <w:t>El Debido Proceso, podría definirse no solo como el conjunto de procedimientos legislativos, judiciales y administrativos que deben cumplirse para que una ley, sentencia o resolución administrativa tocante a la libertad individual sea formalmente válida (aspecto objetivo del debido proceso), sino también para que se constituya en garantía de orden, de la justicia, de la seguridad, en cuanto no lesione de manera indebida la seguridad jurídica propuesta como intangible para el ciudadano y la ciudadana en el Estado (aspecto sustantivo del debido proceso).</w:t>
      </w:r>
    </w:p>
    <w:p w:rsidR="00F80BB6" w:rsidRPr="00E10347" w:rsidRDefault="00F80BB6" w:rsidP="00E10347">
      <w:pPr>
        <w:pStyle w:val="Default"/>
        <w:ind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color w:val="auto"/>
          <w:sz w:val="21"/>
          <w:szCs w:val="21"/>
        </w:rPr>
        <w:t>En suma, la interpretación evolutiva (respetando siempre el principio de legalidad procesal) y esta reforma que se gesta en torno al sistema de la oralidad, están llevando a la justicia costarricense a una reconciliación con las raíces y orígenes humanistas del proceso. Es decir, los poderes-deberes de la persona juzgadora, deben ser ejercidos de manera tal que garanticen el debido proceso.</w:t>
      </w:r>
    </w:p>
    <w:p w:rsidR="00F80BB6" w:rsidRPr="00E10347" w:rsidRDefault="00F80BB6" w:rsidP="00E10347">
      <w:pPr>
        <w:pStyle w:val="Default"/>
        <w:ind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color w:val="auto"/>
          <w:sz w:val="21"/>
          <w:szCs w:val="21"/>
        </w:rPr>
        <w:lastRenderedPageBreak/>
        <w:t xml:space="preserve">Si esta atribución es de carácter universal para todos los jueces y juezas, esto significa que, </w:t>
      </w:r>
      <w:r w:rsidRPr="00E10347">
        <w:rPr>
          <w:rFonts w:ascii="Palatino Linotype" w:eastAsia="Times New Roman" w:hAnsi="Palatino Linotype" w:cs="Times New Roman"/>
          <w:color w:val="auto"/>
          <w:sz w:val="21"/>
          <w:szCs w:val="21"/>
          <w:u w:val="single"/>
        </w:rPr>
        <w:t>independientemente de la materia en la que se encuentre, su deber es el de garantizar equitativamente los derechos de las personas dentro del procedimiento oral</w:t>
      </w:r>
      <w:r w:rsidRPr="00E10347">
        <w:rPr>
          <w:rFonts w:ascii="Palatino Linotype" w:eastAsia="Times New Roman" w:hAnsi="Palatino Linotype" w:cs="Times New Roman"/>
          <w:color w:val="auto"/>
          <w:sz w:val="21"/>
          <w:szCs w:val="21"/>
        </w:rPr>
        <w:t>, pues sin llegar a ser dictador o dictadora del proceso, se debe evitar ser simplemente espectador o espectadora, para volcarnos a la figura del juez o jueza protagonistas del proceso, permitiendo a las partes ejercer su derecho de defensa respetando su estrategia procesal.</w:t>
      </w:r>
    </w:p>
    <w:p w:rsidR="00F80BB6" w:rsidRPr="00E10347" w:rsidRDefault="00F80BB6" w:rsidP="00E10347">
      <w:pPr>
        <w:pStyle w:val="Default"/>
        <w:ind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color w:val="auto"/>
          <w:sz w:val="21"/>
          <w:szCs w:val="21"/>
        </w:rPr>
        <w:t>La función jurisdiccional y la investidura de juez o jueza, van juntas a la persona, esto como lo indica el artículo sétimo de la Ley Orgánica del Poder Judicial:</w:t>
      </w:r>
    </w:p>
    <w:p w:rsidR="00F80BB6" w:rsidRPr="00E10347" w:rsidRDefault="00F80BB6" w:rsidP="00E10347">
      <w:pPr>
        <w:pStyle w:val="Default"/>
        <w:ind w:left="710"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color w:val="auto"/>
          <w:sz w:val="21"/>
          <w:szCs w:val="21"/>
        </w:rPr>
        <w:t xml:space="preserve">“Artículo 7. Potestad Jurisdiccional: La potestad de dirimir conflictos de orden jurídico corresponde en el ramo civil, a los órganos jurisdiccionales que determinan la Constitución y la ley. Dicha potestad se perderá cuando el juez </w:t>
      </w:r>
      <w:r w:rsidRPr="00E10347">
        <w:rPr>
          <w:rFonts w:ascii="Palatino Linotype" w:eastAsia="Times New Roman" w:hAnsi="Palatino Linotype" w:cs="Times New Roman"/>
          <w:i/>
          <w:color w:val="auto"/>
          <w:sz w:val="21"/>
          <w:szCs w:val="21"/>
        </w:rPr>
        <w:t>(sic)</w:t>
      </w:r>
      <w:r w:rsidRPr="00E10347">
        <w:rPr>
          <w:rFonts w:ascii="Palatino Linotype" w:eastAsia="Times New Roman" w:hAnsi="Palatino Linotype" w:cs="Times New Roman"/>
          <w:color w:val="auto"/>
          <w:sz w:val="21"/>
          <w:szCs w:val="21"/>
        </w:rPr>
        <w:t xml:space="preserve"> deje de serlo”.</w:t>
      </w:r>
    </w:p>
    <w:p w:rsidR="00F80BB6" w:rsidRPr="00E10347" w:rsidRDefault="00F80BB6" w:rsidP="00E10347">
      <w:pPr>
        <w:pStyle w:val="Default"/>
        <w:ind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color w:val="auto"/>
          <w:sz w:val="21"/>
          <w:szCs w:val="21"/>
        </w:rPr>
        <w:t>Es por ello que los deberes-deberes procesales del juez y de la jueza -</w:t>
      </w:r>
      <w:r w:rsidRPr="00E10347">
        <w:rPr>
          <w:rFonts w:ascii="Palatino Linotype" w:eastAsia="Times New Roman" w:hAnsi="Palatino Linotype" w:cs="Times New Roman"/>
          <w:color w:val="auto"/>
          <w:sz w:val="21"/>
          <w:szCs w:val="21"/>
          <w:u w:val="single"/>
        </w:rPr>
        <w:t>los cuales también se adecúan al sistema de oralidad</w:t>
      </w:r>
      <w:r w:rsidRPr="00E10347">
        <w:rPr>
          <w:rFonts w:ascii="Palatino Linotype" w:eastAsia="Times New Roman" w:hAnsi="Palatino Linotype" w:cs="Times New Roman"/>
          <w:color w:val="auto"/>
          <w:sz w:val="21"/>
          <w:szCs w:val="21"/>
        </w:rPr>
        <w:t>-, se pueden clasificar en tres grandes tipos:</w:t>
      </w:r>
    </w:p>
    <w:p w:rsidR="00F80BB6" w:rsidRPr="00E10347" w:rsidRDefault="00F80BB6" w:rsidP="00E83320">
      <w:pPr>
        <w:pStyle w:val="Default"/>
        <w:numPr>
          <w:ilvl w:val="0"/>
          <w:numId w:val="7"/>
        </w:numPr>
        <w:ind w:left="1491"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b/>
          <w:color w:val="auto"/>
          <w:sz w:val="21"/>
          <w:szCs w:val="21"/>
        </w:rPr>
        <w:t>Deberes de Actividad</w:t>
      </w:r>
      <w:r w:rsidRPr="00E10347">
        <w:rPr>
          <w:rFonts w:ascii="Palatino Linotype" w:eastAsia="Times New Roman" w:hAnsi="Palatino Linotype" w:cs="Times New Roman"/>
          <w:color w:val="auto"/>
          <w:sz w:val="21"/>
          <w:szCs w:val="21"/>
        </w:rPr>
        <w:t>: el deber de imparcialidad con respecto a las partes, el deber de lealtad (artículos 98 inciso 3) del Código Procesal Civil y 193 de la Ley Orgánica del Poder Judicial) y el deber de diligencia.</w:t>
      </w:r>
    </w:p>
    <w:p w:rsidR="00F80BB6" w:rsidRPr="00E10347" w:rsidRDefault="00F80BB6" w:rsidP="00E83320">
      <w:pPr>
        <w:pStyle w:val="Default"/>
        <w:numPr>
          <w:ilvl w:val="0"/>
          <w:numId w:val="7"/>
        </w:numPr>
        <w:ind w:left="1491"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b/>
          <w:color w:val="auto"/>
          <w:sz w:val="21"/>
          <w:szCs w:val="21"/>
        </w:rPr>
        <w:t>Deberes procesales de Dirección del proceso</w:t>
      </w:r>
      <w:r w:rsidRPr="00E10347">
        <w:rPr>
          <w:rFonts w:ascii="Palatino Linotype" w:eastAsia="Times New Roman" w:hAnsi="Palatino Linotype" w:cs="Times New Roman"/>
          <w:color w:val="auto"/>
          <w:sz w:val="21"/>
          <w:szCs w:val="21"/>
        </w:rPr>
        <w:t>: los cuales son específicamente: el deber de pronunciar de oficio nulidades absolutas, el deber de declarar la deserción del proceso, deber de fijar plazos cuando estos no han sido establecidos, deber de mantener la igualdad entre las partes, deber de prevenir y sancionar el fraude procesal, deber de integrar el litis consorcio, el deber de acumular procesos oficiosamente y el deber de escindir pretensiones no excluyentes y no acumulables.</w:t>
      </w:r>
    </w:p>
    <w:p w:rsidR="00F80BB6" w:rsidRPr="00E10347" w:rsidRDefault="00F80BB6" w:rsidP="00E83320">
      <w:pPr>
        <w:pStyle w:val="Default"/>
        <w:numPr>
          <w:ilvl w:val="0"/>
          <w:numId w:val="7"/>
        </w:numPr>
        <w:ind w:left="1491"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b/>
          <w:color w:val="auto"/>
          <w:sz w:val="21"/>
          <w:szCs w:val="21"/>
        </w:rPr>
        <w:t>Deberes procesales de resolución</w:t>
      </w:r>
      <w:r w:rsidRPr="00E10347">
        <w:rPr>
          <w:rFonts w:ascii="Palatino Linotype" w:eastAsia="Times New Roman" w:hAnsi="Palatino Linotype" w:cs="Times New Roman"/>
          <w:color w:val="auto"/>
          <w:sz w:val="21"/>
          <w:szCs w:val="21"/>
        </w:rPr>
        <w:t>: entre los cuales se tiene el deber de resolver dentro de los plazos establecidos y el deber de motivar o sustentar las resoluciones.</w:t>
      </w:r>
    </w:p>
    <w:p w:rsidR="00E338DC" w:rsidRPr="00E10347" w:rsidRDefault="00E338DC" w:rsidP="00E10347">
      <w:pPr>
        <w:pStyle w:val="Default"/>
        <w:jc w:val="both"/>
        <w:rPr>
          <w:rFonts w:ascii="Palatino Linotype" w:eastAsia="Times New Roman" w:hAnsi="Palatino Linotype" w:cs="Times New Roman"/>
          <w:b/>
          <w:color w:val="auto"/>
          <w:sz w:val="21"/>
          <w:szCs w:val="21"/>
        </w:rPr>
      </w:pPr>
    </w:p>
    <w:p w:rsidR="00F80BB6" w:rsidRPr="00E10347" w:rsidRDefault="00E338DC" w:rsidP="00E10347">
      <w:pPr>
        <w:pStyle w:val="Default"/>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b/>
          <w:color w:val="auto"/>
          <w:sz w:val="21"/>
          <w:szCs w:val="21"/>
        </w:rPr>
        <w:t xml:space="preserve">3.- </w:t>
      </w:r>
      <w:r w:rsidR="00F80BB6" w:rsidRPr="00E10347">
        <w:rPr>
          <w:rFonts w:ascii="Palatino Linotype" w:eastAsia="Times New Roman" w:hAnsi="Palatino Linotype" w:cs="Times New Roman"/>
          <w:b/>
          <w:color w:val="auto"/>
          <w:sz w:val="21"/>
          <w:szCs w:val="21"/>
        </w:rPr>
        <w:t>¿Con cuáles condiciones personales debe contar la persona administradora de justicia frente al nuevo paradigma de oralidad?</w:t>
      </w:r>
    </w:p>
    <w:p w:rsidR="00F80BB6" w:rsidRPr="00E10347" w:rsidRDefault="00F80BB6" w:rsidP="00E10347">
      <w:pPr>
        <w:pStyle w:val="Default"/>
        <w:ind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color w:val="auto"/>
          <w:sz w:val="21"/>
          <w:szCs w:val="21"/>
        </w:rPr>
        <w:lastRenderedPageBreak/>
        <w:t>Solo quien interpreta bien el derecho, lo aplica en forma correcta. Frente a este nuevo paradigma, el juez y la jueza del siglo XXI debe ser consciente de las nuevas dimensiones que transforman el Derecho Procesal. Debe conocer el pasado para entender el presente y proyectar el futuro de la disciplina. Asumir de una vez por todas los desafíos que la disciplina enfrenta con una mente abierta a la crítica y a los cambios. El aseguramiento de los principios y garantías procesales como fuente material del Derecho Procesal, debe ser el norte de la persona juzgadora.</w:t>
      </w:r>
    </w:p>
    <w:p w:rsidR="00F80BB6" w:rsidRPr="00E10347" w:rsidRDefault="00F80BB6" w:rsidP="00E10347">
      <w:pPr>
        <w:pStyle w:val="Default"/>
        <w:ind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color w:val="auto"/>
          <w:sz w:val="21"/>
          <w:szCs w:val="21"/>
        </w:rPr>
        <w:t>La oralidad dependerá mucho de las actitudes que asuma la persona juzgadora frente a este cambio de paradigma. Es decir, de nada vale contar con las herramientas, si no se tiene a una persona dispuesta a asumir su rol como garante de derechos fundamentales, al perder interés en esta nueva modalidad en la que se encuentra el Poder Judicial.</w:t>
      </w:r>
    </w:p>
    <w:p w:rsidR="00F80BB6" w:rsidRPr="00E10347" w:rsidRDefault="00F80BB6" w:rsidP="00E10347">
      <w:pPr>
        <w:pStyle w:val="Default"/>
        <w:ind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color w:val="auto"/>
          <w:sz w:val="21"/>
          <w:szCs w:val="21"/>
        </w:rPr>
        <w:t>El Dr. Carlos Alberto Picado Vargas, en su obra: “Debido Proceso Civil-Laboral-Agrario”, describe el perfil idóneo del juez o jueza frente a esta situación, de la siguiente forma:</w:t>
      </w:r>
    </w:p>
    <w:p w:rsidR="00F80BB6" w:rsidRPr="00E10347" w:rsidRDefault="00F80BB6" w:rsidP="00E83320">
      <w:pPr>
        <w:pStyle w:val="Default"/>
        <w:numPr>
          <w:ilvl w:val="0"/>
          <w:numId w:val="8"/>
        </w:numPr>
        <w:ind w:left="355"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b/>
          <w:color w:val="auto"/>
          <w:sz w:val="21"/>
          <w:szCs w:val="21"/>
        </w:rPr>
        <w:t>Respecto a su formación jurídica</w:t>
      </w:r>
      <w:r w:rsidRPr="00E10347">
        <w:rPr>
          <w:rFonts w:ascii="Palatino Linotype" w:eastAsia="Times New Roman" w:hAnsi="Palatino Linotype" w:cs="Times New Roman"/>
          <w:color w:val="auto"/>
          <w:sz w:val="21"/>
          <w:szCs w:val="21"/>
        </w:rPr>
        <w:t>: Derechos humanos, principios procesales, consciente de las garantías constitucionales del proceso, flexible en las formalidades procesales y director o directora del proceso. Asimismo, contar con dominio en técnicas de argumentación y de interrogatorio, en razonamiento lógico-jurídico, y que sea capaz de fundamentar debidamente la sentencia.</w:t>
      </w:r>
    </w:p>
    <w:p w:rsidR="00F80BB6" w:rsidRPr="00E10347" w:rsidRDefault="00F80BB6" w:rsidP="00E83320">
      <w:pPr>
        <w:pStyle w:val="Default"/>
        <w:numPr>
          <w:ilvl w:val="0"/>
          <w:numId w:val="8"/>
        </w:numPr>
        <w:ind w:left="355"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b/>
          <w:color w:val="auto"/>
          <w:sz w:val="21"/>
          <w:szCs w:val="21"/>
        </w:rPr>
        <w:t>Perfil sicológico y de personalidad</w:t>
      </w:r>
      <w:r w:rsidRPr="00E10347">
        <w:rPr>
          <w:rFonts w:ascii="Palatino Linotype" w:eastAsia="Times New Roman" w:hAnsi="Palatino Linotype" w:cs="Times New Roman"/>
          <w:color w:val="auto"/>
          <w:sz w:val="21"/>
          <w:szCs w:val="21"/>
        </w:rPr>
        <w:t>: Capacidad de concentración, equilibrio emocional, capacidad de reflexión, empatía y tolerancia.</w:t>
      </w:r>
    </w:p>
    <w:p w:rsidR="00F80BB6" w:rsidRPr="00E10347" w:rsidRDefault="00F80BB6" w:rsidP="00E83320">
      <w:pPr>
        <w:pStyle w:val="Default"/>
        <w:numPr>
          <w:ilvl w:val="0"/>
          <w:numId w:val="8"/>
        </w:numPr>
        <w:ind w:left="355"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b/>
          <w:color w:val="auto"/>
          <w:sz w:val="21"/>
          <w:szCs w:val="21"/>
        </w:rPr>
        <w:t>En cuanto a su formación ética</w:t>
      </w:r>
      <w:r w:rsidRPr="00E10347">
        <w:rPr>
          <w:rFonts w:ascii="Palatino Linotype" w:eastAsia="Times New Roman" w:hAnsi="Palatino Linotype" w:cs="Times New Roman"/>
          <w:color w:val="auto"/>
          <w:sz w:val="21"/>
          <w:szCs w:val="21"/>
        </w:rPr>
        <w:t>: Tener vocación con el servicio público, objetividad, sin prejuicios, imparcial, independiente, ecuánime, integridad en su vida pública y personal, perseverante, valiente, respeto ejemplar, pacificador o pacificadora, humilde, tener honestidad y transparencia, responsable, ser puntual y no discriminar, estigmatizar o revictimizar a la persona usuaria.</w:t>
      </w:r>
    </w:p>
    <w:p w:rsidR="00F80BB6" w:rsidRPr="00E10347" w:rsidRDefault="00F80BB6" w:rsidP="00E10347">
      <w:pPr>
        <w:pStyle w:val="Default"/>
        <w:ind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color w:val="auto"/>
          <w:sz w:val="21"/>
          <w:szCs w:val="21"/>
        </w:rPr>
        <w:t>De la misma forma que el Dr. Picado Vargas, estas son algunas de las características más importantes que considero tanto el juez como la jueza en tiempos modernos, deberían ostentar, o bien desarrollar, para aplicar efectivamente la oralidad en los diferentes procesos que presidan.</w:t>
      </w:r>
    </w:p>
    <w:p w:rsidR="00DD5619" w:rsidRDefault="00DD5619" w:rsidP="00E10347">
      <w:pPr>
        <w:pStyle w:val="Default"/>
        <w:jc w:val="both"/>
        <w:rPr>
          <w:rFonts w:ascii="Palatino Linotype" w:eastAsia="Times New Roman" w:hAnsi="Palatino Linotype" w:cs="Times New Roman"/>
          <w:b/>
          <w:color w:val="auto"/>
          <w:sz w:val="21"/>
          <w:szCs w:val="21"/>
        </w:rPr>
      </w:pPr>
    </w:p>
    <w:p w:rsidR="00F80BB6" w:rsidRPr="00E10347" w:rsidRDefault="00E338DC" w:rsidP="00E10347">
      <w:pPr>
        <w:pStyle w:val="Default"/>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b/>
          <w:color w:val="auto"/>
          <w:sz w:val="21"/>
          <w:szCs w:val="21"/>
        </w:rPr>
        <w:t xml:space="preserve">4.- </w:t>
      </w:r>
      <w:r w:rsidR="00F80BB6" w:rsidRPr="00E10347">
        <w:rPr>
          <w:rFonts w:ascii="Palatino Linotype" w:eastAsia="Times New Roman" w:hAnsi="Palatino Linotype" w:cs="Times New Roman"/>
          <w:b/>
          <w:color w:val="auto"/>
          <w:sz w:val="21"/>
          <w:szCs w:val="21"/>
        </w:rPr>
        <w:t>¿Cuáles deben ser las funciones, actividad y los deberes de las partes y sus representantes en un sistema de oralidad?</w:t>
      </w:r>
    </w:p>
    <w:p w:rsidR="00F80BB6" w:rsidRPr="00E10347" w:rsidRDefault="00F80BB6" w:rsidP="00E10347">
      <w:pPr>
        <w:pStyle w:val="Default"/>
        <w:ind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color w:val="auto"/>
          <w:sz w:val="21"/>
          <w:szCs w:val="21"/>
        </w:rPr>
        <w:lastRenderedPageBreak/>
        <w:t>Si los poderes de dirección del proceso son atribuciones concedidas a la persona juzgadora dentro del sistema de oralidad, para garantizar que se cumplan los derechos fundamentales de quienes intervienen en el proceso, el deber de las partes es tener un adecuado comportamiento durante cada una de las etapas que comprende.</w:t>
      </w:r>
      <w:r w:rsidRPr="00E10347">
        <w:rPr>
          <w:rFonts w:ascii="Palatino Linotype" w:eastAsia="Times New Roman" w:hAnsi="Palatino Linotype" w:cs="Times New Roman"/>
          <w:color w:val="auto"/>
          <w:sz w:val="21"/>
          <w:szCs w:val="21"/>
        </w:rPr>
        <w:tab/>
      </w:r>
    </w:p>
    <w:p w:rsidR="00F80BB6" w:rsidRPr="00E10347" w:rsidRDefault="00F80BB6" w:rsidP="00E10347">
      <w:pPr>
        <w:pStyle w:val="Default"/>
        <w:ind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color w:val="auto"/>
          <w:sz w:val="21"/>
          <w:szCs w:val="21"/>
        </w:rPr>
        <w:t>Quien preside la audiencia, deberá evitar el ejercicio abusivo del derecho, tomando en consideración la existencia de diversas situaciones, tales como:</w:t>
      </w:r>
    </w:p>
    <w:p w:rsidR="00F80BB6" w:rsidRPr="00E10347" w:rsidRDefault="00F80BB6" w:rsidP="00E83320">
      <w:pPr>
        <w:pStyle w:val="Default"/>
        <w:numPr>
          <w:ilvl w:val="0"/>
          <w:numId w:val="9"/>
        </w:numPr>
        <w:ind w:left="852"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color w:val="auto"/>
          <w:sz w:val="21"/>
          <w:szCs w:val="21"/>
        </w:rPr>
        <w:t>La intención de dañar</w:t>
      </w:r>
    </w:p>
    <w:p w:rsidR="00F80BB6" w:rsidRPr="00E10347" w:rsidRDefault="00F80BB6" w:rsidP="00E83320">
      <w:pPr>
        <w:pStyle w:val="Default"/>
        <w:numPr>
          <w:ilvl w:val="0"/>
          <w:numId w:val="9"/>
        </w:numPr>
        <w:ind w:left="852"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color w:val="auto"/>
          <w:sz w:val="21"/>
          <w:szCs w:val="21"/>
        </w:rPr>
        <w:t>Ausencia de interés</w:t>
      </w:r>
    </w:p>
    <w:p w:rsidR="00F80BB6" w:rsidRPr="00E10347" w:rsidRDefault="00F80BB6" w:rsidP="00E83320">
      <w:pPr>
        <w:pStyle w:val="Default"/>
        <w:numPr>
          <w:ilvl w:val="0"/>
          <w:numId w:val="9"/>
        </w:numPr>
        <w:ind w:left="852"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color w:val="auto"/>
          <w:sz w:val="21"/>
          <w:szCs w:val="21"/>
        </w:rPr>
        <w:t xml:space="preserve">Si se ha elegido entre varias maneras de ejercer el derecho, aquella </w:t>
      </w:r>
      <w:r w:rsidRPr="00E10347">
        <w:rPr>
          <w:rFonts w:ascii="Palatino Linotype" w:eastAsia="Times New Roman" w:hAnsi="Palatino Linotype" w:cs="Times New Roman"/>
          <w:color w:val="auto"/>
          <w:sz w:val="21"/>
          <w:szCs w:val="21"/>
        </w:rPr>
        <w:tab/>
        <w:t>que es dañosa para otros u otras</w:t>
      </w:r>
    </w:p>
    <w:p w:rsidR="00F80BB6" w:rsidRPr="00E10347" w:rsidRDefault="00F80BB6" w:rsidP="00E83320">
      <w:pPr>
        <w:pStyle w:val="Default"/>
        <w:numPr>
          <w:ilvl w:val="0"/>
          <w:numId w:val="9"/>
        </w:numPr>
        <w:ind w:left="852"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color w:val="auto"/>
          <w:sz w:val="21"/>
          <w:szCs w:val="21"/>
        </w:rPr>
        <w:t>Si el perjuicio ocasionado es anormal o excesivo</w:t>
      </w:r>
    </w:p>
    <w:p w:rsidR="00F80BB6" w:rsidRPr="00E10347" w:rsidRDefault="00F80BB6" w:rsidP="00E83320">
      <w:pPr>
        <w:pStyle w:val="Default"/>
        <w:numPr>
          <w:ilvl w:val="0"/>
          <w:numId w:val="9"/>
        </w:numPr>
        <w:ind w:left="852"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color w:val="auto"/>
          <w:sz w:val="21"/>
          <w:szCs w:val="21"/>
        </w:rPr>
        <w:t xml:space="preserve">Si la conducta o manera de actuar es contraria a las buenas </w:t>
      </w:r>
      <w:r w:rsidRPr="00E10347">
        <w:rPr>
          <w:rFonts w:ascii="Palatino Linotype" w:eastAsia="Times New Roman" w:hAnsi="Palatino Linotype" w:cs="Times New Roman"/>
          <w:color w:val="auto"/>
          <w:sz w:val="21"/>
          <w:szCs w:val="21"/>
        </w:rPr>
        <w:tab/>
      </w:r>
      <w:r w:rsidRPr="00E10347">
        <w:rPr>
          <w:rFonts w:ascii="Palatino Linotype" w:eastAsia="Times New Roman" w:hAnsi="Palatino Linotype" w:cs="Times New Roman"/>
          <w:color w:val="auto"/>
          <w:sz w:val="21"/>
          <w:szCs w:val="21"/>
        </w:rPr>
        <w:tab/>
        <w:t>costumbres</w:t>
      </w:r>
    </w:p>
    <w:p w:rsidR="00F80BB6" w:rsidRPr="00E10347" w:rsidRDefault="00F80BB6" w:rsidP="00E83320">
      <w:pPr>
        <w:pStyle w:val="Default"/>
        <w:numPr>
          <w:ilvl w:val="0"/>
          <w:numId w:val="9"/>
        </w:numPr>
        <w:ind w:left="852"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color w:val="auto"/>
          <w:sz w:val="21"/>
          <w:szCs w:val="21"/>
        </w:rPr>
        <w:t xml:space="preserve">Si se ha actuado de manera poco o nada razonable, repugnante a la </w:t>
      </w:r>
      <w:r w:rsidRPr="00E10347">
        <w:rPr>
          <w:rFonts w:ascii="Palatino Linotype" w:eastAsia="Times New Roman" w:hAnsi="Palatino Linotype" w:cs="Times New Roman"/>
          <w:color w:val="auto"/>
          <w:sz w:val="21"/>
          <w:szCs w:val="21"/>
        </w:rPr>
        <w:tab/>
        <w:t>lealtad y la confianza recíproca</w:t>
      </w:r>
    </w:p>
    <w:p w:rsidR="00F80BB6" w:rsidRPr="00E10347" w:rsidRDefault="00F80BB6" w:rsidP="00E83320">
      <w:pPr>
        <w:pStyle w:val="Default"/>
        <w:numPr>
          <w:ilvl w:val="0"/>
          <w:numId w:val="9"/>
        </w:numPr>
        <w:ind w:left="852"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color w:val="auto"/>
          <w:sz w:val="21"/>
          <w:szCs w:val="21"/>
        </w:rPr>
        <w:t>Si el comportamiento de las personas no concilia con la finalidad económica social del derecho que la ley le concede</w:t>
      </w:r>
    </w:p>
    <w:p w:rsidR="00F80BB6" w:rsidRPr="00E10347" w:rsidRDefault="00F80BB6" w:rsidP="00E10347">
      <w:pPr>
        <w:pStyle w:val="Default"/>
        <w:ind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color w:val="auto"/>
          <w:sz w:val="21"/>
          <w:szCs w:val="21"/>
        </w:rPr>
        <w:t>Como se observa, otro de los poderes-deberes de la persona juzgadora frente a la dirección del proceso, es el de prevenir y sancionar el Abuso Procesal. Si bien puede que las partes, así como sus representantes legales, ante un nuevo sistema de oralidad, se encuentren con situaciones donde se desconozca cómo actuar correctamente, lo cierto es que la lealtad procesal, como uno de tantos valores que permean las actuaciones judiciales y de parte, debe imperar por todo el tiempo que exista el proceso.</w:t>
      </w:r>
    </w:p>
    <w:p w:rsidR="00F80BB6" w:rsidRPr="00E10347" w:rsidRDefault="00F80BB6" w:rsidP="00E10347">
      <w:pPr>
        <w:pStyle w:val="Default"/>
        <w:ind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color w:val="auto"/>
          <w:sz w:val="21"/>
          <w:szCs w:val="21"/>
        </w:rPr>
        <w:t xml:space="preserve">Así como el buen comportamiento es uno de los pilares que las partes sostienen para colaborar a que se cumpla con el debido proceso, frente a un sistema moderno de oralidad, es también obligación de las partes estar informadas sobre las directrices y avisos institucionales respecto a las reglas que se deben acatar durante la celebración de las audiencias. </w:t>
      </w:r>
    </w:p>
    <w:p w:rsidR="00F80BB6" w:rsidRPr="00E10347" w:rsidRDefault="00F80BB6" w:rsidP="00E10347">
      <w:pPr>
        <w:pStyle w:val="Default"/>
        <w:ind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color w:val="auto"/>
          <w:sz w:val="21"/>
          <w:szCs w:val="21"/>
        </w:rPr>
        <w:t xml:space="preserve">Este comportamiento deberá asumirlo la parte en cualquier proceso, por cuanto son deberes u obligaciones atribuibles a las personas tanto en un proceso Contravencional, Tránsito, Alimentario, Violencia Doméstica, Laboral, Civil, y en general de cualquier materia, toda vez que la oralidad es un sistema que se ha ido </w:t>
      </w:r>
      <w:r w:rsidRPr="00E10347">
        <w:rPr>
          <w:rFonts w:ascii="Palatino Linotype" w:eastAsia="Times New Roman" w:hAnsi="Palatino Linotype" w:cs="Times New Roman"/>
          <w:color w:val="auto"/>
          <w:sz w:val="21"/>
          <w:szCs w:val="21"/>
        </w:rPr>
        <w:lastRenderedPageBreak/>
        <w:t>estableciendo poco a poco en los despachos judiciales, por lo que sus reglas deberían ser atendidas en el acto.</w:t>
      </w:r>
    </w:p>
    <w:p w:rsidR="00E338DC" w:rsidRPr="00E10347" w:rsidRDefault="00F80BB6" w:rsidP="00E10347">
      <w:pPr>
        <w:pStyle w:val="Default"/>
        <w:ind w:firstLine="709"/>
        <w:jc w:val="both"/>
        <w:rPr>
          <w:rFonts w:ascii="Palatino Linotype" w:eastAsia="Times New Roman" w:hAnsi="Palatino Linotype" w:cs="Times New Roman"/>
          <w:color w:val="auto"/>
          <w:sz w:val="21"/>
          <w:szCs w:val="21"/>
        </w:rPr>
      </w:pPr>
      <w:r w:rsidRPr="00E10347">
        <w:rPr>
          <w:rFonts w:ascii="Palatino Linotype" w:eastAsia="Times New Roman" w:hAnsi="Palatino Linotype" w:cs="Times New Roman"/>
          <w:color w:val="auto"/>
          <w:sz w:val="21"/>
          <w:szCs w:val="21"/>
        </w:rPr>
        <w:t>A manera de ejemplo, Presidencia de la Corte, actualmente ha venido desarrollando el programa de “Moderna Gestión” en los despachos judiciales, el cual consiste en implementar todas aquellas medidas tecnológicas con que se cuente, a fin de asegurarle a la persona usuaria, un proceso célere, expedito y accesible, mediante acciones tales como: el escaneo de los expedientes para que en lo sucesivo, se tramiten de manera electrónica, y en cuando a los avances en el tema de la oralidad, se procura que en estos despachos modelos, se tenga una cultura mediante la cual se siga dictando la sentencia en forma oral y que también las audiencias sean respalda</w:t>
      </w:r>
      <w:r w:rsidR="00E338DC" w:rsidRPr="00E10347">
        <w:rPr>
          <w:rFonts w:ascii="Palatino Linotype" w:eastAsia="Times New Roman" w:hAnsi="Palatino Linotype" w:cs="Times New Roman"/>
          <w:color w:val="auto"/>
          <w:sz w:val="21"/>
          <w:szCs w:val="21"/>
        </w:rPr>
        <w:t>das en dispositivos magnéticos.</w:t>
      </w:r>
    </w:p>
    <w:p w:rsidR="00DD5619" w:rsidRDefault="00DD5619" w:rsidP="00E10347">
      <w:pPr>
        <w:pStyle w:val="Default"/>
        <w:jc w:val="both"/>
        <w:rPr>
          <w:rFonts w:ascii="Palatino Linotype" w:eastAsia="Times New Roman" w:hAnsi="Palatino Linotype" w:cs="Times New Roman"/>
          <w:b/>
          <w:color w:val="auto"/>
          <w:sz w:val="21"/>
          <w:szCs w:val="21"/>
        </w:rPr>
      </w:pPr>
    </w:p>
    <w:p w:rsidR="00DD5619" w:rsidRDefault="00DD5619" w:rsidP="00E10347">
      <w:pPr>
        <w:pStyle w:val="Default"/>
        <w:jc w:val="both"/>
        <w:rPr>
          <w:rFonts w:ascii="Palatino Linotype" w:eastAsia="Times New Roman" w:hAnsi="Palatino Linotype" w:cs="Times New Roman"/>
          <w:b/>
          <w:color w:val="auto"/>
          <w:sz w:val="21"/>
          <w:szCs w:val="21"/>
        </w:rPr>
      </w:pPr>
    </w:p>
    <w:p w:rsidR="00F80BB6" w:rsidRPr="00E10347" w:rsidRDefault="00E338DC" w:rsidP="00E10347">
      <w:pPr>
        <w:pStyle w:val="Default"/>
        <w:jc w:val="both"/>
        <w:rPr>
          <w:rFonts w:ascii="Palatino Linotype" w:eastAsia="Times New Roman" w:hAnsi="Palatino Linotype" w:cs="Times New Roman"/>
          <w:b/>
          <w:color w:val="auto"/>
          <w:sz w:val="21"/>
          <w:szCs w:val="21"/>
        </w:rPr>
      </w:pPr>
      <w:r w:rsidRPr="00E10347">
        <w:rPr>
          <w:rFonts w:ascii="Palatino Linotype" w:eastAsia="Times New Roman" w:hAnsi="Palatino Linotype" w:cs="Times New Roman"/>
          <w:b/>
          <w:color w:val="auto"/>
          <w:sz w:val="21"/>
          <w:szCs w:val="21"/>
        </w:rPr>
        <w:t xml:space="preserve">4.- </w:t>
      </w:r>
      <w:r w:rsidR="00F80BB6" w:rsidRPr="00E10347">
        <w:rPr>
          <w:rFonts w:ascii="Palatino Linotype" w:eastAsia="Times New Roman" w:hAnsi="Palatino Linotype" w:cs="Times New Roman"/>
          <w:b/>
          <w:color w:val="auto"/>
          <w:sz w:val="21"/>
          <w:szCs w:val="21"/>
        </w:rPr>
        <w:t>Garantía de tutela judicial implícita en el dictado de la sentencia oral</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El principio de tutela judicial efectiva, obliga al Poder Judicial a capacitar constantemente al operador u operadora de justicia para que las audiencias y todas las actuaciones judiciales, se realicen de manera célere y en estricto apego a la dignidad de las personas que intervienen en el proceso.</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Este principio consagra la facultad que tiene la persona administrada para formular peticiones ante las autoridades públicas sobre asuntos de interés particular o general, siempre que el objeto de la petición sea legalmente posible.</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Sin embargo, este principio es más amplio de lo que comúnmente se conceptualiza: radica no solo en el derecho de acudir a los tribunales a dirimir los conflictos, sino en el deber de éstos para ejercer el poder jurisdiccional de forma rápida y efectiva, con el fin de garantizar el derecho a la justicia pronta y cumplida, a través de un proceso sin dilaciones indebidas.</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Esto a su vez, permite concluir que se debilita el hecho que la dirección del proceso sea una “facultad” del juez o de la jueza. Por el contrario, refuerza la tesis de que esta noción sea una obligatoriedad promulgada de sus poderes-deberes procesales, ya que es la persona juzgadora quien debe asegurarse de brindar un adecuado servicio al asunto que es puesto en su conocimiento, con la correlativa obligación de darle solución jurídica.</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 xml:space="preserve">El derecho a la tutela judicial efectiva surge de los artículos 8 de la Convención Americana sobre Derechos Humanos, así como del 27, 41 y 153 de la Constitución Política. Por ellos, también se destaca el deber de hacer efectivas las </w:t>
      </w:r>
      <w:r w:rsidRPr="00E10347">
        <w:rPr>
          <w:rFonts w:ascii="Palatino Linotype" w:eastAsia="Times New Roman" w:hAnsi="Palatino Linotype" w:cs="Times New Roman"/>
          <w:sz w:val="21"/>
          <w:szCs w:val="21"/>
        </w:rPr>
        <w:lastRenderedPageBreak/>
        <w:t>resoluciones judiciales, las cuales carecerían de todo sentido y significado, si no tuvieran ese carácter coercitivo que impone la ley y que son ejecutadas por quien administre justicia en un determinado lugar de su competencia.</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La Sala Constitucional de la Corte Suprema de Justicia, en la sentencia n° 3019-2007, dictada a las 14:30 horas del 7 de marzo de 2007, estableció el derecho de la persona a la justicia pronta y cumplida, derivado de la tutela judicial efectiva. Al respecto, señaló:</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 xml:space="preserve">“[…] </w:t>
      </w:r>
      <w:r w:rsidRPr="00E10347">
        <w:rPr>
          <w:rFonts w:ascii="Palatino Linotype" w:eastAsia="Times New Roman" w:hAnsi="Palatino Linotype" w:cs="Times New Roman"/>
          <w:i/>
          <w:sz w:val="21"/>
          <w:szCs w:val="21"/>
        </w:rPr>
        <w:t xml:space="preserve">Nuestra Constitución Política recoge, asimismo, el derecho a una justicia pronta y cumplida, o bien, el derecho a la tutela judicial efectiva, lo que le significa una garantía para los ciudadanos </w:t>
      </w:r>
      <w:r w:rsidRPr="00E10347">
        <w:rPr>
          <w:rFonts w:ascii="Palatino Linotype" w:eastAsia="Times New Roman" w:hAnsi="Palatino Linotype" w:cs="Times New Roman"/>
          <w:sz w:val="21"/>
          <w:szCs w:val="21"/>
        </w:rPr>
        <w:t xml:space="preserve">(sic) </w:t>
      </w:r>
      <w:r w:rsidRPr="00E10347">
        <w:rPr>
          <w:rFonts w:ascii="Palatino Linotype" w:eastAsia="Times New Roman" w:hAnsi="Palatino Linotype" w:cs="Times New Roman"/>
          <w:i/>
          <w:sz w:val="21"/>
          <w:szCs w:val="21"/>
        </w:rPr>
        <w:t xml:space="preserve">de acceso fácil e irrestricto a los Tribunales de la República, lo cual debe ser entendido no </w:t>
      </w:r>
      <w:r w:rsidR="002A76CC">
        <w:rPr>
          <w:rFonts w:ascii="Palatino Linotype" w:eastAsia="Times New Roman" w:hAnsi="Palatino Linotype" w:cs="Times New Roman"/>
          <w:i/>
          <w:sz w:val="21"/>
          <w:szCs w:val="21"/>
        </w:rPr>
        <w:t xml:space="preserve">solo </w:t>
      </w:r>
      <w:r w:rsidRPr="00E10347">
        <w:rPr>
          <w:rFonts w:ascii="Palatino Linotype" w:eastAsia="Times New Roman" w:hAnsi="Palatino Linotype" w:cs="Times New Roman"/>
          <w:i/>
          <w:sz w:val="21"/>
          <w:szCs w:val="21"/>
        </w:rPr>
        <w:t xml:space="preserve">como la posibilidad de presentar una demanda judicial, </w:t>
      </w:r>
      <w:r w:rsidRPr="00E10347">
        <w:rPr>
          <w:rFonts w:ascii="Palatino Linotype" w:eastAsia="Times New Roman" w:hAnsi="Palatino Linotype" w:cs="Times New Roman"/>
          <w:i/>
          <w:sz w:val="21"/>
          <w:szCs w:val="21"/>
          <w:u w:val="single"/>
        </w:rPr>
        <w:t xml:space="preserve">sino que es una garantía para todo el procedimiento, que comprende no </w:t>
      </w:r>
      <w:r w:rsidR="002A76CC">
        <w:rPr>
          <w:rFonts w:ascii="Palatino Linotype" w:eastAsia="Times New Roman" w:hAnsi="Palatino Linotype" w:cs="Times New Roman"/>
          <w:i/>
          <w:sz w:val="21"/>
          <w:szCs w:val="21"/>
          <w:u w:val="single"/>
        </w:rPr>
        <w:t xml:space="preserve">solo </w:t>
      </w:r>
      <w:r w:rsidRPr="00E10347">
        <w:rPr>
          <w:rFonts w:ascii="Palatino Linotype" w:eastAsia="Times New Roman" w:hAnsi="Palatino Linotype" w:cs="Times New Roman"/>
          <w:i/>
          <w:sz w:val="21"/>
          <w:szCs w:val="21"/>
          <w:u w:val="single"/>
        </w:rPr>
        <w:t>la resolución del conflicto de fondo sino que incluye cada una de las incidencias que se presenten durante el mismo</w:t>
      </w:r>
      <w:r w:rsidRPr="00E10347">
        <w:rPr>
          <w:rFonts w:ascii="Palatino Linotype" w:eastAsia="Times New Roman" w:hAnsi="Palatino Linotype" w:cs="Times New Roman"/>
          <w:sz w:val="21"/>
          <w:szCs w:val="21"/>
        </w:rPr>
        <w:t xml:space="preserve"> […]”. (Lo resaltado se suple).</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Por su parte, la Sala Primera, en la sentencia n° 683-2011, dictada a las 09:36 horas del 15 de junio de 2011, aborda el tema de acceso a la justicia como una garantía más del principio de tutela judicial efectiva, de la siguiente forma:</w:t>
      </w:r>
    </w:p>
    <w:p w:rsidR="00F80BB6" w:rsidRPr="00E10347" w:rsidRDefault="00F80BB6" w:rsidP="00E10347">
      <w:pPr>
        <w:widowControl/>
        <w:ind w:left="710"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 xml:space="preserve">“[…] </w:t>
      </w:r>
      <w:r w:rsidRPr="00E10347">
        <w:rPr>
          <w:rFonts w:ascii="Palatino Linotype" w:eastAsia="Times New Roman" w:hAnsi="Palatino Linotype" w:cs="Times New Roman"/>
          <w:i/>
          <w:sz w:val="21"/>
          <w:szCs w:val="21"/>
        </w:rPr>
        <w:t xml:space="preserve">el cuerpo de jueces </w:t>
      </w:r>
      <w:r w:rsidRPr="00E10347">
        <w:rPr>
          <w:rFonts w:ascii="Palatino Linotype" w:eastAsia="Times New Roman" w:hAnsi="Palatino Linotype" w:cs="Times New Roman"/>
          <w:sz w:val="21"/>
          <w:szCs w:val="21"/>
        </w:rPr>
        <w:t>(sic)</w:t>
      </w:r>
      <w:r w:rsidRPr="00E10347">
        <w:rPr>
          <w:rFonts w:ascii="Palatino Linotype" w:eastAsia="Times New Roman" w:hAnsi="Palatino Linotype" w:cs="Times New Roman"/>
          <w:i/>
          <w:sz w:val="21"/>
          <w:szCs w:val="21"/>
        </w:rPr>
        <w:t xml:space="preserve"> ejecutores concebido en el CPCA (ordinal 155), son las personas encargadas de darle plena efectividad y eficacia a las sentencias y demás resoluciones firmes. Para lo cual se les ha dotado de poderes y deberes suficientes que les permitan desempeñar a cabalidad sus competencias, lo cual les faculta a realizar todas aquellas conductas necesarias con el objeto de lograr la ejecución pretendida e incluso podrán adoptar, por su cuenta, las conductas que sean necesarias y equivalentes para su pleno cumplimiento. Además, por mandato constitucional, deben velar que se cumpla con la tutela judicial efectiva, que </w:t>
      </w:r>
      <w:r w:rsidRPr="00E10347">
        <w:rPr>
          <w:rFonts w:ascii="Palatino Linotype" w:eastAsia="Times New Roman" w:hAnsi="Palatino Linotype" w:cs="Times New Roman"/>
          <w:i/>
          <w:sz w:val="21"/>
          <w:szCs w:val="21"/>
          <w:u w:val="single"/>
        </w:rPr>
        <w:t>implica que las personas encuentren reparación plena ante los daños que se hayan sufrido (numeral 41 Constitución Política)</w:t>
      </w:r>
      <w:r w:rsidRPr="00E10347">
        <w:rPr>
          <w:rFonts w:ascii="Palatino Linotype" w:eastAsia="Times New Roman" w:hAnsi="Palatino Linotype" w:cs="Times New Roman"/>
          <w:i/>
          <w:sz w:val="21"/>
          <w:szCs w:val="21"/>
        </w:rPr>
        <w:t>. Y deben garantizar la legalidad de la actuación del Estado, sus instituciones y toda otra entidad de derecho público (artículo 49 ibídem)</w:t>
      </w:r>
      <w:r w:rsidRPr="00E10347">
        <w:rPr>
          <w:rFonts w:ascii="Palatino Linotype" w:eastAsia="Times New Roman" w:hAnsi="Palatino Linotype" w:cs="Times New Roman"/>
          <w:sz w:val="21"/>
          <w:szCs w:val="21"/>
        </w:rPr>
        <w:t xml:space="preserve"> […]”. (El subrayado es del suscrito).</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 xml:space="preserve">Sobre ambos pronunciamientos, se desprende cómo la jurisprudencia nacional ha venido interpretando que el acceso a la justicia es un acto con revestimiento constitucional, que la persona juzgadora se encuentra obligada a cumplir y a </w:t>
      </w:r>
      <w:r w:rsidRPr="00E10347">
        <w:rPr>
          <w:rFonts w:ascii="Palatino Linotype" w:eastAsia="Times New Roman" w:hAnsi="Palatino Linotype" w:cs="Times New Roman"/>
          <w:sz w:val="21"/>
          <w:szCs w:val="21"/>
          <w:u w:val="single"/>
        </w:rPr>
        <w:t>hacer cumplir</w:t>
      </w:r>
      <w:r w:rsidRPr="00E10347">
        <w:rPr>
          <w:rFonts w:ascii="Palatino Linotype" w:eastAsia="Times New Roman" w:hAnsi="Palatino Linotype" w:cs="Times New Roman"/>
          <w:sz w:val="21"/>
          <w:szCs w:val="21"/>
        </w:rPr>
        <w:t xml:space="preserve">. Esto significa que el Poder Judicial debe echar mano de todo aquello que le permita al usuario y la usuaria acceder al sistema y entender el por qué de cada una de sus decisiones, situación que, tal y como se indicó </w:t>
      </w:r>
      <w:r w:rsidRPr="00E10347">
        <w:rPr>
          <w:rFonts w:ascii="Palatino Linotype" w:eastAsia="Times New Roman" w:hAnsi="Palatino Linotype" w:cs="Times New Roman"/>
          <w:sz w:val="21"/>
          <w:szCs w:val="21"/>
        </w:rPr>
        <w:lastRenderedPageBreak/>
        <w:t xml:space="preserve">anteriormente, repercute en el dictado de la sentencia oral, </w:t>
      </w:r>
      <w:r w:rsidRPr="00E10347">
        <w:rPr>
          <w:rFonts w:ascii="Palatino Linotype" w:eastAsia="Times New Roman" w:hAnsi="Palatino Linotype" w:cs="Times New Roman"/>
          <w:sz w:val="21"/>
          <w:szCs w:val="21"/>
          <w:u w:val="single"/>
        </w:rPr>
        <w:t>la que debe ser entendida como herramienta para administrar justicia de una forma directa, personalizada y eficaz al momento de emitir decisiones</w:t>
      </w:r>
      <w:r w:rsidRPr="00E10347">
        <w:rPr>
          <w:rFonts w:ascii="Palatino Linotype" w:eastAsia="Times New Roman" w:hAnsi="Palatino Linotype" w:cs="Times New Roman"/>
          <w:sz w:val="21"/>
          <w:szCs w:val="21"/>
        </w:rPr>
        <w:t>.</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Respecto al tema de la obligatoriedad del Estado de brindar un servicio público de calidad, considero importante mencionar lo que la jurisprudencia de la Corte Interamericana de Derechos Humanos (en lo sucesivo “la Corte”) ha desarrollado como el “control de convencionalidad”. Por este, el Estado-Juez se encuentra en la obligación de adecuar su derecho interno a los estándares internacionales en materia de justicia.</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 xml:space="preserve">La doctrina del “control de convencionalidad” surge en el año 2006, en el </w:t>
      </w:r>
      <w:r w:rsidRPr="00E10347">
        <w:rPr>
          <w:rFonts w:ascii="Palatino Linotype" w:eastAsia="Times New Roman" w:hAnsi="Palatino Linotype" w:cs="Times New Roman"/>
          <w:i/>
          <w:sz w:val="21"/>
          <w:szCs w:val="21"/>
        </w:rPr>
        <w:t>Caso Almonacid Arellano vs. Chile</w:t>
      </w:r>
      <w:r w:rsidRPr="00E10347">
        <w:rPr>
          <w:rFonts w:ascii="Palatino Linotype" w:eastAsia="Times New Roman" w:hAnsi="Palatino Linotype" w:cs="Times New Roman"/>
          <w:sz w:val="21"/>
          <w:szCs w:val="21"/>
        </w:rPr>
        <w:t>. En ese momento, la Corte estableció que:</w:t>
      </w:r>
    </w:p>
    <w:p w:rsidR="00F80BB6" w:rsidRPr="00E10347" w:rsidRDefault="00F80BB6" w:rsidP="00E10347">
      <w:pPr>
        <w:widowControl/>
        <w:ind w:left="710"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 xml:space="preserve">“[…] </w:t>
      </w:r>
      <w:r w:rsidRPr="00E10347">
        <w:rPr>
          <w:rFonts w:ascii="Palatino Linotype" w:eastAsia="Times New Roman" w:hAnsi="Palatino Linotype" w:cs="Times New Roman"/>
          <w:i/>
          <w:sz w:val="21"/>
          <w:szCs w:val="21"/>
        </w:rPr>
        <w:t xml:space="preserve">La Corte es consciente que los jueces y tribunales internos están sujetos al imperio de la ley y, por ello, están obligados a aplicar las disposiciones vigentes en el ordenamiento jurídico.  Pero cuando un Estado ha ratificado un tratado internacional como la Convención Americana, sus jueces, como parte del aparato del Estado, también están sometidos a ella, lo que les obliga a velar porque los efectos de las disposiciones de la Convención no se vean mermadas por la aplicación de leyes contrarias a su objeto y fin, y que desde un inicio carecen de efectos jurídicos.  </w:t>
      </w:r>
      <w:r w:rsidRPr="00E10347">
        <w:rPr>
          <w:rFonts w:ascii="Palatino Linotype" w:eastAsia="Times New Roman" w:hAnsi="Palatino Linotype" w:cs="Times New Roman"/>
          <w:i/>
          <w:sz w:val="21"/>
          <w:szCs w:val="21"/>
          <w:u w:val="single"/>
        </w:rPr>
        <w:t>En otras palabras, el Poder Judicial debe ejercer una especie de “control de convencionalidad” entre las normas jurídicas internas que aplican en los casos concretos y la Convención Americana sobre Derechos Humanos. En esta tarea, el Poder Judicial debe tener en cuenta no solamente el tratado, sino también la interpretación que del mismo ha hecho la Corte Interamericana, intérprete última de la Convención Americana</w:t>
      </w:r>
      <w:r w:rsidRPr="00E10347">
        <w:rPr>
          <w:rFonts w:ascii="Palatino Linotype" w:eastAsia="Times New Roman" w:hAnsi="Palatino Linotype" w:cs="Times New Roman"/>
          <w:i/>
          <w:sz w:val="21"/>
          <w:szCs w:val="21"/>
        </w:rPr>
        <w:t>.</w:t>
      </w:r>
      <w:r w:rsidRPr="00E10347">
        <w:rPr>
          <w:rFonts w:ascii="Palatino Linotype" w:eastAsia="Times New Roman" w:hAnsi="Palatino Linotype" w:cs="Times New Roman"/>
          <w:sz w:val="21"/>
          <w:szCs w:val="21"/>
        </w:rPr>
        <w:t xml:space="preserve"> […]”. (Lo subrayado sí es del original).</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Si los jueces y las juezas son las personas encargadas de velar por este control de convencionalidad, y debido a que nuestro país es un Estado Parte de la Convención Americana de Derechos Humanos, la cual, en su artículo 8, párrafo primero, establece que: “</w:t>
      </w:r>
      <w:r w:rsidRPr="00E10347">
        <w:rPr>
          <w:rFonts w:ascii="Palatino Linotype" w:eastAsia="Times New Roman" w:hAnsi="Palatino Linotype" w:cs="Times New Roman"/>
          <w:i/>
          <w:sz w:val="21"/>
          <w:szCs w:val="21"/>
        </w:rPr>
        <w:t>Toda persona tiene derecho a ser oída, con las debidas garantías y dentro de un plazo razonable, por un juez (sic) o tribunal competente, independiente e imparcial, establecido con anterioridad por la ley (…)</w:t>
      </w:r>
      <w:r w:rsidRPr="00E10347">
        <w:rPr>
          <w:rFonts w:ascii="Palatino Linotype" w:eastAsia="Times New Roman" w:hAnsi="Palatino Linotype" w:cs="Times New Roman"/>
          <w:sz w:val="21"/>
          <w:szCs w:val="21"/>
        </w:rPr>
        <w:t>”, queda en evidencia que los efectos del dictado de la sentencia oral, como derecho derivado del principio de tutela judicial efectiva, también se encuentra regulado en el Derecho Internacional.</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 xml:space="preserve">Al encontrarse la Convención Americana sobre Derechos Humanos o Pacto de San José, debidamente incorporado al ordenamiento jurídico costarricense, esta formaría parte del Derecho de la Constitución o bloque de constitucionalidad, con </w:t>
      </w:r>
      <w:r w:rsidRPr="00E10347">
        <w:rPr>
          <w:rFonts w:ascii="Palatino Linotype" w:eastAsia="Times New Roman" w:hAnsi="Palatino Linotype" w:cs="Times New Roman"/>
          <w:sz w:val="21"/>
          <w:szCs w:val="21"/>
        </w:rPr>
        <w:lastRenderedPageBreak/>
        <w:t>rango supra legal (artículo 7 de la Constitución Política), con lo que se vincula fuertemente al Estado y a su órgano: el Poder Judicial, a su estricto cumplimiento.</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De esta forma se concluye que el dictado de la sentencia oral forma parte de un modelo de incursión que le permite a la persona administrada acceder a la justicia en forma plena y en estricto apego a sus derechos elementales. La oralidad de la sentencia contribuye a que el servicio sea personalizado y que por ello la persona usuaria se encuentre satisfecha por el trato que recibió.</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Una sentencia oral no debe ser entendida como un documento que simplemente va a ser leído en un determinado momento procesal, ya que de lo contrario se estaría deshumanizando el servicio, cuando en realidad la tendencia es que la persona escuche directamente las razones que tuvo el juez o la jueza para tomar una decisión. Inclusive, como se verá en el modelo de comunicación que se propone a continuación, el juez o la jueza debe apartarse de cualquier frase o palabra que tienda a confundir a la persona que escucha el mensaje y que, en caso de darse, la persona pueda solicitar que se le explique para mayor y mejor entendimiento.</w:t>
      </w:r>
    </w:p>
    <w:p w:rsidR="00DD5619" w:rsidRDefault="00DD5619" w:rsidP="00E10347">
      <w:pPr>
        <w:widowControl/>
        <w:jc w:val="both"/>
        <w:rPr>
          <w:rFonts w:ascii="Palatino Linotype" w:eastAsia="Times New Roman" w:hAnsi="Palatino Linotype" w:cs="Times New Roman"/>
          <w:b/>
          <w:sz w:val="21"/>
          <w:szCs w:val="21"/>
        </w:rPr>
      </w:pPr>
    </w:p>
    <w:p w:rsidR="00F80BB6" w:rsidRPr="00E10347" w:rsidRDefault="00E338DC" w:rsidP="00E10347">
      <w:pPr>
        <w:widowControl/>
        <w:jc w:val="both"/>
        <w:rPr>
          <w:rFonts w:ascii="Palatino Linotype" w:eastAsia="Times New Roman" w:hAnsi="Palatino Linotype" w:cs="Times New Roman"/>
          <w:b/>
          <w:sz w:val="21"/>
          <w:szCs w:val="21"/>
        </w:rPr>
      </w:pPr>
      <w:r w:rsidRPr="00E10347">
        <w:rPr>
          <w:rFonts w:ascii="Palatino Linotype" w:eastAsia="Times New Roman" w:hAnsi="Palatino Linotype" w:cs="Times New Roman"/>
          <w:b/>
          <w:sz w:val="21"/>
          <w:szCs w:val="21"/>
        </w:rPr>
        <w:t xml:space="preserve">6.- </w:t>
      </w:r>
      <w:r w:rsidR="00F80BB6" w:rsidRPr="00E10347">
        <w:rPr>
          <w:rFonts w:ascii="Palatino Linotype" w:eastAsia="Times New Roman" w:hAnsi="Palatino Linotype" w:cs="Times New Roman"/>
          <w:b/>
          <w:sz w:val="21"/>
          <w:szCs w:val="21"/>
        </w:rPr>
        <w:t>Comunicación oral de la sentencia. Recomendaciones:</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Debemos entender la comunicación social como la forma en que se transmite, percibe, entiende e impacta la información, centrada en un modelo de interlocución como nuevo paradigma de comunicación entre personas que intervienen de un mismo mensaje.</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Dentro del contexto judicial, esta comunicación es reconocida en la actuación jurisdiccional mediante la aplicación de resoluciones como actos comunicativos de orden escrito y oral, como medios o canales para la emisión y transmisión de mensajes de forma asertiva y comprensible en un determinado proceso judicial.</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 xml:space="preserve">Esto nos lleva a reflexionar sobre la imposibilidad de concebir un sistema de justicia democrático como el costarricense, cuando la justicia resulta incomprensible al sector de la población a la que va dirigida. Sea cual sea el proceso en que se encuentre, la persona juzgadora deberá preocuparse por alcanzar siempre los fines, principios y garantías sociales propios de cada una de sus decisiones, las cuales carecerán de todo sentido si el medio de comunicación empleado resulta inadecuado para transmitir efectivamente el mensaje que se derive de su conclusión. </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 xml:space="preserve">El artículo 15 del Estatuto de la Justicia y Derechos de las personas usuarias del Sistema Judicial, le confiere al Poder Judicial la obligación de utilizar la lengua </w:t>
      </w:r>
      <w:r w:rsidRPr="00E10347">
        <w:rPr>
          <w:rFonts w:ascii="Palatino Linotype" w:eastAsia="Times New Roman" w:hAnsi="Palatino Linotype" w:cs="Times New Roman"/>
          <w:sz w:val="21"/>
          <w:szCs w:val="21"/>
        </w:rPr>
        <w:lastRenderedPageBreak/>
        <w:t>propia de las poblaciones indígenas y todos aquellos aspectos que les posibiliten la efectiva comprensión del sentido y significado de las actuaciones judiciales, a fin de garantizar el acceso a la justicia de estas personas, con plenitud de sus derechos.</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 xml:space="preserve">Tanto las actuaciones como las resoluciones judiciales, deben ser actos comunicativos entre el juez o la jueza, y la persona usuaria del sistema judicial. Ahora bien, estos actos resultan efectivos a través de dos vertientes: la comunicación escrita y la comunicación oral. Sobre éste último concepto, considero algunas recomendaciones importantes para su correcta interlocución: </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b/>
          <w:sz w:val="21"/>
          <w:szCs w:val="21"/>
        </w:rPr>
        <w:t>1.</w:t>
      </w:r>
      <w:r w:rsidRPr="00E10347">
        <w:rPr>
          <w:rFonts w:ascii="Palatino Linotype" w:eastAsia="Times New Roman" w:hAnsi="Palatino Linotype" w:cs="Times New Roman"/>
          <w:sz w:val="21"/>
          <w:szCs w:val="21"/>
        </w:rPr>
        <w:t xml:space="preserve"> Utilizar un lenguaje corporal apropiado para la situación en la que se esté desarrollando una determinada actuación judicial; en nuestro caso, el dictado de una sentencia oral. Gesticular adecuadamente y en los momentos precisos para que las demás personas comprendan que sus movimientos son acordes con lo que se dice, a fin de dotar a la expresión de un mayor contenido gráfico. </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b/>
          <w:sz w:val="21"/>
          <w:szCs w:val="21"/>
        </w:rPr>
        <w:t>2.</w:t>
      </w:r>
      <w:r w:rsidRPr="00E10347">
        <w:rPr>
          <w:rFonts w:ascii="Palatino Linotype" w:eastAsia="Times New Roman" w:hAnsi="Palatino Linotype" w:cs="Times New Roman"/>
          <w:sz w:val="21"/>
          <w:szCs w:val="21"/>
        </w:rPr>
        <w:t xml:space="preserve"> Mantener una escucha activa y comprometida con la persona usuaria para discriminar aquellos comentarios o enunciados que no le aportan nada a la idea principal que se está desarrollando, sin que ello signifique perder el sentido del mensaje que se pretende transmitir. </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b/>
          <w:sz w:val="21"/>
          <w:szCs w:val="21"/>
        </w:rPr>
        <w:t>3.</w:t>
      </w:r>
      <w:r w:rsidRPr="00E10347">
        <w:rPr>
          <w:rFonts w:ascii="Palatino Linotype" w:eastAsia="Times New Roman" w:hAnsi="Palatino Linotype" w:cs="Times New Roman"/>
          <w:sz w:val="21"/>
          <w:szCs w:val="21"/>
        </w:rPr>
        <w:t xml:space="preserve"> Acondicionar los espacios y recursos indispensables que permitan la comunicación para las personas con discapacidad, sin detrimento de su accesibilidad. Estas personas tendrán derecho a que se les facilite el servicio de intérprete de signos o de aquellos medios tecnológicos que le permitan obtener de forma comprensible la información solicitada con motivo de un asunto judicial.</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Como práctica indispensable para garantizar la efectiva comunicación entre las personas, se encuentra el valor de la empatía como fundamento de respeto a las diferencias de criterio y opinión que se tengan en la sociedad, lo cual nos permite comprender de una mejor forma el mensaje dirigido por la persona usuaria, lo que hará de la comunicación una verdadera herramienta para garantizar una justicia pública de calidad.</w:t>
      </w:r>
    </w:p>
    <w:p w:rsidR="00DD5619" w:rsidRDefault="00DD5619" w:rsidP="00E10347">
      <w:pPr>
        <w:widowControl/>
        <w:jc w:val="both"/>
        <w:rPr>
          <w:rFonts w:ascii="Palatino Linotype" w:eastAsia="Times New Roman" w:hAnsi="Palatino Linotype" w:cs="Times New Roman"/>
          <w:b/>
          <w:sz w:val="21"/>
          <w:szCs w:val="21"/>
        </w:rPr>
      </w:pPr>
    </w:p>
    <w:p w:rsidR="00F80BB6" w:rsidRPr="00E10347" w:rsidRDefault="00E338DC" w:rsidP="00E10347">
      <w:pPr>
        <w:widowControl/>
        <w:jc w:val="both"/>
        <w:rPr>
          <w:rFonts w:ascii="Palatino Linotype" w:eastAsia="Times New Roman" w:hAnsi="Palatino Linotype" w:cs="Times New Roman"/>
          <w:b/>
          <w:sz w:val="21"/>
          <w:szCs w:val="21"/>
        </w:rPr>
      </w:pPr>
      <w:r w:rsidRPr="00E10347">
        <w:rPr>
          <w:rFonts w:ascii="Palatino Linotype" w:eastAsia="Times New Roman" w:hAnsi="Palatino Linotype" w:cs="Times New Roman"/>
          <w:b/>
          <w:sz w:val="21"/>
          <w:szCs w:val="21"/>
        </w:rPr>
        <w:t xml:space="preserve">7.- </w:t>
      </w:r>
      <w:r w:rsidR="00F80BB6" w:rsidRPr="00E10347">
        <w:rPr>
          <w:rFonts w:ascii="Palatino Linotype" w:eastAsia="Times New Roman" w:hAnsi="Palatino Linotype" w:cs="Times New Roman"/>
          <w:b/>
          <w:sz w:val="21"/>
          <w:szCs w:val="21"/>
        </w:rPr>
        <w:t>El derecho a una justicia comprensible</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 xml:space="preserve"> “Comprender” (</w:t>
      </w:r>
      <w:r w:rsidRPr="00E10347">
        <w:rPr>
          <w:rFonts w:ascii="Palatino Linotype" w:eastAsia="Times New Roman" w:hAnsi="Palatino Linotype" w:cs="Times New Roman"/>
          <w:i/>
          <w:sz w:val="21"/>
          <w:szCs w:val="21"/>
        </w:rPr>
        <w:t>De comprehender</w:t>
      </w:r>
      <w:r w:rsidRPr="00E10347">
        <w:rPr>
          <w:rFonts w:ascii="Palatino Linotype" w:eastAsia="Times New Roman" w:hAnsi="Palatino Linotype" w:cs="Times New Roman"/>
          <w:sz w:val="21"/>
          <w:szCs w:val="21"/>
        </w:rPr>
        <w:t>): Encontrar justificados o naturales los actos o sentimientos de otro. Real Academia Española (RAE, 2017).</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 xml:space="preserve">Los usuarios y usuarias, cuando acuden al estrado judicial, merecen atención de calidad. Esto se materializa cuando el funcionario o la funcionaria del despacho que le atiende, logra asertivamente mostrarse empático con sus </w:t>
      </w:r>
      <w:r w:rsidRPr="00E10347">
        <w:rPr>
          <w:rFonts w:ascii="Palatino Linotype" w:eastAsia="Times New Roman" w:hAnsi="Palatino Linotype" w:cs="Times New Roman"/>
          <w:sz w:val="21"/>
          <w:szCs w:val="21"/>
        </w:rPr>
        <w:lastRenderedPageBreak/>
        <w:t xml:space="preserve">necesidades, ante cualquier situación agobiante que le haya motivado su acercamiento al aparato judicial. Pese a lo anterior, hay quienes no saben diferenciar entre el lenguaje jurídico y el común. </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 xml:space="preserve">En este punto de la exposición, cabe cuestionarse lo siguiente: ¿será discriminatorio transmitir un mensaje que solo resulta comprensible para unas cuantas personas, aparte de las que deben entender realmente el mensaje? La respuesta, claramente, es SÍ. </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 xml:space="preserve">Emplear un lenguaje técnico jurídico, sin importar que el mensaje sea claro y comprensible, produce que al momento de dictar la sentencia oral, las personas pierdan atención respecto a lo que se dice, ya que por más interés que puedan tener sobre el resultado del proceso, no van a entender el significado de lo que les indica la persona juzgadora.  </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 xml:space="preserve">Deberíamos esforzarnos por incluir dentro del lenguaje jurídico, el lenguaje sencillo, por medio de palabras y frases que puedan ser entendidas por cualquier persona que no conozca los términos propios de la rama del derecho. Al respecto, el artículo 5 del Estatuto de la Justicia y Derechos de las personas usuarias del Poder Judicial, establece que la justicia debe ser comunicada en términos sencillos y comprensibles. Lamentablemente, en muchos despachos judiciales se incumple con esta norma, ya que con frecuencia, se observa a la persona usuaria urgida de atención y en la mayoría de los casos se le responde utilizando un vocabulario impuesto por el oficio. </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 xml:space="preserve">Tal es el ejemplo en materia agraria, donde la mayoría de las personas usuarias son agricultoras, adultas mayores, con dificultad a veces para leer o escribir, y ante una consulta sobre el estado de su proceso judicial, se les responde creyendo que siempre entienden nuestro lenguaje, con expresiones tales como: “está pendiente de firmar la resolución”, “no se ha notificado a la parte ejecutada”, “ya se notificó el auto inicial, pero no se ha acreditado la efectiva publicación del edicto de ley”, entre otras. </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El artículo 133 del Código Procesal Civil vigente, establece expresamente que en todos los actos procesales será obligatorio del uso del idioma español, lo que significa no solo que debe hacerse uso del idioma oficial de nuestro país, Costa Rica, sino que además debe utilizarse en forma adecuada y comprensible para quienes habitan el territorio nacional.</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 xml:space="preserve">La sentencia oral debe ser comprensible para la generalidad, pero esto no significa que el empleo del lenguaje vaya a ir más allá de la investidura de un </w:t>
      </w:r>
      <w:r w:rsidRPr="00E10347">
        <w:rPr>
          <w:rFonts w:ascii="Palatino Linotype" w:eastAsia="Times New Roman" w:hAnsi="Palatino Linotype" w:cs="Times New Roman"/>
          <w:sz w:val="21"/>
          <w:szCs w:val="21"/>
        </w:rPr>
        <w:lastRenderedPageBreak/>
        <w:t>Tribunal de Justicia. Es decir, al fundamentar la resolución oral, deben evitarse expresiones contrarias al decoro, la dignidad y la seriedad que reviste el acto que se trate.</w:t>
      </w:r>
    </w:p>
    <w:p w:rsidR="00DD5619" w:rsidRDefault="00DD5619" w:rsidP="00E10347">
      <w:pPr>
        <w:widowControl/>
        <w:jc w:val="both"/>
        <w:rPr>
          <w:rFonts w:ascii="Palatino Linotype" w:eastAsia="Times New Roman" w:hAnsi="Palatino Linotype" w:cs="Times New Roman"/>
          <w:b/>
          <w:sz w:val="21"/>
          <w:szCs w:val="21"/>
        </w:rPr>
      </w:pPr>
    </w:p>
    <w:p w:rsidR="00F80BB6" w:rsidRPr="00E10347" w:rsidRDefault="00F80BB6" w:rsidP="00E10347">
      <w:pPr>
        <w:widowControl/>
        <w:jc w:val="both"/>
        <w:rPr>
          <w:rFonts w:ascii="Palatino Linotype" w:eastAsia="Times New Roman" w:hAnsi="Palatino Linotype" w:cs="Times New Roman"/>
          <w:b/>
          <w:sz w:val="21"/>
          <w:szCs w:val="21"/>
        </w:rPr>
      </w:pPr>
      <w:r w:rsidRPr="00E10347">
        <w:rPr>
          <w:rFonts w:ascii="Palatino Linotype" w:eastAsia="Times New Roman" w:hAnsi="Palatino Linotype" w:cs="Times New Roman"/>
          <w:b/>
          <w:sz w:val="21"/>
          <w:szCs w:val="21"/>
        </w:rPr>
        <w:t>Consideraciones conclusivas</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La oralidad aplicada en la sentencia debe ser entendida como una herramienta para el juez y para la jueza que les permite tener un mayor acercamiento con la persona usuaria, ya que dependiendo de la audiencia que les escucha, tendrán la oportunidad de explicar, justificar o convencer sobre su decisión, en forma directa y transparente, despejando cualquier duda que se pueda generar.</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Los jueces y las juezas deben romper el paradigma que les ha llevado a pensar que la única forma en que las partes se pueden comunicar es por medio de la escritura… por medio de escritos donde las partes formulan sus gestiones y que en su mayoría son difíciles de entender. Al emitir la sentencia oral, el usuario y la usuaria tienen la oportunidad de escuchar de viva voz los fundamentos que motivaron a la persona juzgadora a tomar una decisión, a través de un proceso de comunicación asertiva que le permita comunicar el mensaje deseado, con énfasis de aquellos aspectos relevantes que deben quedar claros para posteriormente ser ejecutados de la mejor forma posible.</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 xml:space="preserve">Nos encontramos en una época en la que predomina la oralidad, que va de la mano con la tecnología. El Poder Judicial se enfrenta a nuevos retos, los cuales debe asumir y superar adecuadamente, ya que al otro lado del mostrador, se encuentra una persona a la espera de una respuesta para que se solucionen sus problemas.  </w:t>
      </w:r>
    </w:p>
    <w:p w:rsidR="005506ED"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Lo más importante es contar con jueces y juezas con capacidad y deseo de hacer el cambio. De nada sirve tener la mejor legislación, si no estamos dispuestos y dispuestas a asumir el rol que nos corresponde. Debemos descubrir lo que puede ser más beneficioso para la persona usuaria, y lograr las destrezas requeridas para mejorar constantemente. Esto nos permitirá entender que más allá de un nombre escrito en un papel, se encuentra una persona al servicio de otra. La justicia, entre otras atribuciones, debe ser asertiva, efectiva, inclusiva, democrática, pero sobre todo, comprensible.</w:t>
      </w:r>
      <w:r w:rsidR="00E338DC" w:rsidRPr="00E10347">
        <w:rPr>
          <w:rFonts w:ascii="Palatino Linotype" w:eastAsia="Times New Roman" w:hAnsi="Palatino Linotype" w:cs="Times New Roman"/>
          <w:sz w:val="21"/>
          <w:szCs w:val="21"/>
        </w:rPr>
        <w:t xml:space="preserve"> </w:t>
      </w:r>
    </w:p>
    <w:p w:rsidR="002E0898" w:rsidRPr="00E10347" w:rsidRDefault="002E0898" w:rsidP="00E10347">
      <w:pPr>
        <w:widowControl/>
        <w:ind w:firstLine="709"/>
        <w:jc w:val="both"/>
        <w:rPr>
          <w:rFonts w:ascii="Palatino Linotype" w:eastAsia="Times New Roman" w:hAnsi="Palatino Linotype" w:cs="Times New Roman"/>
          <w:b/>
          <w:sz w:val="21"/>
          <w:szCs w:val="21"/>
        </w:rPr>
      </w:pPr>
    </w:p>
    <w:p w:rsidR="00DD5619" w:rsidRDefault="00DD5619">
      <w:pPr>
        <w:widowControl/>
        <w:autoSpaceDE/>
        <w:autoSpaceDN/>
        <w:adjustRightInd/>
        <w:rPr>
          <w:rFonts w:ascii="Palatino Linotype" w:eastAsia="Times New Roman" w:hAnsi="Palatino Linotype" w:cs="Times New Roman"/>
          <w:b/>
          <w:sz w:val="21"/>
          <w:szCs w:val="21"/>
        </w:rPr>
      </w:pPr>
      <w:r>
        <w:rPr>
          <w:rFonts w:ascii="Palatino Linotype" w:eastAsia="Times New Roman" w:hAnsi="Palatino Linotype" w:cs="Times New Roman"/>
          <w:b/>
          <w:sz w:val="21"/>
          <w:szCs w:val="21"/>
        </w:rPr>
        <w:br w:type="page"/>
      </w:r>
    </w:p>
    <w:p w:rsidR="00F80BB6" w:rsidRPr="00E10347" w:rsidRDefault="00F80BB6" w:rsidP="00E10347">
      <w:pPr>
        <w:widowControl/>
        <w:ind w:firstLine="709"/>
        <w:jc w:val="center"/>
        <w:rPr>
          <w:rFonts w:ascii="Palatino Linotype" w:eastAsia="Times New Roman" w:hAnsi="Palatino Linotype" w:cs="Times New Roman"/>
          <w:b/>
          <w:sz w:val="21"/>
          <w:szCs w:val="21"/>
        </w:rPr>
      </w:pPr>
      <w:r w:rsidRPr="00E10347">
        <w:rPr>
          <w:rFonts w:ascii="Palatino Linotype" w:eastAsia="Times New Roman" w:hAnsi="Palatino Linotype" w:cs="Times New Roman"/>
          <w:b/>
          <w:sz w:val="21"/>
          <w:szCs w:val="21"/>
        </w:rPr>
        <w:lastRenderedPageBreak/>
        <w:t>Bibliografía</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b/>
          <w:sz w:val="21"/>
          <w:szCs w:val="21"/>
        </w:rPr>
        <w:t>Legislación</w:t>
      </w:r>
      <w:r w:rsidRPr="00E10347">
        <w:rPr>
          <w:rFonts w:ascii="Palatino Linotype" w:eastAsia="Times New Roman" w:hAnsi="Palatino Linotype" w:cs="Times New Roman"/>
          <w:sz w:val="21"/>
          <w:szCs w:val="21"/>
        </w:rPr>
        <w:t>:</w:t>
      </w:r>
    </w:p>
    <w:p w:rsidR="00F80BB6" w:rsidRPr="00E10347" w:rsidRDefault="00F80BB6" w:rsidP="00E83320">
      <w:pPr>
        <w:pStyle w:val="Prrafodelista"/>
        <w:widowControl/>
        <w:numPr>
          <w:ilvl w:val="0"/>
          <w:numId w:val="10"/>
        </w:numPr>
        <w:ind w:firstLine="709"/>
        <w:contextualSpacing w:val="0"/>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Código Procesal Civil. Ley N° 7130 del 21 de julio de 1989</w:t>
      </w:r>
    </w:p>
    <w:p w:rsidR="00F80BB6" w:rsidRPr="00E10347" w:rsidRDefault="00F80BB6" w:rsidP="00E83320">
      <w:pPr>
        <w:pStyle w:val="Prrafodelista"/>
        <w:widowControl/>
        <w:numPr>
          <w:ilvl w:val="0"/>
          <w:numId w:val="10"/>
        </w:numPr>
        <w:ind w:firstLine="709"/>
        <w:contextualSpacing w:val="0"/>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Ley de Notificaciones Judiciales. Ley N° 8687 del 4 de diciembre de 2008</w:t>
      </w:r>
    </w:p>
    <w:p w:rsidR="00F80BB6" w:rsidRPr="00E10347" w:rsidRDefault="00F80BB6" w:rsidP="00E83320">
      <w:pPr>
        <w:pStyle w:val="Prrafodelista"/>
        <w:widowControl/>
        <w:numPr>
          <w:ilvl w:val="0"/>
          <w:numId w:val="10"/>
        </w:numPr>
        <w:ind w:firstLine="709"/>
        <w:contextualSpacing w:val="0"/>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Ley Orgánica del Poder Judicial (1937)</w:t>
      </w:r>
    </w:p>
    <w:p w:rsidR="00F80BB6" w:rsidRPr="00E10347" w:rsidRDefault="00F80BB6" w:rsidP="00E83320">
      <w:pPr>
        <w:pStyle w:val="Prrafodelista"/>
        <w:widowControl/>
        <w:numPr>
          <w:ilvl w:val="0"/>
          <w:numId w:val="10"/>
        </w:numPr>
        <w:ind w:firstLine="709"/>
        <w:contextualSpacing w:val="0"/>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Constitución Política de la República de Costa Rica. 1949</w:t>
      </w:r>
    </w:p>
    <w:p w:rsidR="00F80BB6" w:rsidRPr="00E10347" w:rsidRDefault="00F80BB6" w:rsidP="00E83320">
      <w:pPr>
        <w:pStyle w:val="Prrafodelista"/>
        <w:widowControl/>
        <w:numPr>
          <w:ilvl w:val="0"/>
          <w:numId w:val="10"/>
        </w:numPr>
        <w:ind w:firstLine="709"/>
        <w:contextualSpacing w:val="0"/>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 xml:space="preserve">Convención Americana de Derechos Humanos. Documento recuperado del sitio web: </w:t>
      </w:r>
      <w:hyperlink r:id="rId57" w:history="1">
        <w:r w:rsidRPr="00E10347">
          <w:rPr>
            <w:rStyle w:val="Hipervnculo"/>
            <w:rFonts w:ascii="Palatino Linotype" w:eastAsia="Times New Roman" w:hAnsi="Palatino Linotype" w:cs="Times New Roman"/>
            <w:color w:val="auto"/>
            <w:sz w:val="21"/>
            <w:szCs w:val="21"/>
          </w:rPr>
          <w:t>http://www.oas.org/dil/esp/1969_Convenci%C3%B3n_Americana_sobre_Derechos_Humanos.pdf</w:t>
        </w:r>
      </w:hyperlink>
      <w:r w:rsidRPr="00E10347">
        <w:rPr>
          <w:rFonts w:ascii="Palatino Linotype" w:eastAsia="Times New Roman" w:hAnsi="Palatino Linotype" w:cs="Times New Roman"/>
          <w:sz w:val="21"/>
          <w:szCs w:val="21"/>
        </w:rPr>
        <w:t>, a las veintitrés horas con veintisiete minutos del 27 de marzo de 2017.</w:t>
      </w:r>
    </w:p>
    <w:p w:rsidR="00F80BB6" w:rsidRPr="00E10347" w:rsidRDefault="00F80BB6" w:rsidP="00E83320">
      <w:pPr>
        <w:pStyle w:val="Bibliografa"/>
        <w:widowControl/>
        <w:numPr>
          <w:ilvl w:val="0"/>
          <w:numId w:val="10"/>
        </w:numPr>
        <w:ind w:left="720"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Estatuto de la Justicia y Derechos de las personas usuarias del Sistema Judicial. (s.f.). Oficina de Protocolo y Relaciones Públicas, San José, Costa Rica: Poder Judicial. Departamento de Artes Gráficas.</w:t>
      </w: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b/>
          <w:sz w:val="21"/>
          <w:szCs w:val="21"/>
        </w:rPr>
        <w:t>Jurisprudencia</w:t>
      </w:r>
      <w:r w:rsidRPr="00E10347">
        <w:rPr>
          <w:rFonts w:ascii="Palatino Linotype" w:eastAsia="Times New Roman" w:hAnsi="Palatino Linotype" w:cs="Times New Roman"/>
          <w:sz w:val="21"/>
          <w:szCs w:val="21"/>
        </w:rPr>
        <w:t>:</w:t>
      </w:r>
    </w:p>
    <w:p w:rsidR="00F80BB6" w:rsidRPr="00E10347" w:rsidRDefault="00F80BB6" w:rsidP="00E83320">
      <w:pPr>
        <w:pStyle w:val="Prrafodelista"/>
        <w:widowControl/>
        <w:numPr>
          <w:ilvl w:val="0"/>
          <w:numId w:val="11"/>
        </w:numPr>
        <w:ind w:firstLine="709"/>
        <w:contextualSpacing w:val="0"/>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 xml:space="preserve">Corte Interamericana de Derechos Humanos, </w:t>
      </w:r>
      <w:r w:rsidRPr="00E10347">
        <w:rPr>
          <w:rFonts w:ascii="Palatino Linotype" w:eastAsia="Times New Roman" w:hAnsi="Palatino Linotype" w:cs="Times New Roman"/>
          <w:i/>
          <w:sz w:val="21"/>
          <w:szCs w:val="21"/>
        </w:rPr>
        <w:t>Caso Almonacid Arellano vs. Chile</w:t>
      </w:r>
      <w:r w:rsidRPr="00E10347">
        <w:rPr>
          <w:rFonts w:ascii="Palatino Linotype" w:eastAsia="Times New Roman" w:hAnsi="Palatino Linotype" w:cs="Times New Roman"/>
          <w:sz w:val="21"/>
          <w:szCs w:val="21"/>
        </w:rPr>
        <w:t>. Excepciones Preliminares, Fondo, Reparaciones y Costas. Sentencia de 26 de septiembre de 2006. Serie C No. 154, párrafo 124.</w:t>
      </w:r>
    </w:p>
    <w:p w:rsidR="00F80BB6" w:rsidRPr="00E10347" w:rsidRDefault="00F80BB6" w:rsidP="00E83320">
      <w:pPr>
        <w:pStyle w:val="Prrafodelista"/>
        <w:widowControl/>
        <w:numPr>
          <w:ilvl w:val="0"/>
          <w:numId w:val="11"/>
        </w:numPr>
        <w:ind w:firstLine="709"/>
        <w:contextualSpacing w:val="0"/>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Sala Constitucional de la Corte Suprema de Justicia. Sentencia número 3019-2007, dictada a las catorce horas (dos de la tarde) con treinta minutos del siete de marzo del año dos mil siete.</w:t>
      </w:r>
    </w:p>
    <w:p w:rsidR="00F80BB6" w:rsidRPr="00E10347" w:rsidRDefault="00F80BB6" w:rsidP="00E83320">
      <w:pPr>
        <w:pStyle w:val="Prrafodelista"/>
        <w:widowControl/>
        <w:numPr>
          <w:ilvl w:val="0"/>
          <w:numId w:val="11"/>
        </w:numPr>
        <w:ind w:firstLine="709"/>
        <w:contextualSpacing w:val="0"/>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Sala Constitucional de la Corte Suprema de Justicia. Sentencia número 3117-2009, dictada a las quince horas con tres minutos del veinticinco de febrero del año dos mil nueve.</w:t>
      </w:r>
    </w:p>
    <w:p w:rsidR="00F80BB6" w:rsidRPr="00E10347" w:rsidRDefault="00F80BB6" w:rsidP="00E83320">
      <w:pPr>
        <w:pStyle w:val="Prrafodelista"/>
        <w:widowControl/>
        <w:numPr>
          <w:ilvl w:val="0"/>
          <w:numId w:val="11"/>
        </w:numPr>
        <w:ind w:firstLine="709"/>
        <w:contextualSpacing w:val="0"/>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Sala Primera de la Corte Primera de la Corte Suprema de Justicia. Sentencia número 683-2011, dictada a las nueve de la mañana con treinta y seis minutos del quince de junio del año dos mil once.</w:t>
      </w:r>
    </w:p>
    <w:p w:rsidR="00DD5619" w:rsidRDefault="00DD5619" w:rsidP="00E10347">
      <w:pPr>
        <w:widowControl/>
        <w:ind w:firstLine="709"/>
        <w:jc w:val="both"/>
        <w:rPr>
          <w:rFonts w:ascii="Palatino Linotype" w:eastAsia="Times New Roman" w:hAnsi="Palatino Linotype" w:cs="Times New Roman"/>
          <w:b/>
          <w:sz w:val="21"/>
          <w:szCs w:val="21"/>
        </w:rPr>
      </w:pPr>
    </w:p>
    <w:p w:rsidR="00F80BB6" w:rsidRPr="00E10347" w:rsidRDefault="00F80BB6" w:rsidP="00E10347">
      <w:pPr>
        <w:widowControl/>
        <w:ind w:firstLine="709"/>
        <w:jc w:val="both"/>
        <w:rPr>
          <w:rFonts w:ascii="Palatino Linotype" w:eastAsia="Times New Roman" w:hAnsi="Palatino Linotype" w:cs="Times New Roman"/>
          <w:sz w:val="21"/>
          <w:szCs w:val="21"/>
        </w:rPr>
      </w:pPr>
      <w:r w:rsidRPr="00E10347">
        <w:rPr>
          <w:rFonts w:ascii="Palatino Linotype" w:eastAsia="Times New Roman" w:hAnsi="Palatino Linotype" w:cs="Times New Roman"/>
          <w:b/>
          <w:sz w:val="21"/>
          <w:szCs w:val="21"/>
        </w:rPr>
        <w:t>Libros</w:t>
      </w:r>
      <w:r w:rsidRPr="00E10347">
        <w:rPr>
          <w:rFonts w:ascii="Palatino Linotype" w:eastAsia="Times New Roman" w:hAnsi="Palatino Linotype" w:cs="Times New Roman"/>
          <w:sz w:val="21"/>
          <w:szCs w:val="21"/>
        </w:rPr>
        <w:t>:</w:t>
      </w:r>
    </w:p>
    <w:p w:rsidR="00F80BB6" w:rsidRPr="00E10347" w:rsidRDefault="00F80BB6" w:rsidP="00E83320">
      <w:pPr>
        <w:pStyle w:val="Prrafodelista"/>
        <w:widowControl/>
        <w:numPr>
          <w:ilvl w:val="0"/>
          <w:numId w:val="11"/>
        </w:numPr>
        <w:ind w:firstLine="709"/>
        <w:contextualSpacing w:val="0"/>
        <w:jc w:val="both"/>
        <w:rPr>
          <w:rFonts w:ascii="Palatino Linotype" w:eastAsia="Times New Roman" w:hAnsi="Palatino Linotype" w:cs="Times New Roman"/>
          <w:sz w:val="21"/>
          <w:szCs w:val="21"/>
        </w:rPr>
      </w:pPr>
      <w:r w:rsidRPr="00E10347">
        <w:rPr>
          <w:rFonts w:ascii="Palatino Linotype" w:eastAsia="Times New Roman" w:hAnsi="Palatino Linotype" w:cs="Times New Roman"/>
          <w:sz w:val="21"/>
          <w:szCs w:val="21"/>
        </w:rPr>
        <w:t xml:space="preserve">Picado Vargas, C. A. (2007). </w:t>
      </w:r>
      <w:r w:rsidRPr="00E10347">
        <w:rPr>
          <w:rFonts w:ascii="Palatino Linotype" w:eastAsia="Times New Roman" w:hAnsi="Palatino Linotype" w:cs="Times New Roman"/>
          <w:i/>
          <w:sz w:val="21"/>
          <w:szCs w:val="21"/>
        </w:rPr>
        <w:t>Debido Proceso civil-laboral-agrario: los poderes del juez y los derechos de las partes.</w:t>
      </w:r>
      <w:r w:rsidRPr="00E10347">
        <w:rPr>
          <w:rFonts w:ascii="Palatino Linotype" w:eastAsia="Times New Roman" w:hAnsi="Palatino Linotype" w:cs="Times New Roman"/>
          <w:sz w:val="21"/>
          <w:szCs w:val="21"/>
        </w:rPr>
        <w:t xml:space="preserve"> San José, Costa Rica: Investigaciones Jurídicas.</w:t>
      </w:r>
    </w:p>
    <w:p w:rsidR="00F80BB6" w:rsidRPr="00E10347" w:rsidRDefault="00F80BB6" w:rsidP="00E10347">
      <w:pPr>
        <w:pStyle w:val="Prrafodelista"/>
        <w:widowControl/>
        <w:ind w:left="0" w:firstLine="709"/>
        <w:contextualSpacing w:val="0"/>
        <w:jc w:val="both"/>
        <w:rPr>
          <w:rFonts w:ascii="Palatino Linotype" w:eastAsia="Times New Roman" w:hAnsi="Palatino Linotype" w:cs="Times New Roman"/>
          <w:b/>
          <w:sz w:val="21"/>
          <w:szCs w:val="21"/>
        </w:rPr>
      </w:pPr>
      <w:r w:rsidRPr="00E10347">
        <w:rPr>
          <w:rFonts w:ascii="Palatino Linotype" w:eastAsia="Times New Roman" w:hAnsi="Palatino Linotype" w:cs="Times New Roman"/>
          <w:b/>
          <w:sz w:val="21"/>
          <w:szCs w:val="21"/>
        </w:rPr>
        <w:t>Otros</w:t>
      </w:r>
      <w:r w:rsidRPr="00E10347">
        <w:rPr>
          <w:rFonts w:ascii="Palatino Linotype" w:eastAsia="Times New Roman" w:hAnsi="Palatino Linotype" w:cs="Times New Roman"/>
          <w:sz w:val="21"/>
          <w:szCs w:val="21"/>
        </w:rPr>
        <w:t>:</w:t>
      </w:r>
    </w:p>
    <w:p w:rsidR="00C72A23" w:rsidRDefault="00F80BB6" w:rsidP="00E83320">
      <w:pPr>
        <w:pStyle w:val="Prrafodelista"/>
        <w:widowControl/>
        <w:numPr>
          <w:ilvl w:val="0"/>
          <w:numId w:val="11"/>
        </w:numPr>
        <w:ind w:firstLine="709"/>
        <w:contextualSpacing w:val="0"/>
        <w:jc w:val="both"/>
        <w:rPr>
          <w:rFonts w:ascii="Palatino Linotype" w:eastAsia="Times New Roman" w:hAnsi="Palatino Linotype" w:cs="Times New Roman"/>
          <w:sz w:val="21"/>
          <w:szCs w:val="21"/>
        </w:rPr>
        <w:sectPr w:rsidR="00C72A23" w:rsidSect="00FC1DF6">
          <w:headerReference w:type="even" r:id="rId58"/>
          <w:headerReference w:type="default" r:id="rId59"/>
          <w:type w:val="oddPage"/>
          <w:pgSz w:w="12240" w:h="15840" w:code="1"/>
          <w:pgMar w:top="1667" w:right="851" w:bottom="4253" w:left="3686" w:header="1021" w:footer="3005" w:gutter="0"/>
          <w:cols w:space="708"/>
          <w:titlePg/>
          <w:docGrid w:linePitch="360"/>
        </w:sectPr>
      </w:pPr>
      <w:r w:rsidRPr="00E10347">
        <w:rPr>
          <w:rFonts w:ascii="Palatino Linotype" w:eastAsia="Times New Roman" w:hAnsi="Palatino Linotype" w:cs="Times New Roman"/>
          <w:sz w:val="21"/>
          <w:szCs w:val="21"/>
        </w:rPr>
        <w:t>Real Academia Española. Diccionario usual</w:t>
      </w:r>
    </w:p>
    <w:p w:rsidR="00C72A23" w:rsidRDefault="00C72A23" w:rsidP="00C72A23">
      <w:pPr>
        <w:pStyle w:val="Prrafodelista"/>
        <w:widowControl/>
        <w:ind w:left="1429"/>
        <w:contextualSpacing w:val="0"/>
        <w:jc w:val="both"/>
        <w:rPr>
          <w:rFonts w:ascii="Palatino Linotype" w:hAnsi="Palatino Linotype"/>
          <w:sz w:val="21"/>
          <w:szCs w:val="21"/>
        </w:rPr>
      </w:pPr>
    </w:p>
    <w:p w:rsidR="00C72A23" w:rsidRDefault="00C72A23" w:rsidP="00C72A23">
      <w:pPr>
        <w:pStyle w:val="Prrafodelista"/>
        <w:widowControl/>
        <w:ind w:left="1429"/>
        <w:contextualSpacing w:val="0"/>
        <w:jc w:val="both"/>
        <w:rPr>
          <w:rFonts w:ascii="Palatino Linotype" w:hAnsi="Palatino Linotype"/>
          <w:sz w:val="21"/>
          <w:szCs w:val="21"/>
        </w:rPr>
      </w:pPr>
    </w:p>
    <w:p w:rsidR="00C72A23" w:rsidRDefault="00C72A23" w:rsidP="00C72A23">
      <w:pPr>
        <w:pStyle w:val="Prrafodelista"/>
        <w:widowControl/>
        <w:ind w:left="1429"/>
        <w:contextualSpacing w:val="0"/>
        <w:jc w:val="both"/>
        <w:rPr>
          <w:rFonts w:ascii="Palatino Linotype" w:hAnsi="Palatino Linotype"/>
          <w:sz w:val="21"/>
          <w:szCs w:val="21"/>
        </w:rPr>
      </w:pPr>
    </w:p>
    <w:p w:rsidR="00C72A23" w:rsidRDefault="00C72A23" w:rsidP="00C72A23">
      <w:pPr>
        <w:pStyle w:val="Prrafodelista"/>
        <w:widowControl/>
        <w:ind w:left="1429"/>
        <w:contextualSpacing w:val="0"/>
        <w:jc w:val="both"/>
        <w:rPr>
          <w:rFonts w:ascii="Palatino Linotype" w:hAnsi="Palatino Linotype"/>
          <w:sz w:val="21"/>
          <w:szCs w:val="21"/>
        </w:rPr>
      </w:pPr>
    </w:p>
    <w:p w:rsidR="00C72A23" w:rsidRDefault="00C72A23" w:rsidP="00C72A23">
      <w:pPr>
        <w:pStyle w:val="Prrafodelista"/>
        <w:widowControl/>
        <w:ind w:left="1429"/>
        <w:contextualSpacing w:val="0"/>
        <w:jc w:val="both"/>
        <w:rPr>
          <w:rFonts w:ascii="Palatino Linotype" w:hAnsi="Palatino Linotype"/>
          <w:sz w:val="21"/>
          <w:szCs w:val="21"/>
        </w:rPr>
      </w:pPr>
    </w:p>
    <w:p w:rsidR="00C72A23" w:rsidRDefault="00C72A23" w:rsidP="00C72A23">
      <w:pPr>
        <w:pStyle w:val="Prrafodelista"/>
        <w:widowControl/>
        <w:ind w:left="1429"/>
        <w:contextualSpacing w:val="0"/>
        <w:jc w:val="both"/>
        <w:rPr>
          <w:rFonts w:ascii="Palatino Linotype" w:hAnsi="Palatino Linotype"/>
          <w:sz w:val="21"/>
          <w:szCs w:val="21"/>
        </w:rPr>
      </w:pPr>
    </w:p>
    <w:p w:rsidR="00C72A23" w:rsidRDefault="00C72A23" w:rsidP="00C72A23">
      <w:pPr>
        <w:pStyle w:val="Prrafodelista"/>
        <w:widowControl/>
        <w:ind w:left="1429"/>
        <w:contextualSpacing w:val="0"/>
        <w:jc w:val="both"/>
        <w:rPr>
          <w:rFonts w:ascii="Palatino Linotype" w:hAnsi="Palatino Linotype"/>
          <w:sz w:val="21"/>
          <w:szCs w:val="21"/>
        </w:rPr>
      </w:pPr>
    </w:p>
    <w:p w:rsidR="00C72A23" w:rsidRDefault="00C72A23" w:rsidP="00C72A23">
      <w:pPr>
        <w:pStyle w:val="Prrafodelista"/>
        <w:widowControl/>
        <w:ind w:left="1429"/>
        <w:contextualSpacing w:val="0"/>
        <w:jc w:val="both"/>
        <w:rPr>
          <w:rFonts w:ascii="Palatino Linotype" w:hAnsi="Palatino Linotype"/>
          <w:sz w:val="21"/>
          <w:szCs w:val="21"/>
        </w:rPr>
      </w:pPr>
    </w:p>
    <w:p w:rsidR="00C72A23" w:rsidRDefault="00C72A23" w:rsidP="00C72A23">
      <w:pPr>
        <w:pStyle w:val="Prrafodelista"/>
        <w:widowControl/>
        <w:ind w:left="1429"/>
        <w:contextualSpacing w:val="0"/>
        <w:jc w:val="both"/>
        <w:rPr>
          <w:rFonts w:ascii="Palatino Linotype" w:hAnsi="Palatino Linotype"/>
          <w:sz w:val="21"/>
          <w:szCs w:val="21"/>
        </w:rPr>
      </w:pPr>
    </w:p>
    <w:p w:rsidR="00C72A23" w:rsidRDefault="00C72A23" w:rsidP="00C72A23">
      <w:pPr>
        <w:pStyle w:val="Prrafodelista"/>
        <w:widowControl/>
        <w:ind w:left="1429"/>
        <w:contextualSpacing w:val="0"/>
        <w:jc w:val="both"/>
        <w:rPr>
          <w:rFonts w:ascii="Palatino Linotype" w:hAnsi="Palatino Linotype"/>
          <w:sz w:val="21"/>
          <w:szCs w:val="21"/>
        </w:rPr>
      </w:pPr>
    </w:p>
    <w:p w:rsidR="00C72A23" w:rsidRDefault="00C72A23" w:rsidP="00C72A23">
      <w:pPr>
        <w:pStyle w:val="Prrafodelista"/>
        <w:widowControl/>
        <w:ind w:left="1429"/>
        <w:contextualSpacing w:val="0"/>
        <w:jc w:val="both"/>
        <w:rPr>
          <w:rFonts w:ascii="Palatino Linotype" w:hAnsi="Palatino Linotype"/>
          <w:sz w:val="21"/>
          <w:szCs w:val="21"/>
        </w:rPr>
      </w:pPr>
    </w:p>
    <w:p w:rsidR="00C72A23" w:rsidRDefault="00C72A23" w:rsidP="00C72A23">
      <w:pPr>
        <w:pStyle w:val="Prrafodelista"/>
        <w:widowControl/>
        <w:ind w:left="1429"/>
        <w:contextualSpacing w:val="0"/>
        <w:jc w:val="both"/>
        <w:rPr>
          <w:rFonts w:ascii="Palatino Linotype" w:hAnsi="Palatino Linotype"/>
          <w:sz w:val="21"/>
          <w:szCs w:val="21"/>
        </w:rPr>
      </w:pPr>
    </w:p>
    <w:p w:rsidR="002E0898" w:rsidRDefault="002E0898" w:rsidP="00C72A23">
      <w:pPr>
        <w:pStyle w:val="Prrafodelista"/>
        <w:widowControl/>
        <w:ind w:left="1429"/>
        <w:contextualSpacing w:val="0"/>
        <w:jc w:val="both"/>
        <w:rPr>
          <w:rFonts w:ascii="Palatino Linotype" w:hAnsi="Palatino Linotype"/>
          <w:sz w:val="40"/>
          <w:szCs w:val="40"/>
        </w:rPr>
      </w:pPr>
    </w:p>
    <w:p w:rsidR="002E0898" w:rsidRDefault="002E0898" w:rsidP="00C72A23">
      <w:pPr>
        <w:pStyle w:val="Prrafodelista"/>
        <w:widowControl/>
        <w:ind w:left="1429"/>
        <w:contextualSpacing w:val="0"/>
        <w:jc w:val="both"/>
        <w:rPr>
          <w:rFonts w:ascii="Palatino Linotype" w:hAnsi="Palatino Linotype"/>
          <w:sz w:val="40"/>
          <w:szCs w:val="40"/>
        </w:rPr>
      </w:pPr>
    </w:p>
    <w:p w:rsidR="002E0898" w:rsidRDefault="002E0898" w:rsidP="00C72A23">
      <w:pPr>
        <w:pStyle w:val="Prrafodelista"/>
        <w:widowControl/>
        <w:ind w:left="1429"/>
        <w:contextualSpacing w:val="0"/>
        <w:jc w:val="both"/>
        <w:rPr>
          <w:rFonts w:ascii="Palatino Linotype" w:hAnsi="Palatino Linotype"/>
          <w:sz w:val="40"/>
          <w:szCs w:val="40"/>
        </w:rPr>
      </w:pPr>
    </w:p>
    <w:p w:rsidR="00C72A23" w:rsidRPr="004B3229" w:rsidRDefault="00244C82" w:rsidP="00C72A23">
      <w:pPr>
        <w:pStyle w:val="Prrafodelista"/>
        <w:widowControl/>
        <w:ind w:left="1429"/>
        <w:contextualSpacing w:val="0"/>
        <w:jc w:val="both"/>
        <w:rPr>
          <w:rFonts w:ascii="Palatino Linotype" w:hAnsi="Palatino Linotype"/>
          <w:b/>
          <w:sz w:val="40"/>
          <w:szCs w:val="40"/>
          <w:u w:val="single"/>
        </w:rPr>
        <w:sectPr w:rsidR="00C72A23" w:rsidRPr="004B3229" w:rsidSect="00FC1DF6">
          <w:type w:val="oddPage"/>
          <w:pgSz w:w="12240" w:h="15840" w:code="1"/>
          <w:pgMar w:top="1667" w:right="851" w:bottom="4253" w:left="3686" w:header="1021" w:footer="3005" w:gutter="0"/>
          <w:cols w:space="708"/>
          <w:titlePg/>
          <w:docGrid w:linePitch="360"/>
        </w:sectPr>
      </w:pPr>
      <w:r w:rsidRPr="004B3229">
        <w:rPr>
          <w:rFonts w:ascii="Palatino Linotype" w:hAnsi="Palatino Linotype"/>
          <w:b/>
          <w:sz w:val="40"/>
          <w:szCs w:val="40"/>
        </w:rPr>
        <w:t>MATERIA PENAL, AMBIENTAL Y PSICOLOGÍA FORENSE</w:t>
      </w:r>
      <w:r w:rsidRPr="004B3229">
        <w:rPr>
          <w:rFonts w:ascii="Palatino Linotype" w:hAnsi="Palatino Linotype"/>
          <w:b/>
          <w:sz w:val="40"/>
          <w:szCs w:val="40"/>
          <w:u w:val="single"/>
        </w:rPr>
        <w:t xml:space="preserve"> </w:t>
      </w:r>
    </w:p>
    <w:p w:rsidR="00244C82" w:rsidRPr="00C72A23" w:rsidRDefault="00244C82" w:rsidP="00C72A23">
      <w:pPr>
        <w:pStyle w:val="Prrafodelista"/>
        <w:widowControl/>
        <w:ind w:left="1429"/>
        <w:contextualSpacing w:val="0"/>
        <w:jc w:val="both"/>
        <w:rPr>
          <w:rFonts w:ascii="Palatino Linotype" w:hAnsi="Palatino Linotype" w:cs="Times New Roman"/>
          <w:b/>
          <w:sz w:val="21"/>
          <w:szCs w:val="21"/>
        </w:rPr>
      </w:pPr>
    </w:p>
    <w:p w:rsidR="00244C82" w:rsidRPr="00E10347" w:rsidRDefault="00244C82" w:rsidP="00E10347">
      <w:pPr>
        <w:ind w:right="51"/>
        <w:jc w:val="center"/>
        <w:rPr>
          <w:rFonts w:ascii="Palatino Linotype" w:hAnsi="Palatino Linotype" w:cs="Times New Roman"/>
          <w:b/>
          <w:sz w:val="21"/>
          <w:szCs w:val="21"/>
        </w:rPr>
      </w:pPr>
      <w:bookmarkStart w:id="68" w:name="_Hlk479198125"/>
      <w:r w:rsidRPr="00E10347">
        <w:rPr>
          <w:rFonts w:ascii="Palatino Linotype" w:hAnsi="Palatino Linotype" w:cs="Times New Roman"/>
          <w:b/>
          <w:sz w:val="21"/>
          <w:szCs w:val="21"/>
        </w:rPr>
        <w:t>APUNTES SOBRE LA APORTACIÓN Y VALORACIÓN DE LA PRUEBA</w:t>
      </w:r>
    </w:p>
    <w:p w:rsidR="00244C82" w:rsidRPr="00E10347" w:rsidRDefault="00244C82" w:rsidP="00E10347">
      <w:pPr>
        <w:ind w:right="51"/>
        <w:jc w:val="center"/>
        <w:rPr>
          <w:rFonts w:ascii="Palatino Linotype" w:hAnsi="Palatino Linotype" w:cs="Times New Roman"/>
          <w:b/>
          <w:sz w:val="21"/>
          <w:szCs w:val="21"/>
          <w:u w:val="single"/>
        </w:rPr>
      </w:pPr>
      <w:r w:rsidRPr="00E10347">
        <w:rPr>
          <w:rFonts w:ascii="Palatino Linotype" w:hAnsi="Palatino Linotype" w:cs="Times New Roman"/>
          <w:b/>
          <w:sz w:val="21"/>
          <w:szCs w:val="21"/>
        </w:rPr>
        <w:t>EN EL (NUEVO) PROCESO AGRARIO</w:t>
      </w:r>
    </w:p>
    <w:p w:rsidR="00244C82" w:rsidRPr="00E10347" w:rsidRDefault="00244C82" w:rsidP="00E10347">
      <w:pPr>
        <w:ind w:right="51"/>
        <w:jc w:val="right"/>
        <w:rPr>
          <w:rFonts w:ascii="Palatino Linotype" w:hAnsi="Palatino Linotype" w:cs="Times New Roman"/>
          <w:sz w:val="21"/>
          <w:szCs w:val="21"/>
        </w:rPr>
      </w:pPr>
    </w:p>
    <w:p w:rsidR="00244C82" w:rsidRPr="00E10347" w:rsidRDefault="00244C82" w:rsidP="00E10347">
      <w:pPr>
        <w:ind w:right="51"/>
        <w:jc w:val="right"/>
        <w:rPr>
          <w:rFonts w:ascii="Palatino Linotype" w:hAnsi="Palatino Linotype" w:cs="Times New Roman"/>
          <w:sz w:val="21"/>
          <w:szCs w:val="21"/>
        </w:rPr>
      </w:pPr>
      <w:r w:rsidRPr="00E10347">
        <w:rPr>
          <w:rFonts w:ascii="Palatino Linotype" w:hAnsi="Palatino Linotype" w:cs="Times New Roman"/>
          <w:sz w:val="21"/>
          <w:szCs w:val="21"/>
        </w:rPr>
        <w:t>Dr. Enrique Ulate Chacón</w:t>
      </w:r>
      <w:bookmarkEnd w:id="68"/>
    </w:p>
    <w:p w:rsidR="00244C82" w:rsidRPr="00E10347" w:rsidRDefault="00244C82" w:rsidP="00E10347">
      <w:pPr>
        <w:ind w:right="51"/>
        <w:jc w:val="right"/>
        <w:rPr>
          <w:rFonts w:ascii="Palatino Linotype" w:hAnsi="Palatino Linotype" w:cs="Times New Roman"/>
          <w:sz w:val="21"/>
          <w:szCs w:val="21"/>
        </w:rPr>
      </w:pPr>
      <w:r w:rsidRPr="00E10347">
        <w:rPr>
          <w:rFonts w:ascii="Palatino Linotype" w:hAnsi="Palatino Linotype" w:cs="Times New Roman"/>
          <w:sz w:val="21"/>
          <w:szCs w:val="21"/>
        </w:rPr>
        <w:t>Miembro del Tribunal Agrario</w:t>
      </w:r>
    </w:p>
    <w:p w:rsidR="00244C82" w:rsidRPr="00E10347" w:rsidRDefault="00244C82" w:rsidP="00E10347">
      <w:pPr>
        <w:ind w:right="51"/>
        <w:jc w:val="right"/>
        <w:rPr>
          <w:rFonts w:ascii="Palatino Linotype" w:hAnsi="Palatino Linotype" w:cs="Times New Roman"/>
          <w:sz w:val="21"/>
          <w:szCs w:val="21"/>
        </w:rPr>
      </w:pPr>
      <w:r w:rsidRPr="00E10347">
        <w:rPr>
          <w:rFonts w:ascii="Palatino Linotype" w:hAnsi="Palatino Linotype" w:cs="Times New Roman"/>
          <w:sz w:val="21"/>
          <w:szCs w:val="21"/>
        </w:rPr>
        <w:t>Magistrado Suplente, Sala Constitucional.</w:t>
      </w:r>
    </w:p>
    <w:p w:rsidR="00244C82" w:rsidRDefault="00244C82" w:rsidP="00E10347">
      <w:pPr>
        <w:ind w:right="51"/>
        <w:jc w:val="right"/>
        <w:rPr>
          <w:rFonts w:ascii="Palatino Linotype" w:hAnsi="Palatino Linotype" w:cs="Times New Roman"/>
          <w:sz w:val="21"/>
          <w:szCs w:val="21"/>
        </w:rPr>
      </w:pPr>
      <w:r w:rsidRPr="00E10347">
        <w:rPr>
          <w:rFonts w:ascii="Palatino Linotype" w:hAnsi="Palatino Linotype" w:cs="Times New Roman"/>
          <w:sz w:val="21"/>
          <w:szCs w:val="21"/>
        </w:rPr>
        <w:t>Coordinador, Doctorado Académico en Derecho, UCR</w:t>
      </w:r>
    </w:p>
    <w:p w:rsidR="00A05EF6" w:rsidRDefault="00A05EF6" w:rsidP="00E10347">
      <w:pPr>
        <w:ind w:right="51"/>
        <w:jc w:val="right"/>
        <w:rPr>
          <w:rFonts w:ascii="Palatino Linotype" w:hAnsi="Palatino Linotype" w:cs="Times New Roman"/>
          <w:sz w:val="21"/>
          <w:szCs w:val="21"/>
        </w:rPr>
      </w:pPr>
    </w:p>
    <w:p w:rsidR="00A05EF6" w:rsidRPr="00E10347" w:rsidRDefault="00A05EF6" w:rsidP="00A05EF6">
      <w:pPr>
        <w:ind w:right="51"/>
        <w:jc w:val="both"/>
        <w:rPr>
          <w:rFonts w:ascii="Palatino Linotype" w:hAnsi="Palatino Linotype" w:cs="Times New Roman"/>
          <w:sz w:val="21"/>
          <w:szCs w:val="21"/>
        </w:rPr>
      </w:pPr>
      <w:r w:rsidRPr="00D1279A">
        <w:rPr>
          <w:rFonts w:ascii="Palatino Linotype" w:hAnsi="Palatino Linotype" w:cs="Times New Roman"/>
          <w:sz w:val="21"/>
          <w:szCs w:val="21"/>
        </w:rPr>
        <w:t>SUMARIO</w:t>
      </w:r>
      <w:r w:rsidRPr="00E10347">
        <w:rPr>
          <w:rStyle w:val="Refdenotaalpie"/>
          <w:rFonts w:ascii="Palatino Linotype" w:hAnsi="Palatino Linotype" w:cs="Times New Roman"/>
          <w:sz w:val="21"/>
          <w:szCs w:val="21"/>
        </w:rPr>
        <w:footnoteReference w:id="480"/>
      </w:r>
      <w:r w:rsidRPr="00D1279A">
        <w:rPr>
          <w:rFonts w:ascii="Palatino Linotype" w:hAnsi="Palatino Linotype" w:cs="Times New Roman"/>
          <w:sz w:val="21"/>
          <w:szCs w:val="21"/>
        </w:rPr>
        <w:t>: 1.- La oralidad e iniciativa probatoria en el proceso agrario; 2.- La carga de la prueba, inversión, oficiosidad y verdad real; 3.- Declaración de parte y testimonial; 4.- La prueba documental y otros medios de prueba;</w:t>
      </w:r>
      <w:r w:rsidRPr="00D1279A">
        <w:rPr>
          <w:rFonts w:ascii="Palatino Linotype" w:hAnsi="Palatino Linotype" w:cs="Times New Roman"/>
          <w:spacing w:val="-3"/>
          <w:sz w:val="21"/>
          <w:szCs w:val="21"/>
        </w:rPr>
        <w:t xml:space="preserve"> 5.- La aportación y valoración de la prueba pericial;</w:t>
      </w:r>
      <w:r w:rsidRPr="00D1279A">
        <w:rPr>
          <w:rFonts w:ascii="Palatino Linotype" w:hAnsi="Palatino Linotype" w:cs="Times New Roman"/>
          <w:sz w:val="21"/>
          <w:szCs w:val="21"/>
        </w:rPr>
        <w:t xml:space="preserve"> 6- La relevancia del reconocimiento judicial en el (nuevo) proceso agrario; 7.- Prueba indiciaria, científica y otros medios de prueba; 8.- La libre valoración de la prueba y sana crítica racional; </w:t>
      </w:r>
      <w:r w:rsidRPr="00D1279A">
        <w:rPr>
          <w:rFonts w:ascii="Palatino Linotype" w:hAnsi="Palatino Linotype" w:cs="Times New Roman"/>
          <w:spacing w:val="-3"/>
          <w:sz w:val="21"/>
          <w:szCs w:val="21"/>
        </w:rPr>
        <w:t>9. La libre valoración no significa arbitrariedad. Límites del sistema; 10. Consideraciones conclusivas.</w:t>
      </w:r>
    </w:p>
    <w:p w:rsidR="00244C82" w:rsidRPr="00E10347" w:rsidRDefault="00244C82" w:rsidP="00E10347">
      <w:pPr>
        <w:ind w:right="49"/>
        <w:jc w:val="both"/>
        <w:rPr>
          <w:rFonts w:ascii="Palatino Linotype" w:hAnsi="Palatino Linotype" w:cs="Times New Roman"/>
          <w:sz w:val="21"/>
          <w:szCs w:val="21"/>
        </w:rPr>
      </w:pPr>
    </w:p>
    <w:p w:rsidR="00244C82" w:rsidRPr="00E10347" w:rsidRDefault="00244C82" w:rsidP="00E10347">
      <w:pPr>
        <w:ind w:right="49"/>
        <w:jc w:val="both"/>
        <w:rPr>
          <w:rFonts w:ascii="Palatino Linotype" w:hAnsi="Palatino Linotype" w:cs="Times New Roman"/>
          <w:b/>
          <w:spacing w:val="-3"/>
          <w:sz w:val="21"/>
          <w:szCs w:val="21"/>
        </w:rPr>
      </w:pPr>
      <w:r w:rsidRPr="00E10347">
        <w:rPr>
          <w:rFonts w:ascii="Palatino Linotype" w:hAnsi="Palatino Linotype" w:cs="Times New Roman"/>
          <w:b/>
          <w:spacing w:val="-3"/>
          <w:sz w:val="21"/>
          <w:szCs w:val="21"/>
        </w:rPr>
        <w:t>Introducción.</w:t>
      </w:r>
    </w:p>
    <w:p w:rsidR="00244C82" w:rsidRPr="00E10347" w:rsidRDefault="00244C82" w:rsidP="00E10347">
      <w:pPr>
        <w:ind w:right="49"/>
        <w:jc w:val="both"/>
        <w:rPr>
          <w:rFonts w:ascii="Palatino Linotype" w:hAnsi="Palatino Linotype" w:cs="Times New Roman"/>
          <w:b/>
          <w:spacing w:val="-3"/>
          <w:sz w:val="21"/>
          <w:szCs w:val="21"/>
        </w:rPr>
      </w:pPr>
      <w:r w:rsidRPr="00E10347">
        <w:rPr>
          <w:rFonts w:ascii="Palatino Linotype" w:hAnsi="Palatino Linotype" w:cs="Times New Roman"/>
          <w:sz w:val="21"/>
          <w:szCs w:val="21"/>
        </w:rPr>
        <w:tab/>
        <w:t>En este artículo se explicarán los aspectos fundamentales de admisión, evacuación y valoración de ciertos elementos probatorios dentro del proceso agrario, apuntando algunas particularidades especiales para cada tipo de prueba, y la importancia que tienen para formar la convicción del juez agrario en casos concretos. Para ello se tendrá presente la aplicación de la Ley de Jurisdicción Agraria vigente</w:t>
      </w:r>
      <w:r w:rsidRPr="00E10347">
        <w:rPr>
          <w:rStyle w:val="Refdenotaalpie"/>
          <w:rFonts w:ascii="Palatino Linotype" w:hAnsi="Palatino Linotype" w:cs="Times New Roman"/>
          <w:sz w:val="21"/>
          <w:szCs w:val="21"/>
        </w:rPr>
        <w:footnoteReference w:id="481"/>
      </w:r>
      <w:r w:rsidRPr="00E10347">
        <w:rPr>
          <w:rFonts w:ascii="Palatino Linotype" w:hAnsi="Palatino Linotype" w:cs="Times New Roman"/>
          <w:sz w:val="21"/>
          <w:szCs w:val="21"/>
        </w:rPr>
        <w:t>, y las regulaciones propuestas en el nuevo proyecto de Código Procesal Agrario</w:t>
      </w:r>
      <w:r w:rsidRPr="00E10347">
        <w:rPr>
          <w:rStyle w:val="Refdenotaalpie"/>
          <w:rFonts w:ascii="Palatino Linotype" w:hAnsi="Palatino Linotype" w:cs="Times New Roman"/>
          <w:sz w:val="21"/>
          <w:szCs w:val="21"/>
        </w:rPr>
        <w:footnoteReference w:id="482"/>
      </w:r>
      <w:r w:rsidRPr="00E10347">
        <w:rPr>
          <w:rFonts w:ascii="Palatino Linotype" w:hAnsi="Palatino Linotype" w:cs="Times New Roman"/>
          <w:sz w:val="21"/>
          <w:szCs w:val="21"/>
        </w:rPr>
        <w:t xml:space="preserve"> (en adelante NpCPA), destacando algunas diferencias y semejanzas con la Reforma Procesal Laboral</w:t>
      </w:r>
      <w:r w:rsidRPr="00E10347">
        <w:rPr>
          <w:rStyle w:val="Refdenotaalpie"/>
          <w:rFonts w:ascii="Palatino Linotype" w:hAnsi="Palatino Linotype" w:cs="Times New Roman"/>
          <w:sz w:val="21"/>
          <w:szCs w:val="21"/>
        </w:rPr>
        <w:footnoteReference w:id="483"/>
      </w:r>
      <w:r w:rsidRPr="00E10347">
        <w:rPr>
          <w:rFonts w:ascii="Palatino Linotype" w:hAnsi="Palatino Linotype" w:cs="Times New Roman"/>
          <w:sz w:val="21"/>
          <w:szCs w:val="21"/>
        </w:rPr>
        <w:t xml:space="preserve"> (en adelante nuevo CPL ó RPL), de </w:t>
      </w:r>
      <w:r w:rsidRPr="00E10347">
        <w:rPr>
          <w:rFonts w:ascii="Palatino Linotype" w:hAnsi="Palatino Linotype" w:cs="Times New Roman"/>
          <w:sz w:val="21"/>
          <w:szCs w:val="21"/>
        </w:rPr>
        <w:lastRenderedPageBreak/>
        <w:t>aplicación supletoria primaria, y el nuevo Código Procesal Civil</w:t>
      </w:r>
      <w:r w:rsidRPr="00E10347">
        <w:rPr>
          <w:rStyle w:val="Refdenotaalpie"/>
          <w:rFonts w:ascii="Palatino Linotype" w:hAnsi="Palatino Linotype" w:cs="Times New Roman"/>
          <w:sz w:val="21"/>
          <w:szCs w:val="21"/>
        </w:rPr>
        <w:footnoteReference w:id="484"/>
      </w:r>
      <w:r w:rsidRPr="00E10347">
        <w:rPr>
          <w:rFonts w:ascii="Palatino Linotype" w:hAnsi="Palatino Linotype" w:cs="Times New Roman"/>
          <w:sz w:val="21"/>
          <w:szCs w:val="21"/>
        </w:rPr>
        <w:t>.</w:t>
      </w:r>
    </w:p>
    <w:p w:rsidR="00E429E2" w:rsidRDefault="00E429E2" w:rsidP="00E10347">
      <w:pPr>
        <w:ind w:right="49"/>
        <w:jc w:val="both"/>
        <w:rPr>
          <w:rFonts w:ascii="Palatino Linotype" w:hAnsi="Palatino Linotype" w:cs="Times New Roman"/>
          <w:b/>
          <w:sz w:val="21"/>
          <w:szCs w:val="21"/>
        </w:rPr>
      </w:pP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b/>
          <w:sz w:val="21"/>
          <w:szCs w:val="21"/>
        </w:rPr>
        <w:t>1.- La oralidad e iniciativa probatoria en el proceso agrario</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El gran jurista y comparatista, Mauro Cappelletti, dejó claro que oralidad tiene uno de sus más importantes impactos en la concepción de la prueba.</w:t>
      </w:r>
      <w:r w:rsidRPr="00E10347">
        <w:rPr>
          <w:rStyle w:val="Refdenotaalpie"/>
          <w:rFonts w:ascii="Palatino Linotype" w:hAnsi="Palatino Linotype" w:cs="Times New Roman"/>
          <w:sz w:val="21"/>
          <w:szCs w:val="21"/>
        </w:rPr>
        <w:footnoteReference w:id="485"/>
      </w:r>
      <w:r w:rsidRPr="00E10347">
        <w:rPr>
          <w:rFonts w:ascii="Palatino Linotype" w:hAnsi="Palatino Linotype" w:cs="Times New Roman"/>
          <w:sz w:val="21"/>
          <w:szCs w:val="21"/>
        </w:rPr>
        <w:t xml:space="preserve"> Lo anterior se ha visto reflejado en el proceso agrario, donde rige el principio de la oralidad,  mediante prevalencia de  la inmediación probatoria y la dirección del juez agrario en la producción y evacuación del elemento probatorio prevalezca. El Juez debe garantizar su imparcialidad en la dirección y apreciación del elemento probatorio, con motivación de sus decisiones, buscando siempre la verdad real</w:t>
      </w:r>
      <w:r w:rsidRPr="00E10347">
        <w:rPr>
          <w:rFonts w:ascii="Palatino Linotype" w:hAnsi="Palatino Linotype" w:cs="Times New Roman"/>
          <w:spacing w:val="-3"/>
          <w:sz w:val="21"/>
          <w:szCs w:val="21"/>
          <w:lang w:val="es-ES_tradnl"/>
        </w:rPr>
        <w:t xml:space="preserve">. </w:t>
      </w:r>
      <w:r w:rsidRPr="00E10347">
        <w:rPr>
          <w:rStyle w:val="Refdenotaalpie"/>
          <w:rFonts w:ascii="Palatino Linotype" w:hAnsi="Palatino Linotype" w:cs="Times New Roman"/>
          <w:spacing w:val="-3"/>
          <w:sz w:val="21"/>
          <w:szCs w:val="21"/>
          <w:lang w:val="es-ES_tradnl"/>
        </w:rPr>
        <w:footnoteReference w:id="486"/>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ab/>
        <w:t>La prueba es un instrumento fundamental para la reconstrucción histórica de los hechos que originan un conflicto judicial. El Juez es un historiador de casos concretos, sobre hechos que  ocurren en la vida. El método judicial probatorio le permite lograr esa reconstrucción histórica para dar respuesta a casos concretos.</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La prueba tiene gran importancia en la vida jurídica. En materia agraria, por su carácter social y su contacto permanente con el lugar del conflicto, es donde quizás se vivifican más los hechos que originan las controversias agrarias. Esto es así, porque en el proceso agrario el juez entra en contacto, verdaderamente, con la realidad del caso concreto, conoce sus características y circunstancias, el medio, las personas, las cosas, los instrumentos en los cuales se desarrollan las actividades agrarias. Ese contacto inmediato con el elemento probatorio es fundamental para la obtención de la prueba dirigida a descubrir la verdad.</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En la teoría general de la prueba judicial</w:t>
      </w:r>
      <w:r w:rsidRPr="00E10347">
        <w:rPr>
          <w:rStyle w:val="Refdenotaalpie"/>
          <w:rFonts w:ascii="Palatino Linotype" w:hAnsi="Palatino Linotype" w:cs="Times New Roman"/>
          <w:sz w:val="21"/>
          <w:szCs w:val="21"/>
        </w:rPr>
        <w:footnoteReference w:id="487"/>
      </w:r>
      <w:r w:rsidRPr="00E10347">
        <w:rPr>
          <w:rFonts w:ascii="Palatino Linotype" w:hAnsi="Palatino Linotype" w:cs="Times New Roman"/>
          <w:sz w:val="21"/>
          <w:szCs w:val="21"/>
        </w:rPr>
        <w:t xml:space="preserve">, se establece que son tres los aspectos que integran la noción:  </w:t>
      </w:r>
      <w:r w:rsidRPr="00E10347">
        <w:rPr>
          <w:rFonts w:ascii="Palatino Linotype" w:hAnsi="Palatino Linotype" w:cs="Times New Roman"/>
          <w:sz w:val="21"/>
          <w:szCs w:val="21"/>
        </w:rPr>
        <w:tab/>
        <w:t xml:space="preserve">a.- Su manifestación formal, es decir, los medios utilizados para llevarle al juez el conocimiento de los hechos, como testimonios, documentos, indicios, etc.;  b.- El contenido sustancial, que es mejor dominar esencial, o sean las razones o motivos que de esos medios se deducen en favor de la existencia o inexistencia de los hechos; </w:t>
      </w:r>
      <w:r w:rsidRPr="00E10347">
        <w:rPr>
          <w:rFonts w:ascii="Palatino Linotype" w:hAnsi="Palatino Linotype" w:cs="Times New Roman"/>
          <w:sz w:val="21"/>
          <w:szCs w:val="21"/>
        </w:rPr>
        <w:tab/>
        <w:t>c.-El resultado subjetivo o el convencimiento que con ellas se trata de producir en la mente del juzgador y en este sentido el juez concluye si hay o no prueba de determinados hechos.</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Con base en lo anterior, podemos retomar los conceptos vertidos por la doctrina latinoamericana: “Probar es aportar al proceso,  por los medios y procedimientos aceptados en la ley, los motivos o las razones que produzcan el convencimiento o la certeza del juez sobre los hechos. Prueba judicial (en </w:t>
      </w:r>
      <w:r w:rsidRPr="00E10347">
        <w:rPr>
          <w:rFonts w:ascii="Palatino Linotype" w:hAnsi="Palatino Linotype" w:cs="Times New Roman"/>
          <w:sz w:val="21"/>
          <w:szCs w:val="21"/>
        </w:rPr>
        <w:lastRenderedPageBreak/>
        <w:t>particular), es todo motivo o razón aportada al proceso por los medios y procedimientos aceptados en la ley, para llevarle al juez el convencimiento o la certeza sobre los hechos. Y se dice que existe prueba suficiente en el proceso, cuando en él aparece un conjunto de razones o motivos que producen el convencimiento o la certeza del juez respecto de los hechos sobre los cuales debe proferir su decisión, obtenidos por los medios, procedimientos y sistemas de valoración que la ley autoriza”.</w:t>
      </w:r>
      <w:r w:rsidRPr="00E10347">
        <w:rPr>
          <w:rStyle w:val="Refdenotaalpie"/>
          <w:rFonts w:ascii="Palatino Linotype" w:hAnsi="Palatino Linotype" w:cs="Times New Roman"/>
          <w:sz w:val="21"/>
          <w:szCs w:val="21"/>
        </w:rPr>
        <w:footnoteReference w:id="488"/>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Las anteriores definiciones, parten de toda una elaboración de la prueba judicial, aceptada por la Doctrina Procesal Agraria cuando indica que:  “En derecho, las pruebas son también medios o elementos que se aportan a los procesos y de los cuales se valen tanto las partes como los funcionarios jurisdiccionales para llegar al esclarecimiento de los hechos controvertidos dentro de ellos, y hacer posible de esa manera la expedición de sentencias que se ajusten no solo a las normas legales, sino que estén de acuerdo, además, con la equidad y la justicia.”</w:t>
      </w:r>
      <w:r w:rsidRPr="00E10347">
        <w:rPr>
          <w:rStyle w:val="Refdenotaalpie"/>
          <w:rFonts w:ascii="Palatino Linotype" w:hAnsi="Palatino Linotype" w:cs="Times New Roman"/>
          <w:sz w:val="21"/>
          <w:szCs w:val="21"/>
        </w:rPr>
        <w:footnoteReference w:id="489"/>
      </w:r>
      <w:r w:rsidRPr="00E10347">
        <w:rPr>
          <w:rFonts w:ascii="Palatino Linotype" w:hAnsi="Palatino Linotype" w:cs="Times New Roman"/>
          <w:sz w:val="21"/>
          <w:szCs w:val="21"/>
        </w:rPr>
        <w:tab/>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Las personas que participan de un proceso agrario, invocando algún derecho subjetivo, tienen derecho de probar. Ello es parte del principio del contradictorio y del debido proceso. El Juez tiene la obligación de decretar y practicar las pruebas pedidas por las partes del proceso agrario, de lo contrario se produciría una denegación de justicia.</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Las formalidades procesales para la validez de la prueba, no deben ser limitaciones para el sistema de la libre apreciación que rige la materia agraria. La jurisdicción agraria siempre a tenido apertura para todo tipo de prueba, porque la misma Ley ha permitido incluso que las partes presenten copias simples de documentos, se valoran testimonios de otros procesos, se valoran peritajes privados como prueba documental, se ha admitido en la práctica para algunos casos la aportación probatoria de prueba técnica de entidades especializadas (por ejemplo en procesos de responsabilidad, donde participan entidades prestatarias de servicios de sanidad animal o vegetal). También, a raíz de la incorporación del plan de moderna gestión y el escritorio virtual, se admiten todo tipo de documentos digitales o virtuales.</w:t>
      </w:r>
      <w:r w:rsidRPr="00E10347">
        <w:rPr>
          <w:rStyle w:val="Refdenotaalpie"/>
          <w:rFonts w:ascii="Palatino Linotype" w:hAnsi="Palatino Linotype" w:cs="Times New Roman"/>
          <w:sz w:val="21"/>
          <w:szCs w:val="21"/>
        </w:rPr>
        <w:footnoteReference w:id="490"/>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ab/>
        <w:t>Sin embargo ello no significa arbitrariedad y desconocimiento del derecho de defensa de las partes, aceptando elementos indebidamente aportados. La convicción del juez debe formarse sobre una base procesal, mediante la cual se hayan reunido legalmente los elementos probatorios, con la garantía del contradictorio y del debido proceso.</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La libertad de los medios de prueba o el sistema de la prueba libre es un complemento fundamental del sistema de la libre apreciación, siempre y cuando se respeten las reglas para producirlas. En primer término, la aportación y evacuación bajo responsabilidad de las partes, en segundo término, la aportación oficiosa del juez agrario, si le parece razonable allegar al proceso un elemento que tenga fuerza probatoria esclarecedora, puede tomarlo como base de su decisión. Además de algunos medios ordinarios o tradicionales, como veremos, comienza a darse cabida a los nuevos medios que el adelanto científico va trayendo, tales como la biotecnología, la seguridad agroalimentaria para garantizar la inocuidad tanto vegetal como animal</w:t>
      </w:r>
      <w:r w:rsidRPr="00E10347">
        <w:rPr>
          <w:rStyle w:val="Refdenotaalpie"/>
          <w:rFonts w:ascii="Palatino Linotype" w:hAnsi="Palatino Linotype" w:cs="Times New Roman"/>
          <w:sz w:val="21"/>
          <w:szCs w:val="21"/>
        </w:rPr>
        <w:footnoteReference w:id="491"/>
      </w:r>
      <w:r w:rsidRPr="00E10347">
        <w:rPr>
          <w:rFonts w:ascii="Palatino Linotype" w:hAnsi="Palatino Linotype" w:cs="Times New Roman"/>
          <w:sz w:val="21"/>
          <w:szCs w:val="21"/>
        </w:rPr>
        <w:t xml:space="preserve">.  </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La Ley de Jurisdicción Agraria vigente</w:t>
      </w:r>
      <w:r w:rsidRPr="00E10347">
        <w:rPr>
          <w:rStyle w:val="Refdenotaalpie"/>
          <w:rFonts w:ascii="Palatino Linotype" w:hAnsi="Palatino Linotype" w:cs="Times New Roman"/>
          <w:sz w:val="21"/>
          <w:szCs w:val="21"/>
        </w:rPr>
        <w:footnoteReference w:id="492"/>
      </w:r>
      <w:r w:rsidRPr="00E10347">
        <w:rPr>
          <w:rFonts w:ascii="Palatino Linotype" w:hAnsi="Palatino Linotype" w:cs="Times New Roman"/>
          <w:sz w:val="21"/>
          <w:szCs w:val="21"/>
        </w:rPr>
        <w:t xml:space="preserve"> no contiene una enumeración de todos los elementos probatorios admisibles dentro del proceso agrario, aunque menciona algunos. Sin embargo, el nuevo proyecto CPA  sí los contiene en su artículo 114 “Son medios de prueba admisibles la declaración de parte, la declaración testimonial, dictamen de peritos, documentos, informes, reconocimientos judiciales prueba científica o tecnológica y cualquier medio probatorio legalmente permitido”. Lo cual se complementa con lo dispuesto en el </w:t>
      </w:r>
      <w:r w:rsidRPr="00E10347">
        <w:rPr>
          <w:rFonts w:ascii="Palatino Linotype" w:hAnsi="Palatino Linotype" w:cs="Times New Roman"/>
          <w:sz w:val="21"/>
          <w:szCs w:val="21"/>
        </w:rPr>
        <w:lastRenderedPageBreak/>
        <w:t>artículo 479 nuevo CPL y 41.2 del n CPC, con la diferencia que en laboral se mantuvo la confesión.</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Como prueba anticipada,  la Lja comprende la confesión, la exhibición de documentos, la inspección ocular, la prueba pericial.</w:t>
      </w:r>
      <w:r w:rsidRPr="00E10347">
        <w:rPr>
          <w:rStyle w:val="Refdenotaalpie"/>
          <w:rFonts w:ascii="Palatino Linotype" w:hAnsi="Palatino Linotype" w:cs="Times New Roman"/>
          <w:sz w:val="21"/>
          <w:szCs w:val="21"/>
        </w:rPr>
        <w:footnoteReference w:id="493"/>
      </w:r>
      <w:r w:rsidRPr="00E10347">
        <w:rPr>
          <w:rFonts w:ascii="Palatino Linotype" w:hAnsi="Palatino Linotype" w:cs="Times New Roman"/>
          <w:sz w:val="21"/>
          <w:szCs w:val="21"/>
        </w:rPr>
        <w:t xml:space="preserve"> El artículo 38, referido a los requisitos de la demanda, indica en forma expresa que el actor debe enumerar todos los medios de prueba con que se demuestran los hechos, con lo cual es posible admitir un criterio amplio de asunción de pruebas en agrario.  Específicamente también se refiere a los testigos, los documentos, tantos públicos como privados, a la exhibición de documentos.</w:t>
      </w:r>
      <w:r w:rsidRPr="00E10347">
        <w:rPr>
          <w:rStyle w:val="Refdenotaalpie"/>
          <w:rFonts w:ascii="Palatino Linotype" w:hAnsi="Palatino Linotype" w:cs="Times New Roman"/>
          <w:sz w:val="21"/>
          <w:szCs w:val="21"/>
        </w:rPr>
        <w:footnoteReference w:id="494"/>
      </w:r>
      <w:r w:rsidRPr="00E10347">
        <w:rPr>
          <w:rFonts w:ascii="Palatino Linotype" w:hAnsi="Palatino Linotype" w:cs="Times New Roman"/>
          <w:sz w:val="21"/>
          <w:szCs w:val="21"/>
        </w:rPr>
        <w:t xml:space="preserve">  En las normas referidas al juicio verbal, se hace referencia expresa a la prueba testimonial y confesional, al interrogatorio oficioso de partes, testigos y peritos, y a la inspección ocular.</w:t>
      </w:r>
      <w:r w:rsidRPr="00E10347">
        <w:rPr>
          <w:rStyle w:val="Refdenotaalpie"/>
          <w:rFonts w:ascii="Palatino Linotype" w:hAnsi="Palatino Linotype" w:cs="Times New Roman"/>
          <w:sz w:val="21"/>
          <w:szCs w:val="21"/>
        </w:rPr>
        <w:footnoteReference w:id="495"/>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El npCPA contempla la posibilidad de solicitar antes del establecimiento de la demanda o la realización del juicio, la práctica de cualquier tipo de prueba, bajo el supuesto de que “…sino se realiza, sea imposible o peligre su práctica posterior”. Se admite como tal, además, la verificación de estados económicos, financieros, rendición de cuentas, declaración de parte, testimonios, exhibición de documentos o bienes muebles.</w:t>
      </w:r>
      <w:r w:rsidRPr="00E10347">
        <w:rPr>
          <w:rStyle w:val="Refdenotaalpie"/>
          <w:rFonts w:ascii="Palatino Linotype" w:hAnsi="Palatino Linotype" w:cs="Times New Roman"/>
          <w:sz w:val="21"/>
          <w:szCs w:val="21"/>
        </w:rPr>
        <w:footnoteReference w:id="496"/>
      </w:r>
      <w:r w:rsidRPr="00E10347">
        <w:rPr>
          <w:rFonts w:ascii="Palatino Linotype" w:hAnsi="Palatino Linotype" w:cs="Times New Roman"/>
          <w:sz w:val="21"/>
          <w:szCs w:val="21"/>
        </w:rPr>
        <w:t xml:space="preserve"> Entre los requisitos formales se dispone la identificación de las partes y el objeto de la prueba, debiéndose garantizar la intervención de la contraria, salvo casos justificados (inaudita altera parte), sin aviso previo.</w:t>
      </w:r>
      <w:r w:rsidRPr="00E10347">
        <w:rPr>
          <w:rStyle w:val="Refdenotaalpie"/>
          <w:rFonts w:ascii="Palatino Linotype" w:hAnsi="Palatino Linotype" w:cs="Times New Roman"/>
          <w:sz w:val="21"/>
          <w:szCs w:val="21"/>
        </w:rPr>
        <w:footnoteReference w:id="497"/>
      </w:r>
    </w:p>
    <w:p w:rsidR="00DD5619" w:rsidRDefault="00DD5619" w:rsidP="00E10347">
      <w:pPr>
        <w:ind w:right="49"/>
        <w:jc w:val="both"/>
        <w:rPr>
          <w:rFonts w:ascii="Palatino Linotype" w:hAnsi="Palatino Linotype" w:cs="Times New Roman"/>
          <w:b/>
          <w:sz w:val="21"/>
          <w:szCs w:val="21"/>
        </w:rPr>
      </w:pPr>
    </w:p>
    <w:p w:rsidR="00244C82" w:rsidRPr="00E10347" w:rsidRDefault="00244C82" w:rsidP="00E10347">
      <w:pPr>
        <w:ind w:right="49"/>
        <w:jc w:val="both"/>
        <w:rPr>
          <w:rFonts w:ascii="Palatino Linotype" w:hAnsi="Palatino Linotype" w:cs="Times New Roman"/>
          <w:b/>
          <w:sz w:val="21"/>
          <w:szCs w:val="21"/>
        </w:rPr>
      </w:pPr>
      <w:r w:rsidRPr="00E10347">
        <w:rPr>
          <w:rFonts w:ascii="Palatino Linotype" w:hAnsi="Palatino Linotype" w:cs="Times New Roman"/>
          <w:b/>
          <w:sz w:val="21"/>
          <w:szCs w:val="21"/>
        </w:rPr>
        <w:t>2.- La carga de la prueba, inversión, oficiosidad y verdad real.</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La doctrina ha señalado los principios generales que rigen la prueba, los cuales también son aplicables a la  materia agraria. Dichos principios tienen una relación directa con la carga de la prueba, y  son los siguientes: </w:t>
      </w:r>
    </w:p>
    <w:p w:rsidR="00244C82" w:rsidRPr="00E10347" w:rsidRDefault="00244C82" w:rsidP="00E83320">
      <w:pPr>
        <w:widowControl/>
        <w:numPr>
          <w:ilvl w:val="0"/>
          <w:numId w:val="15"/>
        </w:numPr>
        <w:autoSpaceDE/>
        <w:autoSpaceDN/>
        <w:adjustRightInd/>
        <w:ind w:right="49"/>
        <w:jc w:val="both"/>
        <w:rPr>
          <w:rFonts w:ascii="Palatino Linotype" w:hAnsi="Palatino Linotype" w:cs="Times New Roman"/>
          <w:sz w:val="21"/>
          <w:szCs w:val="21"/>
        </w:rPr>
      </w:pPr>
      <w:r w:rsidRPr="00E10347">
        <w:rPr>
          <w:rFonts w:ascii="Palatino Linotype" w:hAnsi="Palatino Linotype" w:cs="Times New Roman"/>
          <w:sz w:val="21"/>
          <w:szCs w:val="21"/>
        </w:rPr>
        <w:t xml:space="preserve">La necesidad de la prueba y la prohibición de aplicar el conocimiento privado del juez sobre los hechos. Los hechos deben demostrarse con </w:t>
      </w:r>
      <w:r w:rsidRPr="00E10347">
        <w:rPr>
          <w:rFonts w:ascii="Palatino Linotype" w:hAnsi="Palatino Linotype" w:cs="Times New Roman"/>
          <w:sz w:val="21"/>
          <w:szCs w:val="21"/>
        </w:rPr>
        <w:lastRenderedPageBreak/>
        <w:t xml:space="preserve">pruebas aportadas al proceso, para que el juez pueda fundar su decisión judicial. </w:t>
      </w:r>
    </w:p>
    <w:p w:rsidR="00244C82" w:rsidRPr="00E10347" w:rsidRDefault="00244C82" w:rsidP="00E83320">
      <w:pPr>
        <w:widowControl/>
        <w:numPr>
          <w:ilvl w:val="0"/>
          <w:numId w:val="15"/>
        </w:numPr>
        <w:autoSpaceDE/>
        <w:autoSpaceDN/>
        <w:adjustRightInd/>
        <w:ind w:right="49"/>
        <w:jc w:val="both"/>
        <w:rPr>
          <w:rFonts w:ascii="Palatino Linotype" w:hAnsi="Palatino Linotype" w:cs="Times New Roman"/>
          <w:sz w:val="21"/>
          <w:szCs w:val="21"/>
        </w:rPr>
      </w:pPr>
      <w:r w:rsidRPr="00E10347">
        <w:rPr>
          <w:rFonts w:ascii="Palatino Linotype" w:hAnsi="Palatino Linotype" w:cs="Times New Roman"/>
          <w:sz w:val="21"/>
          <w:szCs w:val="21"/>
        </w:rPr>
        <w:t xml:space="preserve">Eficacia jurídica y legal de la prueba. Es el medio aceptado por el legislador para la verificación de los hechos. </w:t>
      </w:r>
    </w:p>
    <w:p w:rsidR="00244C82" w:rsidRPr="00E10347" w:rsidRDefault="00244C82" w:rsidP="00E83320">
      <w:pPr>
        <w:widowControl/>
        <w:numPr>
          <w:ilvl w:val="0"/>
          <w:numId w:val="15"/>
        </w:numPr>
        <w:autoSpaceDE/>
        <w:autoSpaceDN/>
        <w:adjustRightInd/>
        <w:ind w:right="49"/>
        <w:jc w:val="both"/>
        <w:rPr>
          <w:rFonts w:ascii="Palatino Linotype" w:hAnsi="Palatino Linotype" w:cs="Times New Roman"/>
          <w:sz w:val="21"/>
          <w:szCs w:val="21"/>
        </w:rPr>
      </w:pPr>
      <w:r w:rsidRPr="00E10347">
        <w:rPr>
          <w:rFonts w:ascii="Palatino Linotype" w:hAnsi="Palatino Linotype" w:cs="Times New Roman"/>
          <w:sz w:val="21"/>
          <w:szCs w:val="21"/>
        </w:rPr>
        <w:t xml:space="preserve">La unidad de la prueba, en aras de formar la convicción del juez para que falle conforme a criterios de equidad y de derecho. </w:t>
      </w:r>
    </w:p>
    <w:p w:rsidR="00244C82" w:rsidRPr="00E10347" w:rsidRDefault="00244C82" w:rsidP="00E83320">
      <w:pPr>
        <w:widowControl/>
        <w:numPr>
          <w:ilvl w:val="0"/>
          <w:numId w:val="15"/>
        </w:numPr>
        <w:autoSpaceDE/>
        <w:autoSpaceDN/>
        <w:adjustRightInd/>
        <w:ind w:right="49"/>
        <w:jc w:val="both"/>
        <w:rPr>
          <w:rFonts w:ascii="Palatino Linotype" w:hAnsi="Palatino Linotype" w:cs="Times New Roman"/>
          <w:sz w:val="21"/>
          <w:szCs w:val="21"/>
        </w:rPr>
      </w:pPr>
      <w:r w:rsidRPr="00E10347">
        <w:rPr>
          <w:rFonts w:ascii="Palatino Linotype" w:hAnsi="Palatino Linotype" w:cs="Times New Roman"/>
          <w:sz w:val="21"/>
          <w:szCs w:val="21"/>
        </w:rPr>
        <w:t xml:space="preserve">La adquisición o comunidad de la prueba, una vez introducida al proceso sirven para la realización del derecho y la justicia, independientemente de quien la aporte. </w:t>
      </w:r>
    </w:p>
    <w:p w:rsidR="00244C82" w:rsidRPr="00E10347" w:rsidRDefault="00244C82" w:rsidP="00E83320">
      <w:pPr>
        <w:widowControl/>
        <w:numPr>
          <w:ilvl w:val="0"/>
          <w:numId w:val="15"/>
        </w:numPr>
        <w:autoSpaceDE/>
        <w:autoSpaceDN/>
        <w:adjustRightInd/>
        <w:ind w:right="49"/>
        <w:jc w:val="both"/>
        <w:rPr>
          <w:rFonts w:ascii="Palatino Linotype" w:hAnsi="Palatino Linotype" w:cs="Times New Roman"/>
          <w:sz w:val="21"/>
          <w:szCs w:val="21"/>
        </w:rPr>
      </w:pPr>
      <w:r w:rsidRPr="00E10347">
        <w:rPr>
          <w:rFonts w:ascii="Palatino Linotype" w:hAnsi="Palatino Linotype" w:cs="Times New Roman"/>
          <w:sz w:val="21"/>
          <w:szCs w:val="21"/>
        </w:rPr>
        <w:t xml:space="preserve">El interés público de la función de la prueba es fundamental para la declaración o satisfacción del derecho. </w:t>
      </w:r>
    </w:p>
    <w:p w:rsidR="00244C82" w:rsidRPr="00E10347" w:rsidRDefault="00244C82" w:rsidP="00E83320">
      <w:pPr>
        <w:widowControl/>
        <w:numPr>
          <w:ilvl w:val="0"/>
          <w:numId w:val="15"/>
        </w:numPr>
        <w:autoSpaceDE/>
        <w:autoSpaceDN/>
        <w:adjustRightInd/>
        <w:ind w:right="49"/>
        <w:jc w:val="both"/>
        <w:rPr>
          <w:rFonts w:ascii="Palatino Linotype" w:hAnsi="Palatino Linotype" w:cs="Times New Roman"/>
          <w:sz w:val="21"/>
          <w:szCs w:val="21"/>
        </w:rPr>
      </w:pPr>
      <w:r w:rsidRPr="00E10347">
        <w:rPr>
          <w:rFonts w:ascii="Palatino Linotype" w:hAnsi="Palatino Linotype" w:cs="Times New Roman"/>
          <w:sz w:val="21"/>
          <w:szCs w:val="21"/>
        </w:rPr>
        <w:t xml:space="preserve">Debe respetarse la lealtad y probidad. No debe usarse para ocultar la verdad o engañar al juez, </w:t>
      </w:r>
    </w:p>
    <w:p w:rsidR="00244C82" w:rsidRPr="00E10347" w:rsidRDefault="00244C82" w:rsidP="00E83320">
      <w:pPr>
        <w:widowControl/>
        <w:numPr>
          <w:ilvl w:val="0"/>
          <w:numId w:val="15"/>
        </w:numPr>
        <w:autoSpaceDE/>
        <w:autoSpaceDN/>
        <w:adjustRightInd/>
        <w:ind w:right="49"/>
        <w:jc w:val="both"/>
        <w:rPr>
          <w:rFonts w:ascii="Palatino Linotype" w:hAnsi="Palatino Linotype" w:cs="Times New Roman"/>
          <w:sz w:val="21"/>
          <w:szCs w:val="21"/>
        </w:rPr>
      </w:pPr>
      <w:r w:rsidRPr="00E10347">
        <w:rPr>
          <w:rFonts w:ascii="Palatino Linotype" w:hAnsi="Palatino Linotype" w:cs="Times New Roman"/>
          <w:sz w:val="21"/>
          <w:szCs w:val="21"/>
        </w:rPr>
        <w:t xml:space="preserve">Debe garantizarse la contradicción como requisito esencial para su validez y autoridad, </w:t>
      </w:r>
    </w:p>
    <w:p w:rsidR="00244C82" w:rsidRPr="00E10347" w:rsidRDefault="00244C82" w:rsidP="00E83320">
      <w:pPr>
        <w:widowControl/>
        <w:numPr>
          <w:ilvl w:val="0"/>
          <w:numId w:val="15"/>
        </w:numPr>
        <w:autoSpaceDE/>
        <w:autoSpaceDN/>
        <w:adjustRightInd/>
        <w:ind w:right="49"/>
        <w:jc w:val="both"/>
        <w:rPr>
          <w:rFonts w:ascii="Palatino Linotype" w:hAnsi="Palatino Linotype" w:cs="Times New Roman"/>
          <w:sz w:val="21"/>
          <w:szCs w:val="21"/>
        </w:rPr>
      </w:pPr>
      <w:r w:rsidRPr="00E10347">
        <w:rPr>
          <w:rFonts w:ascii="Palatino Linotype" w:hAnsi="Palatino Linotype" w:cs="Times New Roman"/>
          <w:sz w:val="21"/>
          <w:szCs w:val="21"/>
        </w:rPr>
        <w:t>Las formalidades y legitimidad en la incorporación de la prueba, para que gocen de publicidad, son garantía del debido proceso.</w:t>
      </w:r>
      <w:r w:rsidRPr="00E10347">
        <w:rPr>
          <w:rStyle w:val="Refdenotaalpie"/>
          <w:rFonts w:ascii="Palatino Linotype" w:hAnsi="Palatino Linotype" w:cs="Times New Roman"/>
          <w:sz w:val="21"/>
          <w:szCs w:val="21"/>
        </w:rPr>
        <w:footnoteReference w:id="498"/>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El problema de la carga de la prueba surge frente a la ausencia de elementos de juicio susceptibles de fundar la convicción del juez sobre la existencia o inexistencia de los hechos afirmados por las partes. Es necesario establecer ciertas reglas que señalen sobre cuál de las partes ha de recaer el perjuicio derivado de la falta de prueba. Necesariamente, el pronunciamiento debe darse, en ausencia de ella, contra la parte que omitió probar.</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La carga de la prueba distribuye, entre las partes, la actividad consistente en probar los hechos que son materia de un proceso agrario. Quien omite probar se expone al riesgo de no formar la convicción del juez agrario sobre la existencia de los hechos alegados, y puede verse sujeto, en consecuencia, a una sentencia desfavorable.  </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En el nuevo proyecto CPA se indica de manera expresa que “La actividad probatoria tiene por objeto la búsqueda de la verdad real” (art. 113), coincidiendo con la Reforma Procesal Laboral, en cuyos artículos 421, 422 y 476 se hace referencia a la búsqueda de la verdad real o material y a la libertad probatoria, dentro de los límites legales.</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ab/>
        <w:t>La legislación procesal civil  impone la carga de la prueba:</w:t>
      </w:r>
    </w:p>
    <w:p w:rsidR="00244C82" w:rsidRPr="00E10347" w:rsidRDefault="00244C82" w:rsidP="00E83320">
      <w:pPr>
        <w:widowControl/>
        <w:numPr>
          <w:ilvl w:val="0"/>
          <w:numId w:val="16"/>
        </w:numPr>
        <w:autoSpaceDE/>
        <w:autoSpaceDN/>
        <w:adjustRightInd/>
        <w:ind w:right="49"/>
        <w:jc w:val="both"/>
        <w:rPr>
          <w:rFonts w:ascii="Palatino Linotype" w:hAnsi="Palatino Linotype" w:cs="Times New Roman"/>
          <w:sz w:val="21"/>
          <w:szCs w:val="21"/>
        </w:rPr>
      </w:pPr>
      <w:r w:rsidRPr="00E10347">
        <w:rPr>
          <w:rFonts w:ascii="Palatino Linotype" w:hAnsi="Palatino Linotype" w:cs="Times New Roman"/>
          <w:sz w:val="21"/>
          <w:szCs w:val="21"/>
        </w:rPr>
        <w:t xml:space="preserve">En primer lugar, a quien formule una pretensión, respecto a las afirmaciones de los hechos constitutivos de su derecho; </w:t>
      </w:r>
    </w:p>
    <w:p w:rsidR="00244C82" w:rsidRPr="00E10347" w:rsidRDefault="00244C82" w:rsidP="00E83320">
      <w:pPr>
        <w:widowControl/>
        <w:numPr>
          <w:ilvl w:val="0"/>
          <w:numId w:val="16"/>
        </w:numPr>
        <w:autoSpaceDE/>
        <w:autoSpaceDN/>
        <w:adjustRightInd/>
        <w:ind w:right="49"/>
        <w:jc w:val="both"/>
        <w:rPr>
          <w:rFonts w:ascii="Palatino Linotype" w:hAnsi="Palatino Linotype" w:cs="Times New Roman"/>
          <w:sz w:val="21"/>
          <w:szCs w:val="21"/>
        </w:rPr>
      </w:pPr>
      <w:r w:rsidRPr="00E10347">
        <w:rPr>
          <w:rFonts w:ascii="Palatino Linotype" w:hAnsi="Palatino Linotype" w:cs="Times New Roman"/>
          <w:sz w:val="21"/>
          <w:szCs w:val="21"/>
        </w:rPr>
        <w:t>En segundo lugar, a quien se oponga a una pretensión, en cuando a las afirmaciones de hechos impeditivos, modificativos o extintivos del derecho del actor.</w:t>
      </w:r>
      <w:r w:rsidRPr="00E10347">
        <w:rPr>
          <w:rStyle w:val="Refdenotaalpie"/>
          <w:rFonts w:ascii="Palatino Linotype" w:hAnsi="Palatino Linotype" w:cs="Times New Roman"/>
          <w:sz w:val="21"/>
          <w:szCs w:val="21"/>
        </w:rPr>
        <w:footnoteReference w:id="499"/>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En ambos casos se debe tener presente la facilidad probatoria y disponibilidad de cada una de las partes, según lo debatido, pero además la norma hace excepción cuando existan criterios especiales por norma expresa (art. 41.1. n CPC y 113 in fine nuevo  proyecto CPA).</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 Ese principio, sin embargo, resulta totalmente insuficiente para comprender distintas situaciones que se pueden presentar dentro de un proceso, por varias razones: 1. cuando median presunciones legales a favor de una de las partes, opera un desplazamiento de la carga de la prueba hacia el adversario; 2. No todos los hechos que fundan la pretensión son susceptibles de prueba, como los hechos admitidos, notorios, y otros que imposibilitan la actividad probatoria.</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En todo caso el nuevo proyecto CPA, hace referencia expresa a la inversión de la carga de la prueba para los procesos agroambientales “a favor de la preservación del ambiente”. (art. 113)</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En doctrina se reconoce la existencia de tres clases de hechos: constitutivos, impeditivos y extintivos. Al actor incumbe, en principio la prueba de los hechos constitutivos de su pretensión. Al demandado incumbe la prueba de los hechos impeditivos y extintivos.</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Los hechos impeditivos o extintivos debe, sin embargo, ser demostrados por el actor en los casos en que constituyen el fundamento de una pretensión, por ejemplo cuando se pide la nulidad de un contrato.</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De lo anterior se deduce que cada parte soporta la carga de la prueba respecto de los hechos a los que atribuye la producción del efecto jurídico que pretende.</w:t>
      </w:r>
      <w:r w:rsidRPr="00E10347">
        <w:rPr>
          <w:rStyle w:val="Refdenotaalpie"/>
          <w:rFonts w:ascii="Palatino Linotype" w:hAnsi="Palatino Linotype" w:cs="Times New Roman"/>
          <w:sz w:val="21"/>
          <w:szCs w:val="21"/>
        </w:rPr>
        <w:footnoteReference w:id="500"/>
      </w:r>
      <w:r w:rsidRPr="00E10347">
        <w:rPr>
          <w:rFonts w:ascii="Palatino Linotype" w:hAnsi="Palatino Linotype" w:cs="Times New Roman"/>
          <w:sz w:val="21"/>
          <w:szCs w:val="21"/>
        </w:rPr>
        <w:t xml:space="preserve"> Es decir, incumbe a cada una de las partes probar el presupuesto de hecho (constitutivo, impeditivo o extintivo) de la norma o normas que invoca como fundamento de su pretensión, defensa o excepción.</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ab/>
        <w:t xml:space="preserve">El demandado puede negar o desconocer, simplemente, los hechos afirmados por el actor, y en tal caso no le corresponde probar. Sin embargo, esta regla no resulta aplicable cuando la ley hace de un hecho negativo el presupuesto de un efecto jurídico determinado, porque no puede eximirse de probar a la parte que invoca el hecho negativo, como fundamento de su pretensión o defensa. Tales hechos no son susceptibles de prueba directa, se deducen a través de la demostración de hechos positivos. </w:t>
      </w:r>
    </w:p>
    <w:p w:rsidR="00244C82" w:rsidRPr="00E10347" w:rsidRDefault="00244C82" w:rsidP="00E10347">
      <w:pPr>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Por ejemplo, en el caso de la responsabilidad objetiva debe demostrarse la falta de culpa para destruir la presunción de responsabilidad.  Es un hecho negativo que se demuestra con hechos positivos que acrediten que tomó todas las precauciones y diligencias necesarias para evitar el daño. En estos casos, la carga de la prueba sin invierte a quien se imputa la responsabilidad. Así lo ha establecido la Sala Primera de Casación, en materia de responsabilidad objetiva por daños agroambientales.</w:t>
      </w:r>
      <w:r w:rsidRPr="00E10347">
        <w:rPr>
          <w:rStyle w:val="Refdenotaalpie"/>
          <w:rFonts w:ascii="Palatino Linotype" w:hAnsi="Palatino Linotype" w:cs="Times New Roman"/>
          <w:sz w:val="21"/>
          <w:szCs w:val="21"/>
        </w:rPr>
        <w:footnoteReference w:id="501"/>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La carga de la prueba no debe afectar el sistema de libre valoración. Si las que se practican dentro del proceso agrario, aportadas por las partes u ordenadas por el juzgador, son insuficientes y el juez carece de base probatoria para decidir, debe  aplicar la carga probatoria y dictar sentencia.</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En todos los procesos se regulan criterios para el juicio de admisibilidad (tales como la relación directa con los hechos debatidos y controvertidos, la utilidad y pertinencia) rechazo (prueba impertinente, abundante, inconducente e ilegal, sobre hechos notorios o no controvertidos) y su incorporación oficiosa, sea en la fase preparatoria, como en la de juicio oral (art. 41.3 nCPC</w:t>
      </w:r>
      <w:r w:rsidRPr="00E10347">
        <w:rPr>
          <w:rStyle w:val="Refdenotaalpie"/>
          <w:rFonts w:ascii="Palatino Linotype" w:hAnsi="Palatino Linotype" w:cs="Times New Roman"/>
          <w:sz w:val="21"/>
          <w:szCs w:val="21"/>
        </w:rPr>
        <w:footnoteReference w:id="502"/>
      </w:r>
      <w:r w:rsidRPr="00E10347">
        <w:rPr>
          <w:rFonts w:ascii="Palatino Linotype" w:hAnsi="Palatino Linotype" w:cs="Times New Roman"/>
          <w:sz w:val="21"/>
          <w:szCs w:val="21"/>
        </w:rPr>
        <w:t>, 115 y 128 npCPA</w:t>
      </w:r>
      <w:r w:rsidRPr="00E10347">
        <w:rPr>
          <w:rStyle w:val="Refdenotaalpie"/>
          <w:rFonts w:ascii="Palatino Linotype" w:hAnsi="Palatino Linotype" w:cs="Times New Roman"/>
          <w:sz w:val="21"/>
          <w:szCs w:val="21"/>
        </w:rPr>
        <w:footnoteReference w:id="503"/>
      </w:r>
      <w:r w:rsidRPr="00E10347">
        <w:rPr>
          <w:rFonts w:ascii="Palatino Linotype" w:hAnsi="Palatino Linotype" w:cs="Times New Roman"/>
          <w:sz w:val="21"/>
          <w:szCs w:val="21"/>
        </w:rPr>
        <w:t xml:space="preserve"> y </w:t>
      </w:r>
      <w:r w:rsidRPr="00E10347">
        <w:rPr>
          <w:rFonts w:ascii="Palatino Linotype" w:hAnsi="Palatino Linotype" w:cs="Times New Roman"/>
          <w:sz w:val="21"/>
          <w:szCs w:val="21"/>
        </w:rPr>
        <w:lastRenderedPageBreak/>
        <w:t>n CPL), siendo más amplio el laboral al admitirla hasta antes del dictado de la sentencia, y el agrario al admitirla también para segunda instancia y casación, sea de oficio o a solicitud de partes (art. 129 npcpa).</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Mientras que las normas generales sobre la práctica de la prueba en materia procesal civil están reguladas en una sola norma (41.4 ncpc), en materia agraria están contenidas del artículo 116 a 127, pero realmente son muy pocas las diferencias, pues lo que hicieron las redactoras fue disgregar los incisos en artículos. </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Las regulaciones en cuanto a la concentración de la prueba en una sola audiencia, están mejor definidas en la actual Ley de Jurisdicción agraria. En forma similar a la regulación del CPC.</w:t>
      </w:r>
      <w:r w:rsidRPr="00E10347">
        <w:rPr>
          <w:rStyle w:val="Refdenotaalpie"/>
          <w:rFonts w:ascii="Palatino Linotype" w:hAnsi="Palatino Linotype" w:cs="Times New Roman"/>
          <w:sz w:val="21"/>
          <w:szCs w:val="21"/>
        </w:rPr>
        <w:footnoteReference w:id="504"/>
      </w:r>
      <w:r w:rsidRPr="00E10347">
        <w:rPr>
          <w:rFonts w:ascii="Palatino Linotype" w:hAnsi="Palatino Linotype" w:cs="Times New Roman"/>
          <w:sz w:val="21"/>
          <w:szCs w:val="21"/>
        </w:rPr>
        <w:t xml:space="preserve"> Por el contrario, la regulación en el NpCPA resulta confusa al establecer en su artículo 121 “Para el recibo de los elementos probatorios el tribunal establecerá en qué sesión y día se practicará cada uno”.</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El aislamiento de los testigos no parece una regla práctica en el campo.</w:t>
      </w:r>
      <w:r w:rsidRPr="00E10347">
        <w:rPr>
          <w:rStyle w:val="Refdenotaalpie"/>
          <w:rFonts w:ascii="Palatino Linotype" w:hAnsi="Palatino Linotype" w:cs="Times New Roman"/>
          <w:sz w:val="21"/>
          <w:szCs w:val="21"/>
        </w:rPr>
        <w:footnoteReference w:id="505"/>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Entre los deberes de cooperación, es importante destacar la no obstaculización injustificada, cuando se practique un reconocimiento judicial o pericia, pues en esos casos se puede tener como un indicio en contra de la parte que se niega a cooperar. Particularmente es importante el deber de cooperación de terceros ajenos al proceso, cuando se deba ingresar o pasar por una propiedad privada, casos en los cuales se puede ordenar el ingreso forzoso (art. 116 y 118 npcpa).</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Otra particularidad es que se establecen regulaciones para personas en </w:t>
      </w:r>
      <w:r w:rsidRPr="00E10347">
        <w:rPr>
          <w:rFonts w:ascii="Palatino Linotype" w:hAnsi="Palatino Linotype" w:cs="Times New Roman"/>
          <w:sz w:val="21"/>
          <w:szCs w:val="21"/>
        </w:rPr>
        <w:lastRenderedPageBreak/>
        <w:t>condiciones especiales, a fin de garantizar los derechos la dignidad y la seguridad de las personas, tales como menores de edad, adultos mayor, en condición de discapacidad, limitaciones idiomáticas, indígenas (art. 126 npcpa).</w:t>
      </w:r>
    </w:p>
    <w:p w:rsidR="00DD5619" w:rsidRDefault="00DD5619" w:rsidP="00E10347">
      <w:pPr>
        <w:ind w:right="49"/>
        <w:jc w:val="both"/>
        <w:rPr>
          <w:rFonts w:ascii="Palatino Linotype" w:hAnsi="Palatino Linotype" w:cs="Times New Roman"/>
          <w:b/>
          <w:sz w:val="21"/>
          <w:szCs w:val="21"/>
        </w:rPr>
      </w:pPr>
    </w:p>
    <w:p w:rsidR="00244C82" w:rsidRPr="00E10347" w:rsidRDefault="00244C82" w:rsidP="00E10347">
      <w:pPr>
        <w:ind w:right="49"/>
        <w:jc w:val="both"/>
        <w:rPr>
          <w:rFonts w:ascii="Palatino Linotype" w:hAnsi="Palatino Linotype" w:cs="Times New Roman"/>
          <w:b/>
          <w:sz w:val="21"/>
          <w:szCs w:val="21"/>
        </w:rPr>
      </w:pPr>
      <w:r w:rsidRPr="00E10347">
        <w:rPr>
          <w:rFonts w:ascii="Palatino Linotype" w:hAnsi="Palatino Linotype" w:cs="Times New Roman"/>
          <w:b/>
          <w:sz w:val="21"/>
          <w:szCs w:val="21"/>
        </w:rPr>
        <w:t>3.- Declaración de parte y testimonial.</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El testimonio en general es una fuente de prueba, tanto si proviene de terceros como de las partes,  y se produce cuando el hecho por probar llega al conocimiento del juez mediante la narración oral de una persona. La declaración de parte y testimonial están reguladas claramente en el nuevo Código Procesal Civil,</w:t>
      </w:r>
      <w:r w:rsidRPr="00E10347">
        <w:rPr>
          <w:rStyle w:val="Refdenotaalpie"/>
          <w:rFonts w:ascii="Palatino Linotype" w:hAnsi="Palatino Linotype" w:cs="Times New Roman"/>
          <w:sz w:val="21"/>
          <w:szCs w:val="21"/>
        </w:rPr>
        <w:footnoteReference w:id="506"/>
      </w:r>
      <w:r w:rsidRPr="00E10347">
        <w:rPr>
          <w:rFonts w:ascii="Palatino Linotype" w:hAnsi="Palatino Linotype" w:cs="Times New Roman"/>
          <w:sz w:val="21"/>
          <w:szCs w:val="21"/>
        </w:rPr>
        <w:t xml:space="preserve"> en el cual se basa el proyecto del Procesal Agrario, que en sus artículos 133 a 141, contiene su propia regulación. Ambos suprimieron la confesión como medio de prueba, sin embargo el mismo se mantiene en la reforma procesal laboral</w:t>
      </w:r>
      <w:r w:rsidRPr="00E10347">
        <w:rPr>
          <w:rStyle w:val="Refdenotaalpie"/>
          <w:rFonts w:ascii="Palatino Linotype" w:hAnsi="Palatino Linotype" w:cs="Times New Roman"/>
          <w:sz w:val="21"/>
          <w:szCs w:val="21"/>
        </w:rPr>
        <w:footnoteReference w:id="507"/>
      </w:r>
      <w:r w:rsidRPr="00E10347">
        <w:rPr>
          <w:rFonts w:ascii="Palatino Linotype" w:hAnsi="Palatino Linotype" w:cs="Times New Roman"/>
          <w:sz w:val="21"/>
          <w:szCs w:val="21"/>
        </w:rPr>
        <w:t>.</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b/>
          <w:sz w:val="21"/>
          <w:szCs w:val="21"/>
        </w:rPr>
        <w:tab/>
      </w:r>
      <w:r w:rsidRPr="00E10347">
        <w:rPr>
          <w:rFonts w:ascii="Palatino Linotype" w:hAnsi="Palatino Linotype" w:cs="Times New Roman"/>
          <w:sz w:val="21"/>
          <w:szCs w:val="21"/>
        </w:rPr>
        <w:t>La declaración de parte es la manifestación hecha por una persona que es parte en un proceso agrario, en relación con los hechos que constituyen objeto de investigación, para alcanzar el descubrimiento de la verdad real.</w:t>
      </w:r>
      <w:r w:rsidRPr="00E10347">
        <w:rPr>
          <w:rStyle w:val="Refdenotaalpie"/>
          <w:rFonts w:ascii="Palatino Linotype" w:hAnsi="Palatino Linotype" w:cs="Times New Roman"/>
          <w:sz w:val="21"/>
          <w:szCs w:val="21"/>
        </w:rPr>
        <w:footnoteReference w:id="508"/>
      </w:r>
      <w:r w:rsidRPr="00E10347">
        <w:rPr>
          <w:rFonts w:ascii="Palatino Linotype" w:hAnsi="Palatino Linotype" w:cs="Times New Roman"/>
          <w:sz w:val="21"/>
          <w:szCs w:val="21"/>
        </w:rPr>
        <w:t xml:space="preserve"> Cuando la declaración se produce fuera del proceso, se le llama extraprocesal, si se produce dentro del proceso es procesal. La declaración puede ser espontánea, si se produce en forma voluntaria, o por interrogatorio, si es exigida por el juez o la contraparte. Puede existir “reciprocidad” en el interrogatorio inter-partes, lo cual no es muy utilizado.</w:t>
      </w:r>
      <w:r w:rsidRPr="00E10347">
        <w:rPr>
          <w:rStyle w:val="Refdenotaalpie"/>
          <w:rFonts w:ascii="Palatino Linotype" w:hAnsi="Palatino Linotype" w:cs="Times New Roman"/>
          <w:sz w:val="21"/>
          <w:szCs w:val="21"/>
        </w:rPr>
        <w:footnoteReference w:id="509"/>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En el proceso agrario, lo más usual es que la declaración de parte se realice dentro del mismo proceso, mediante un interrogatorio oral libre.  El juez agrario está facultado para interrogar de oficio a las partes sobre los hechos que considere de importancia.</w:t>
      </w:r>
    </w:p>
    <w:p w:rsidR="00244C82" w:rsidRPr="00E10347" w:rsidRDefault="00244C82" w:rsidP="00E10347">
      <w:pPr>
        <w:ind w:right="49"/>
        <w:jc w:val="both"/>
        <w:rPr>
          <w:rFonts w:ascii="Palatino Linotype" w:hAnsi="Palatino Linotype" w:cs="Times New Roman"/>
          <w:spacing w:val="-3"/>
          <w:sz w:val="21"/>
          <w:szCs w:val="21"/>
        </w:rPr>
      </w:pPr>
      <w:r w:rsidRPr="00E10347">
        <w:rPr>
          <w:rFonts w:ascii="Palatino Linotype" w:hAnsi="Palatino Linotype" w:cs="Times New Roman"/>
          <w:sz w:val="21"/>
          <w:szCs w:val="21"/>
        </w:rPr>
        <w:tab/>
        <w:t xml:space="preserve">La declaración de las partes (género) y la confesión (especie, mantenida en la RPL y mencionada en alguna norma del NCPC) pertenecen al ámbito de la prueba testimonial y hoy día se acepta que el Juez pueda valorar libremente el contenido de esa prueba, sea favorable o desfavorable a quien declara. Esto es típico </w:t>
      </w:r>
      <w:r w:rsidRPr="00E10347">
        <w:rPr>
          <w:rFonts w:ascii="Palatino Linotype" w:hAnsi="Palatino Linotype" w:cs="Times New Roman"/>
          <w:sz w:val="21"/>
          <w:szCs w:val="21"/>
        </w:rPr>
        <w:lastRenderedPageBreak/>
        <w:t>en un sistema oral donde rija el principio de valoración probatoria.</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Del interrogatorio pueden surgir importantes elementos de prueba, libremente valorados por el juez, observando la sinceridad y espontaneidad de las afirmaciones de las partes, o su reticencia al contestar una pregunta. Las partes son las que tienen mayor conocimiento de los hechos de la contienda, de ahí que su interrogatorio se convierta en un instrumento probatorio fundamental para la averiguación de la verdad material. </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Estas apreciaciones están contenidas en el Código Procesal Civil  Alemán, que en su reforma del 2002, introduce lo siguiente:  </w:t>
      </w:r>
    </w:p>
    <w:p w:rsidR="00244C82" w:rsidRPr="00E10347" w:rsidRDefault="00244C82" w:rsidP="00E10347">
      <w:pPr>
        <w:ind w:right="49"/>
        <w:jc w:val="both"/>
        <w:rPr>
          <w:rFonts w:ascii="Palatino Linotype" w:hAnsi="Palatino Linotype" w:cs="Times New Roman"/>
          <w:i/>
          <w:sz w:val="21"/>
          <w:szCs w:val="21"/>
        </w:rPr>
      </w:pPr>
      <w:r w:rsidRPr="00E10347">
        <w:rPr>
          <w:rFonts w:ascii="Palatino Linotype" w:hAnsi="Palatino Linotype" w:cs="Times New Roman"/>
          <w:sz w:val="21"/>
          <w:szCs w:val="21"/>
        </w:rPr>
        <w:tab/>
      </w:r>
      <w:r w:rsidRPr="00E10347">
        <w:rPr>
          <w:rFonts w:ascii="Palatino Linotype" w:hAnsi="Palatino Linotype" w:cs="Times New Roman"/>
          <w:i/>
          <w:sz w:val="21"/>
          <w:szCs w:val="21"/>
        </w:rPr>
        <w:t>“139.- El tribunal tiene que esclarecer la relación de hecho y la litis y, en tanto ello sea necesario, con las partes en las cuestiones de hecho y de derecho aclarándolas y realizando preguntas. Él tiene que lograr que las partes en forma oportuna y completa declaren sobre los hechos relevantes, en especial aclaraciones insuficientes que hacen a los hechos invocados a los efectos de completarlos para describir los medios de prueba y para interponer las peticiones que se adecuen a la causa…</w:t>
      </w:r>
    </w:p>
    <w:p w:rsidR="00244C82" w:rsidRPr="00E10347" w:rsidRDefault="00244C82" w:rsidP="00E10347">
      <w:pPr>
        <w:ind w:right="49" w:firstLine="708"/>
        <w:jc w:val="both"/>
        <w:rPr>
          <w:rFonts w:ascii="Palatino Linotype" w:hAnsi="Palatino Linotype" w:cs="Times New Roman"/>
          <w:sz w:val="21"/>
          <w:szCs w:val="21"/>
        </w:rPr>
      </w:pPr>
      <w:r w:rsidRPr="00E10347">
        <w:rPr>
          <w:rFonts w:ascii="Palatino Linotype" w:hAnsi="Palatino Linotype" w:cs="Times New Roman"/>
          <w:i/>
          <w:sz w:val="21"/>
          <w:szCs w:val="21"/>
        </w:rPr>
        <w:t>3.- El tribunal tiene que llamar la atención sobre consideraciones que por su contenido deben ser consideradas de oficio.”</w:t>
      </w:r>
      <w:r w:rsidRPr="00E10347">
        <w:rPr>
          <w:rStyle w:val="Refdenotaalpie"/>
          <w:rFonts w:ascii="Palatino Linotype" w:hAnsi="Palatino Linotype" w:cs="Times New Roman"/>
          <w:sz w:val="21"/>
          <w:szCs w:val="21"/>
        </w:rPr>
        <w:footnoteReference w:id="510"/>
      </w:r>
      <w:r w:rsidRPr="00E10347">
        <w:rPr>
          <w:rFonts w:ascii="Palatino Linotype" w:hAnsi="Palatino Linotype" w:cs="Times New Roman"/>
          <w:sz w:val="21"/>
          <w:szCs w:val="21"/>
        </w:rPr>
        <w:t xml:space="preserve"> </w:t>
      </w:r>
    </w:p>
    <w:p w:rsidR="00244C82" w:rsidRPr="00E10347" w:rsidRDefault="00244C82" w:rsidP="00E10347">
      <w:pPr>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Cuando la parte en su declaración acepte una deuda u obligación agraria, la misma puede ser cobrada por la vía monitoria.</w:t>
      </w:r>
      <w:r w:rsidRPr="00E10347">
        <w:rPr>
          <w:rStyle w:val="Refdenotaalpie"/>
          <w:rFonts w:ascii="Palatino Linotype" w:hAnsi="Palatino Linotype" w:cs="Times New Roman"/>
          <w:sz w:val="21"/>
          <w:szCs w:val="21"/>
        </w:rPr>
        <w:footnoteReference w:id="511"/>
      </w:r>
    </w:p>
    <w:p w:rsidR="00244C82" w:rsidRPr="00E10347" w:rsidRDefault="00244C82" w:rsidP="00E10347">
      <w:pPr>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La facultad de interrogar a las partes, se deriva también del principio de los amplios poderes del juez en la instrucción probatoria</w:t>
      </w:r>
      <w:r w:rsidRPr="00E10347">
        <w:rPr>
          <w:rStyle w:val="Refdenotaalpie"/>
          <w:rFonts w:ascii="Palatino Linotype" w:hAnsi="Palatino Linotype" w:cs="Times New Roman"/>
          <w:sz w:val="21"/>
          <w:szCs w:val="21"/>
        </w:rPr>
        <w:footnoteReference w:id="512"/>
      </w:r>
      <w:r w:rsidRPr="00E10347">
        <w:rPr>
          <w:rFonts w:ascii="Palatino Linotype" w:hAnsi="Palatino Linotype" w:cs="Times New Roman"/>
          <w:sz w:val="21"/>
          <w:szCs w:val="21"/>
        </w:rPr>
        <w:t xml:space="preserve">. El Juzgador agrario, en el juicio verbal logra un contacto directo e inmediato con las partes, lo cual le facilita su labor en ese sentido. Por eso el Juez debe ir preparado para ordenar y dirigir el interrogatorio. Por eso “Es aconsejable que antes de cualquier interrogatorio, el juez estudie el proceso a fin de que tenga claros los aspectos sobresalientes de éste y pueda no solamente vigilar la pertinencia de las preguntas que le formule  la parte absolvente, sino también poder preparar y formular sus propias preguntas y porque no, estimular al absolvente para que se extienda con más profundidad sobre </w:t>
      </w:r>
      <w:r w:rsidRPr="00E10347">
        <w:rPr>
          <w:rFonts w:ascii="Palatino Linotype" w:hAnsi="Palatino Linotype" w:cs="Times New Roman"/>
          <w:sz w:val="21"/>
          <w:szCs w:val="21"/>
        </w:rPr>
        <w:lastRenderedPageBreak/>
        <w:t>la respuesta que viene dando”.</w:t>
      </w:r>
      <w:r w:rsidRPr="00E10347">
        <w:rPr>
          <w:rStyle w:val="Refdenotaalpie"/>
          <w:rFonts w:ascii="Palatino Linotype" w:hAnsi="Palatino Linotype" w:cs="Times New Roman"/>
          <w:sz w:val="21"/>
          <w:szCs w:val="21"/>
        </w:rPr>
        <w:footnoteReference w:id="513"/>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La declaración informal de las partes  es muy común observarla en las diligencias del reconocimiento judicial que practican los jueces agrarios. A través de las preguntas que realiza el Juez, las partes manifiestan espontáneamente su versión sobre los hechos. En estos casos no se requiere de juramento, pues se trata de un interrogatorio informal con fines aclarativos</w:t>
      </w:r>
      <w:r w:rsidRPr="00E10347">
        <w:rPr>
          <w:rStyle w:val="Refdenotaalpie"/>
          <w:rFonts w:ascii="Palatino Linotype" w:hAnsi="Palatino Linotype" w:cs="Times New Roman"/>
          <w:sz w:val="21"/>
          <w:szCs w:val="21"/>
        </w:rPr>
        <w:footnoteReference w:id="514"/>
      </w:r>
      <w:r w:rsidRPr="00E10347">
        <w:rPr>
          <w:rFonts w:ascii="Palatino Linotype" w:hAnsi="Palatino Linotype" w:cs="Times New Roman"/>
          <w:sz w:val="21"/>
          <w:szCs w:val="21"/>
        </w:rPr>
        <w:t xml:space="preserve"> pero pueden incidir en el resultado probatorio.</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La prueba testimonial es la declaración que una persona extraña al proceso hace ante los órganos de la jurisdicción agraria, sobre la verdad o existencia de un hecho jurídico. Así reza el npCPA:</w:t>
      </w:r>
    </w:p>
    <w:p w:rsidR="00244C82" w:rsidRPr="00E10347" w:rsidRDefault="00244C82" w:rsidP="00E10347">
      <w:pPr>
        <w:pStyle w:val="Pa2"/>
        <w:spacing w:line="240" w:lineRule="auto"/>
        <w:ind w:right="49" w:firstLine="708"/>
        <w:jc w:val="both"/>
        <w:rPr>
          <w:rFonts w:ascii="Palatino Linotype" w:hAnsi="Palatino Linotype" w:cs="Times New Roman"/>
          <w:i/>
          <w:sz w:val="21"/>
          <w:szCs w:val="21"/>
        </w:rPr>
      </w:pPr>
      <w:r w:rsidRPr="00E10347">
        <w:rPr>
          <w:rFonts w:ascii="Palatino Linotype" w:hAnsi="Palatino Linotype" w:cs="Times New Roman"/>
          <w:i/>
          <w:sz w:val="21"/>
          <w:szCs w:val="21"/>
        </w:rPr>
        <w:t>“Será admisible la prueba testimonial para demostrar todo tipo de hechos. Podrá rendirla cualquier persona con conocimientos sobre los hechos controvertidos, que tenga posibilidad de comunicar lo que conoce.</w:t>
      </w:r>
    </w:p>
    <w:p w:rsidR="00244C82" w:rsidRPr="00E10347" w:rsidRDefault="00244C82" w:rsidP="00E10347">
      <w:pPr>
        <w:pStyle w:val="Pa2"/>
        <w:spacing w:line="240" w:lineRule="auto"/>
        <w:ind w:right="49" w:firstLine="708"/>
        <w:jc w:val="both"/>
        <w:rPr>
          <w:rFonts w:ascii="Palatino Linotype" w:hAnsi="Palatino Linotype" w:cs="Times New Roman"/>
          <w:i/>
          <w:sz w:val="21"/>
          <w:szCs w:val="21"/>
        </w:rPr>
      </w:pPr>
      <w:r w:rsidRPr="00E10347">
        <w:rPr>
          <w:rFonts w:ascii="Palatino Linotype" w:hAnsi="Palatino Linotype" w:cs="Times New Roman"/>
          <w:i/>
          <w:sz w:val="21"/>
          <w:szCs w:val="21"/>
        </w:rPr>
        <w:t xml:space="preserve">Las personas menores de edad podrán rendir testimonio cuando, a criterio del tribunal, tengan posibilidad de comunicar lo que conocen y declarar de manera veraz. Para tales efectos, el tribunal se ajustará a lo dispuesto en el Código de la Niñez y la Adolescencia y demás normativa especial. </w:t>
      </w:r>
    </w:p>
    <w:p w:rsidR="00244C82" w:rsidRPr="00E10347" w:rsidRDefault="00244C82" w:rsidP="00E10347">
      <w:pPr>
        <w:ind w:right="49" w:firstLine="708"/>
        <w:jc w:val="both"/>
        <w:rPr>
          <w:rFonts w:ascii="Palatino Linotype" w:hAnsi="Palatino Linotype" w:cs="Times New Roman"/>
          <w:sz w:val="21"/>
          <w:szCs w:val="21"/>
        </w:rPr>
      </w:pPr>
      <w:r w:rsidRPr="00E10347">
        <w:rPr>
          <w:rFonts w:ascii="Palatino Linotype" w:hAnsi="Palatino Linotype" w:cs="Times New Roman"/>
          <w:i/>
          <w:sz w:val="21"/>
          <w:szCs w:val="21"/>
        </w:rPr>
        <w:t>Si quien declara tiene conocimientos científicos, técnicos, profesionales o prácticos, se admitirán las opiniones que, en virtud de sus conocimientos, agreguen a la respuesta.(Art. 133 )</w:t>
      </w:r>
    </w:p>
    <w:p w:rsidR="00244C82" w:rsidRPr="00E10347" w:rsidRDefault="00244C82" w:rsidP="00E10347">
      <w:pPr>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Es decir hechos a los cuales el derecho sustantivo vincula el nacimiento, la modificación o la extinción de una relación jurídica o de una situación jurídicamente relevante.</w:t>
      </w:r>
      <w:r w:rsidRPr="00E10347">
        <w:rPr>
          <w:rStyle w:val="Refdenotaalpie"/>
          <w:rFonts w:ascii="Palatino Linotype" w:hAnsi="Palatino Linotype" w:cs="Times New Roman"/>
          <w:sz w:val="21"/>
          <w:szCs w:val="21"/>
        </w:rPr>
        <w:footnoteReference w:id="515"/>
      </w:r>
    </w:p>
    <w:p w:rsidR="00244C82" w:rsidRPr="00E10347" w:rsidRDefault="00244C82" w:rsidP="00E10347">
      <w:pPr>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El testimonio se ha definido así:  “Es un medio de prueba, que consiste en el relato de un tercero al juez sobre el conocimiento que tenga de hechos en </w:t>
      </w:r>
      <w:r w:rsidRPr="00E10347">
        <w:rPr>
          <w:rFonts w:ascii="Palatino Linotype" w:hAnsi="Palatino Linotype" w:cs="Times New Roman"/>
          <w:sz w:val="21"/>
          <w:szCs w:val="21"/>
        </w:rPr>
        <w:lastRenderedPageBreak/>
        <w:t>general”.</w:t>
      </w:r>
      <w:r w:rsidRPr="00E10347">
        <w:rPr>
          <w:rStyle w:val="Refdenotaalpie"/>
          <w:rFonts w:ascii="Palatino Linotype" w:hAnsi="Palatino Linotype" w:cs="Times New Roman"/>
          <w:sz w:val="21"/>
          <w:szCs w:val="21"/>
        </w:rPr>
        <w:footnoteReference w:id="516"/>
      </w:r>
      <w:r w:rsidRPr="00E10347">
        <w:rPr>
          <w:rFonts w:ascii="Palatino Linotype" w:hAnsi="Palatino Linotype" w:cs="Times New Roman"/>
          <w:sz w:val="21"/>
          <w:szCs w:val="21"/>
        </w:rPr>
        <w:t xml:space="preserve"> </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La persona o tercero que rinde el testimonio debe ser una persona física que tenga capacidad para percibir hechos, acontecimientos.</w:t>
      </w:r>
      <w:r w:rsidRPr="00E10347">
        <w:rPr>
          <w:rStyle w:val="Refdenotaalpie"/>
          <w:rFonts w:ascii="Palatino Linotype" w:hAnsi="Palatino Linotype" w:cs="Times New Roman"/>
          <w:sz w:val="21"/>
          <w:szCs w:val="21"/>
        </w:rPr>
        <w:footnoteReference w:id="517"/>
      </w:r>
      <w:r w:rsidRPr="00E10347">
        <w:rPr>
          <w:rFonts w:ascii="Palatino Linotype" w:hAnsi="Palatino Linotype" w:cs="Times New Roman"/>
          <w:sz w:val="21"/>
          <w:szCs w:val="21"/>
        </w:rPr>
        <w:t xml:space="preserve"> En relación con las personas jurídicas pueden ser llamados a rendir testimonio sus representantes. </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Todas las personas tienen deber de rendir testimonio y comparecer ante el Juzgado agrario competente, cuando han sido citados previamente. El Juez tiene la obligación de ordenar la comparecencia del testigo.</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El deber de rendir testimonio comprende varios aspectos importantes: a) la obligación de comparecer ante el juez que lo ha citado; b) obligación de prestar juramento afirmando que dirá la verdad de lo que sabe</w:t>
      </w:r>
      <w:r w:rsidRPr="00E10347">
        <w:rPr>
          <w:rStyle w:val="Refdenotaalpie"/>
          <w:rFonts w:ascii="Palatino Linotype" w:hAnsi="Palatino Linotype" w:cs="Times New Roman"/>
          <w:sz w:val="21"/>
          <w:szCs w:val="21"/>
        </w:rPr>
        <w:footnoteReference w:id="518"/>
      </w:r>
      <w:r w:rsidRPr="00E10347">
        <w:rPr>
          <w:rFonts w:ascii="Palatino Linotype" w:hAnsi="Palatino Linotype" w:cs="Times New Roman"/>
          <w:sz w:val="21"/>
          <w:szCs w:val="21"/>
        </w:rPr>
        <w:t>; c) debe decir al juez todo lo que sabe, incluso las dudas que pueda tener sobre determinado hecho; d) si tiene documentos que se relacionen con el objeto del litigio debe aportarlos; e) debe trasladarse al lugar al juicio verbal, donde ocurrieron los hechos, a fin de examinarlos en su presencia.</w:t>
      </w:r>
      <w:r w:rsidRPr="00E10347">
        <w:rPr>
          <w:rStyle w:val="Refdenotaalpie"/>
          <w:rFonts w:ascii="Palatino Linotype" w:hAnsi="Palatino Linotype" w:cs="Times New Roman"/>
          <w:sz w:val="21"/>
          <w:szCs w:val="21"/>
        </w:rPr>
        <w:footnoteReference w:id="519"/>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En materia agraria, es muy importante el testigo técnico que posee conocimientos especiales sobre una ciencia o arte, que al narrar hechos se vale de esos conocimientos para explicarlos.</w:t>
      </w:r>
      <w:r w:rsidRPr="00E10347">
        <w:rPr>
          <w:rStyle w:val="Refdenotaalpie"/>
          <w:rFonts w:ascii="Palatino Linotype" w:hAnsi="Palatino Linotype" w:cs="Times New Roman"/>
          <w:sz w:val="21"/>
          <w:szCs w:val="21"/>
        </w:rPr>
        <w:footnoteReference w:id="520"/>
      </w:r>
      <w:r w:rsidRPr="00E10347">
        <w:rPr>
          <w:rFonts w:ascii="Palatino Linotype" w:hAnsi="Palatino Linotype" w:cs="Times New Roman"/>
          <w:sz w:val="21"/>
          <w:szCs w:val="21"/>
        </w:rPr>
        <w:t xml:space="preserve"> La capacitación técnica lo habilita para describir con mayor precisión los hechos de que se trata.</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La testimonial es uno de los medios de prueba más importantes en materia </w:t>
      </w:r>
      <w:r w:rsidRPr="00E10347">
        <w:rPr>
          <w:rFonts w:ascii="Palatino Linotype" w:hAnsi="Palatino Linotype" w:cs="Times New Roman"/>
          <w:sz w:val="21"/>
          <w:szCs w:val="21"/>
        </w:rPr>
        <w:lastRenderedPageBreak/>
        <w:t>agraria, porque generalmente los terceros extraños al proceso son los que han presenciado o tienen algún conocimiento sobre hechos vinculados con el ejercicio de actividades agrarias, con la propiedad o posesión de un predio, con la antigüedad en el ejercicio de actos posesorios, con problemas entre colindantes, respecto de daños producidos a cultivos o actividades de sus vecinos, etcétera.</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Una diferencia importante es la limitación del número de testigos. Pareciera que el CPC es más acertado al establecer la posibilidad de limitar la prueba, ampliando o reduciendo el número, según la trascendencia y necesidad de la misma</w:t>
      </w:r>
      <w:r w:rsidRPr="00E10347">
        <w:rPr>
          <w:rStyle w:val="Refdenotaalpie"/>
          <w:rFonts w:ascii="Palatino Linotype" w:hAnsi="Palatino Linotype" w:cs="Times New Roman"/>
          <w:sz w:val="21"/>
          <w:szCs w:val="21"/>
        </w:rPr>
        <w:footnoteReference w:id="521"/>
      </w:r>
      <w:r w:rsidRPr="00E10347">
        <w:rPr>
          <w:rFonts w:ascii="Palatino Linotype" w:hAnsi="Palatino Linotype" w:cs="Times New Roman"/>
          <w:sz w:val="21"/>
          <w:szCs w:val="21"/>
        </w:rPr>
        <w:t>. Mientras que el npCPA los reduce de una vez a tres personas o a una (si declara sobre temas específicos)</w:t>
      </w:r>
      <w:r w:rsidRPr="00E10347">
        <w:rPr>
          <w:rStyle w:val="Refdenotaalpie"/>
          <w:rFonts w:ascii="Palatino Linotype" w:hAnsi="Palatino Linotype" w:cs="Times New Roman"/>
          <w:sz w:val="21"/>
          <w:szCs w:val="21"/>
        </w:rPr>
        <w:footnoteReference w:id="522"/>
      </w:r>
      <w:r w:rsidRPr="00E10347">
        <w:rPr>
          <w:rFonts w:ascii="Palatino Linotype" w:hAnsi="Palatino Linotype" w:cs="Times New Roman"/>
          <w:sz w:val="21"/>
          <w:szCs w:val="21"/>
        </w:rPr>
        <w:t>, y el CPL los reduce a cuatro y a dos (se se refieren a temas concretos)</w:t>
      </w:r>
      <w:r w:rsidRPr="00E10347">
        <w:rPr>
          <w:rStyle w:val="Refdenotaalpie"/>
          <w:rFonts w:ascii="Palatino Linotype" w:hAnsi="Palatino Linotype" w:cs="Times New Roman"/>
          <w:sz w:val="21"/>
          <w:szCs w:val="21"/>
        </w:rPr>
        <w:footnoteReference w:id="523"/>
      </w:r>
      <w:r w:rsidRPr="00E10347">
        <w:rPr>
          <w:rFonts w:ascii="Palatino Linotype" w:hAnsi="Palatino Linotype" w:cs="Times New Roman"/>
          <w:sz w:val="21"/>
          <w:szCs w:val="21"/>
        </w:rPr>
        <w:t>, el primero deja abierta la posibilidad de ampliar y reducir, en forma justificada, el segundo no. La fórmula abierta del CPC parece la más acertada, dejando mayor margen de discrecionalidad atendiendo a la naturaleza de lo debatido.</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La recepción de la prueba testimonial se realiza en el lugar de los hechos, o bien donde haya sido citados, sin limitaciones en cuanto a competencia territorial (artículo 123 npCPA). Una vez identificados y juramentados, se examinan separadamente de los demás, en presencia de las partes y sus abogados. Primero se interroga al testigo sobre las generales de ley, luego las partes pueden preguntar directamente, bajo la dirección del Juez y éste plantear las aclaraciones o adiciones que considere necesarias (art. 125 npCPA).</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Para la doctrina mayoritaria, la prueba testimonial no puede sustituir el carácter escrito que la ley exige para cierto tipo de actos jurídicos o contratos.</w:t>
      </w:r>
      <w:r w:rsidRPr="00E10347">
        <w:rPr>
          <w:rStyle w:val="Refdenotaalpie"/>
          <w:rFonts w:ascii="Palatino Linotype" w:hAnsi="Palatino Linotype" w:cs="Times New Roman"/>
          <w:sz w:val="21"/>
          <w:szCs w:val="21"/>
        </w:rPr>
        <w:footnoteReference w:id="524"/>
      </w:r>
      <w:r w:rsidRPr="00E10347">
        <w:rPr>
          <w:rFonts w:ascii="Palatino Linotype" w:hAnsi="Palatino Linotype" w:cs="Times New Roman"/>
          <w:sz w:val="21"/>
          <w:szCs w:val="21"/>
        </w:rPr>
        <w:t xml:space="preserve"> Nuestro Código Procesal Civil actual, no admite la prueba testimonial para demostrar la convención o acto jurídico cuyo objeto tenga un valor mayor al diez por ciento de la suma mínima que se haya fijado para la procedencia del recurso de casación.  Exige que toda convención o acto jurídico conste en documento público o privado. Solo es admisible cuando exista un principio de prueba por escrito, o haya sido imposible presentar el documento.</w:t>
      </w:r>
      <w:r w:rsidRPr="00E10347">
        <w:rPr>
          <w:rStyle w:val="Refdenotaalpie"/>
          <w:rFonts w:ascii="Palatino Linotype" w:hAnsi="Palatino Linotype" w:cs="Times New Roman"/>
          <w:sz w:val="21"/>
          <w:szCs w:val="21"/>
        </w:rPr>
        <w:footnoteReference w:id="525"/>
      </w:r>
      <w:r w:rsidRPr="00E10347">
        <w:rPr>
          <w:rFonts w:ascii="Palatino Linotype" w:hAnsi="Palatino Linotype" w:cs="Times New Roman"/>
          <w:sz w:val="21"/>
          <w:szCs w:val="21"/>
        </w:rPr>
        <w:t xml:space="preserve"> Ya dejaba abierta la posibilidad de </w:t>
      </w:r>
      <w:r w:rsidRPr="00E10347">
        <w:rPr>
          <w:rFonts w:ascii="Palatino Linotype" w:hAnsi="Palatino Linotype" w:cs="Times New Roman"/>
          <w:sz w:val="21"/>
          <w:szCs w:val="21"/>
        </w:rPr>
        <w:lastRenderedPageBreak/>
        <w:t>superar ese límite de cuantía, teniendo en cuenta las cualidades de las partes, la naturaleza de la convención y cualquier otra circunstancia. El nCPC da la impresión de superar esos criterios, y no indica tales límites en los criterios de admisibilidad fijados por el legislador, sin embargo dice que es admisible la prueba para todo tipo de “</w:t>
      </w:r>
      <w:r w:rsidRPr="00E10347">
        <w:rPr>
          <w:rFonts w:ascii="Palatino Linotype" w:hAnsi="Palatino Linotype" w:cs="Times New Roman"/>
          <w:b/>
          <w:i/>
          <w:sz w:val="21"/>
          <w:szCs w:val="21"/>
        </w:rPr>
        <w:t>hechos</w:t>
      </w:r>
      <w:r w:rsidRPr="00E10347">
        <w:rPr>
          <w:rFonts w:ascii="Palatino Linotype" w:hAnsi="Palatino Linotype" w:cs="Times New Roman"/>
          <w:sz w:val="21"/>
          <w:szCs w:val="21"/>
        </w:rPr>
        <w:t>”, sin referirse a actos y contratos.</w:t>
      </w:r>
      <w:r w:rsidRPr="00E10347">
        <w:rPr>
          <w:rStyle w:val="Refdenotaalpie"/>
          <w:rFonts w:ascii="Palatino Linotype" w:hAnsi="Palatino Linotype" w:cs="Times New Roman"/>
          <w:sz w:val="21"/>
          <w:szCs w:val="21"/>
        </w:rPr>
        <w:footnoteReference w:id="526"/>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Esas limitaciones al valor de la prueba testimonial para la comprobación de actos  y contratos no ha sido un obstáculo en materia agraria, donde el juez agrario está obligado a buscar la verdad real, a través de los medios de prueba que brinda el ordenamiento jurídico, los cuales puede valorar libremente para formar su convicción. Es bien sabido que en materia agraria, por la costumbre de nuestros campesinos y agricultores, muchos contratos se realizan todavía en forma oral, porque la legislación especial agraria no exige su forma escrita.  Es frecuente encontrar contratos de arrendamiento, de aparcería, de préstamo gratuito de tierras, incluso contratos agroindustriales o de crédito, pactados en forma verbal.</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Esos contratos, podrían tener un principio de prueba por escrito, y en muchos casos la tienen. Pero la cuantía no debe ser un límite para acreditarlos por medio de testigos o de otra prueba idónea. Los jueces agrarios, considerando la naturaleza del conflicto sometido a su conocimiento, las cualidades de las partes, y otras circunstancias propias del medio agrario donde se desenvuelven ese tipo de relaciones, puede considerar la importancia y pertinencia de la testimonial para la acreditación de ciertos actos o contratos que normalmente se rigen por la tradición o la costumbre, y no por las formalidades escritas.</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Por lo demás, los terceros declarantes pueden servir para demostrar hechos puros y simples, alegados por las partes en un conflicto agrario. En relación con actos jurídicos, tampoco es admisible en materia agraria imponer un límite de cuantía.</w:t>
      </w:r>
      <w:r w:rsidRPr="00E10347">
        <w:rPr>
          <w:rStyle w:val="Refdenotaalpie"/>
          <w:rFonts w:ascii="Palatino Linotype" w:hAnsi="Palatino Linotype" w:cs="Times New Roman"/>
          <w:sz w:val="21"/>
          <w:szCs w:val="21"/>
        </w:rPr>
        <w:footnoteReference w:id="527"/>
      </w:r>
      <w:r w:rsidRPr="00E10347">
        <w:rPr>
          <w:rFonts w:ascii="Palatino Linotype" w:hAnsi="Palatino Linotype" w:cs="Times New Roman"/>
          <w:sz w:val="21"/>
          <w:szCs w:val="21"/>
        </w:rPr>
        <w:t xml:space="preserve"> Porque en el campo, todavía es costumbre confiar en la palabra del vecino, honrar las deudas, y muchas veces por ignorancia no se expiden recibos ni facturas, pero sí se realizan actos jurídicos de palabra, en presencia de terceros.</w:t>
      </w:r>
    </w:p>
    <w:p w:rsidR="00DD5619" w:rsidRDefault="00DD5619" w:rsidP="00E10347">
      <w:pPr>
        <w:ind w:right="49"/>
        <w:jc w:val="both"/>
        <w:rPr>
          <w:rFonts w:ascii="Palatino Linotype" w:hAnsi="Palatino Linotype" w:cs="Times New Roman"/>
          <w:b/>
          <w:sz w:val="21"/>
          <w:szCs w:val="21"/>
        </w:rPr>
      </w:pPr>
    </w:p>
    <w:p w:rsidR="00244C82" w:rsidRPr="00E10347" w:rsidRDefault="00244C82" w:rsidP="00E10347">
      <w:pPr>
        <w:ind w:right="49"/>
        <w:jc w:val="both"/>
        <w:rPr>
          <w:rFonts w:ascii="Palatino Linotype" w:hAnsi="Palatino Linotype" w:cs="Times New Roman"/>
          <w:b/>
          <w:sz w:val="21"/>
          <w:szCs w:val="21"/>
        </w:rPr>
      </w:pPr>
      <w:r w:rsidRPr="00E10347">
        <w:rPr>
          <w:rFonts w:ascii="Palatino Linotype" w:hAnsi="Palatino Linotype" w:cs="Times New Roman"/>
          <w:b/>
          <w:sz w:val="21"/>
          <w:szCs w:val="21"/>
        </w:rPr>
        <w:t>4.- La prueba documental y otros medios de prueba.</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Uno de los medios de prueba comúnmente admitidos en todos los ordenamientos procesales, son los documentos.  La Ley de Jurisdicción Agraria </w:t>
      </w:r>
      <w:r w:rsidRPr="00E10347">
        <w:rPr>
          <w:rFonts w:ascii="Palatino Linotype" w:hAnsi="Palatino Linotype" w:cs="Times New Roman"/>
          <w:sz w:val="21"/>
          <w:szCs w:val="21"/>
        </w:rPr>
        <w:lastRenderedPageBreak/>
        <w:t>admite la prueba documental, tanto si es anticipada, como ofrecida por las partes en la demanda y la contestación.</w:t>
      </w:r>
      <w:r w:rsidRPr="00E10347">
        <w:rPr>
          <w:rStyle w:val="Refdenotaalpie"/>
          <w:rFonts w:ascii="Palatino Linotype" w:hAnsi="Palatino Linotype" w:cs="Times New Roman"/>
          <w:sz w:val="21"/>
          <w:szCs w:val="21"/>
        </w:rPr>
        <w:footnoteReference w:id="528"/>
      </w:r>
      <w:r w:rsidRPr="00E10347">
        <w:rPr>
          <w:rFonts w:ascii="Palatino Linotype" w:hAnsi="Palatino Linotype" w:cs="Times New Roman"/>
          <w:sz w:val="21"/>
          <w:szCs w:val="21"/>
        </w:rPr>
        <w:t xml:space="preserve"> El npCPA, contiene regulaciones más concretas al respecto:</w:t>
      </w:r>
    </w:p>
    <w:p w:rsidR="00244C82" w:rsidRPr="00E10347" w:rsidRDefault="00244C82" w:rsidP="00E10347">
      <w:pPr>
        <w:pStyle w:val="Pa2"/>
        <w:spacing w:line="240" w:lineRule="auto"/>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Se considerarán documentos tanto los que consten o se tramiten por medios físicos, como los que contengan datos, informaciones o mensajes, y sean expresados o transmitidos por un medio electrónico, informático, magnético, óptico, telemático, o producidos por nuevas tecnologías.</w:t>
      </w:r>
    </w:p>
    <w:p w:rsidR="00244C82" w:rsidRPr="00E10347" w:rsidRDefault="00244C82" w:rsidP="00E10347">
      <w:pPr>
        <w:pStyle w:val="Pa2"/>
        <w:spacing w:line="240" w:lineRule="auto"/>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Los documentos públicos y privados admitidos tácita o expresamente, se presumen auténticos y válidos, mientras no se pruebe lo contrario. Los recibidos o conservados por medios tecnológicos, y los que los despachos judiciales emitan como copias de originales almacenados por estos medios, conservarán la validez y eficacia del documento. </w:t>
      </w:r>
    </w:p>
    <w:p w:rsidR="00244C82" w:rsidRPr="00E10347" w:rsidRDefault="00244C82" w:rsidP="00E10347">
      <w:pPr>
        <w:pStyle w:val="Pa2"/>
        <w:spacing w:line="240" w:lineRule="auto"/>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Las copias certificadas de los documentos originales tendrán la eficacia probatoria de estos. La misma eficacia se otorgará a las copias simples, cuya autenticidad no haya sido impugnada en su oportunidad.(Artículo 150 NpCPA, artículo 45.1 NCPC).</w:t>
      </w:r>
    </w:p>
    <w:p w:rsidR="00244C82" w:rsidRPr="00E10347" w:rsidRDefault="00244C82" w:rsidP="00E10347">
      <w:pPr>
        <w:pStyle w:val="Pa2"/>
        <w:spacing w:line="240" w:lineRule="auto"/>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Se ordenará a las partes la exhibición de documentos, informes, libros o cualquier otro elemento probatorio de esa naturaleza, si están en su dominio o disposición, se refieran al objeto del proceso, sean prueba común o puedan derivarse datos probatorios para quien lo solicite.</w:t>
      </w:r>
      <w:r w:rsidRPr="00E10347">
        <w:rPr>
          <w:rStyle w:val="Refdenotaalpie"/>
          <w:rFonts w:ascii="Palatino Linotype" w:hAnsi="Palatino Linotype" w:cs="Times New Roman"/>
          <w:sz w:val="21"/>
          <w:szCs w:val="21"/>
        </w:rPr>
        <w:footnoteReference w:id="529"/>
      </w:r>
    </w:p>
    <w:p w:rsidR="00244C82" w:rsidRPr="00E10347" w:rsidRDefault="00244C82" w:rsidP="00E10347">
      <w:pPr>
        <w:pStyle w:val="Pa2"/>
        <w:spacing w:line="240" w:lineRule="auto"/>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 xml:space="preserve">La objeción a los documentos presentados con la demanda y la reconvención, se hará en la contestación o réplica. Los aportados posteriormente, deberán objetarse en la audiencia preparatoria. Será necesario exponer las razones concretas y las pruebas que sirvan de fundamento. </w:t>
      </w:r>
    </w:p>
    <w:p w:rsidR="00244C82" w:rsidRPr="00E10347" w:rsidRDefault="00244C82" w:rsidP="00E10347">
      <w:pPr>
        <w:pStyle w:val="Pa2"/>
        <w:spacing w:line="240" w:lineRule="auto"/>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La oposición por falsedad podrá hacerse en el mismo proceso y los efectos de lo que se resuelva se limitarán a este. Para ese fin, el tribunal, de oficio o a instancia de parte, podrá solicitar colaboración a la oficina respectiva del Organismo de Investigación Judicial.</w:t>
      </w:r>
      <w:r w:rsidRPr="00E10347">
        <w:rPr>
          <w:rStyle w:val="Refdenotaalpie"/>
          <w:rFonts w:ascii="Palatino Linotype" w:hAnsi="Palatino Linotype" w:cs="Times New Roman"/>
          <w:sz w:val="21"/>
          <w:szCs w:val="21"/>
        </w:rPr>
        <w:footnoteReference w:id="530"/>
      </w:r>
      <w:r w:rsidRPr="00E10347">
        <w:rPr>
          <w:rFonts w:ascii="Palatino Linotype" w:hAnsi="Palatino Linotype" w:cs="Times New Roman"/>
          <w:sz w:val="21"/>
          <w:szCs w:val="21"/>
        </w:rPr>
        <w:t xml:space="preserve"> </w:t>
      </w:r>
    </w:p>
    <w:p w:rsidR="00244C82" w:rsidRPr="00E10347" w:rsidRDefault="00244C82" w:rsidP="00E10347">
      <w:pPr>
        <w:pStyle w:val="Pa2"/>
        <w:spacing w:line="240" w:lineRule="auto"/>
        <w:ind w:right="49" w:firstLine="708"/>
        <w:jc w:val="both"/>
        <w:rPr>
          <w:rFonts w:ascii="Palatino Linotype" w:hAnsi="Palatino Linotype" w:cs="Times New Roman"/>
          <w:b/>
          <w:bCs/>
          <w:sz w:val="21"/>
          <w:szCs w:val="21"/>
        </w:rPr>
      </w:pPr>
      <w:r w:rsidRPr="00E10347">
        <w:rPr>
          <w:rFonts w:ascii="Palatino Linotype" w:hAnsi="Palatino Linotype" w:cs="Times New Roman"/>
          <w:sz w:val="21"/>
          <w:szCs w:val="21"/>
        </w:rPr>
        <w:t>Las sentencias emitidas por los tribunales penales, sobre la falsedad de un documento de influencia en el proceso, tendrán valor de cosa juzgada material</w:t>
      </w:r>
      <w:r w:rsidRPr="00E10347">
        <w:rPr>
          <w:rFonts w:ascii="Palatino Linotype" w:hAnsi="Palatino Linotype" w:cs="Times New Roman"/>
          <w:b/>
          <w:bCs/>
          <w:sz w:val="21"/>
          <w:szCs w:val="21"/>
        </w:rPr>
        <w:t>.</w:t>
      </w:r>
      <w:r w:rsidRPr="00E10347">
        <w:rPr>
          <w:rStyle w:val="Refdenotaalpie"/>
          <w:rFonts w:ascii="Palatino Linotype" w:hAnsi="Palatino Linotype" w:cs="Times New Roman"/>
          <w:b/>
          <w:bCs/>
          <w:sz w:val="21"/>
          <w:szCs w:val="21"/>
        </w:rPr>
        <w:footnoteReference w:id="531"/>
      </w:r>
      <w:r w:rsidRPr="00E10347">
        <w:rPr>
          <w:rFonts w:ascii="Palatino Linotype" w:hAnsi="Palatino Linotype" w:cs="Times New Roman"/>
          <w:b/>
          <w:bCs/>
          <w:sz w:val="21"/>
          <w:szCs w:val="21"/>
        </w:rPr>
        <w:t xml:space="preserve"> </w:t>
      </w:r>
    </w:p>
    <w:p w:rsidR="00244C82" w:rsidRPr="00E10347" w:rsidRDefault="00244C82" w:rsidP="00E10347">
      <w:pPr>
        <w:pStyle w:val="Pa2"/>
        <w:spacing w:line="240" w:lineRule="auto"/>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El tribunal de oficio o a petición de parte, podrá solicitar informes a cualquier persona física o jurídica, privada o pública, en relación con actos o documentos de su conocimiento o que estén en su poder, si se relacionan con los hechos o actos de interés para lo debatido. También podrá requerirse la remisión de expedientes, testimonios, documentos, anexos, estudios relacionados con los informes, anotaciones, asientos de libros, archivos o similares. Los informes se considerarán auténticos, cuando sean emitidos por una persona funcionaria pública. </w:t>
      </w:r>
      <w:r w:rsidRPr="00E10347">
        <w:rPr>
          <w:rStyle w:val="Refdenotaalpie"/>
          <w:rFonts w:ascii="Palatino Linotype" w:hAnsi="Palatino Linotype" w:cs="Times New Roman"/>
          <w:sz w:val="21"/>
          <w:szCs w:val="21"/>
        </w:rPr>
        <w:footnoteReference w:id="532"/>
      </w:r>
      <w:r w:rsidRPr="00E10347">
        <w:rPr>
          <w:rFonts w:ascii="Palatino Linotype" w:hAnsi="Palatino Linotype" w:cs="Times New Roman"/>
          <w:sz w:val="21"/>
          <w:szCs w:val="21"/>
        </w:rPr>
        <w:t xml:space="preserve">. </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ab/>
        <w:t>De ahí que resulte de particular importancia, establecer algunas anotaciones sobre el tema, tanto respecto de su naturaleza jurídica, su valor probatorio, y la forma de valorarla en materia agraria.</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Pero las posibilidades probatorias no deben limitarse, sino admitir cualquier otro tipo de prueba que las Leyes procesales admitan, en aras de alcanzar la verdad real, y de contar con los instrumentos y medios de prueba introducidos por los medios científicos y tecnológicos modernos.</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En sentido estricto, el documento se define como toda cosa que sea producto de un acto humano, perceptible con los sentidos de la vista y el tacto, que sirve de prueba histórica indirecta y representativa de un hecho cualquiera. Es declarativo y representativo cuando contiene una declaración de quien lo crea u otorga, o simplemente lo suscribe, como en el caso de los escritos públicos y privados.  Es solo representativo cuando no contiene ninguna declaración como en los planos, cuadros o fotografías.</w:t>
      </w:r>
      <w:r w:rsidRPr="00E10347">
        <w:rPr>
          <w:rStyle w:val="Refdenotaalpie"/>
          <w:rFonts w:ascii="Palatino Linotype" w:hAnsi="Palatino Linotype" w:cs="Times New Roman"/>
          <w:sz w:val="21"/>
          <w:szCs w:val="21"/>
        </w:rPr>
        <w:footnoteReference w:id="533"/>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“El documento es un medio de prueba indirecto, real, objetivo, histórico y representativo, en ocasiones declarativo (pero otras veces solo representativo, como las fotografías, los cuadros y los planos), y que pueden contener una simple declaración de ciencia o un acto de voluntad dispositivo o constitutivo; igualmente, unas veces puede contener una confesión extrajudicial y otras una especie de declaración testifical de terceros; pero es siempre un acto extraprocesal, en sentido estricto…Cuando la ley exige el documento como formalidad ad substantiam actus, además de ser un medio de prueba, es también un requisito material para la existencia o validez del respectivo acto jurídico.</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El documento es prueba indirecta de segundo o más grado cuando pruebe la existencia de otro documento original del acto jurídico por probar (copia del original) o de otra copia (copia de copia), etcétera.”</w:t>
      </w:r>
      <w:r w:rsidRPr="00E10347">
        <w:rPr>
          <w:rStyle w:val="Refdenotaalpie"/>
          <w:rFonts w:ascii="Palatino Linotype" w:hAnsi="Palatino Linotype" w:cs="Times New Roman"/>
          <w:sz w:val="21"/>
          <w:szCs w:val="21"/>
        </w:rPr>
        <w:footnoteReference w:id="534"/>
      </w:r>
    </w:p>
    <w:p w:rsidR="00244C82" w:rsidRPr="00E10347" w:rsidRDefault="00244C82" w:rsidP="00E10347">
      <w:pPr>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Este concepto genérico del documento como medio de prueba, es el admitido por nuestra legislación procesal cuando se indica:  “Son documentos los </w:t>
      </w:r>
      <w:r w:rsidRPr="00E10347">
        <w:rPr>
          <w:rFonts w:ascii="Palatino Linotype" w:hAnsi="Palatino Linotype" w:cs="Times New Roman"/>
          <w:sz w:val="21"/>
          <w:szCs w:val="21"/>
        </w:rPr>
        <w:lastRenderedPageBreak/>
        <w:t>escritos, los impresos, los planos, los dibujos, los cuadros, las fotografías, las fotocopias, las radiografías, las cintas cinematográficas, los discos, las grabaciones magnetofónicas y, en general, todo objeto mueble que tenga un carácter representativo o declarativo.</w:t>
      </w:r>
      <w:r w:rsidRPr="00E10347">
        <w:rPr>
          <w:rStyle w:val="Refdenotaalpie"/>
          <w:rFonts w:ascii="Palatino Linotype" w:hAnsi="Palatino Linotype" w:cs="Times New Roman"/>
          <w:sz w:val="21"/>
          <w:szCs w:val="21"/>
        </w:rPr>
        <w:footnoteReference w:id="535"/>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Los documentos pueden tener carácter probatorio y procesal, cuando después de su formación son aducidos e incorporados a un proceso. Pero desde su otorgamiento cumplen una función extraprocesal de naturaleza sustancial y solemne. No solo sirve para celebrar un negocio o contrato, sino que también se requiere en algunos casos para su existencia y validez de actos jurídicos (ad solemnitatem o ad substantiam).  En estos casos su naturaleza jurídica es mixta, porque son medios de prueba, y a su vez se exigen para la validez de dichos actos.  Pero la mayoría de documentos tienen valor jurídico como medio o instrumento de prueba.</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Cuando un documento se exige para la validez de un acto jurídico, por ejemplo, la escritura pública en la donación, cumple una función de prueba legal pre constituida. </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Los documentos tienen mucha importancia en la vida jurídica. Cuando se celebran contratos o actos jurídicos unilaterales, es muy importante documentarlos como una forma de prevenir litigios. De esa forma se asegura una prueba para un futuro conflicto judicial “…porque el documento es más fiel que la memoria del hombre y más seguro que un conjunto de indicios o testimonios, cuando es completo, claro, exacto y auténtico o hay certeza de su legitimidad”.</w:t>
      </w:r>
      <w:r w:rsidRPr="00E10347">
        <w:rPr>
          <w:rStyle w:val="Refdenotaalpie"/>
          <w:rFonts w:ascii="Palatino Linotype" w:hAnsi="Palatino Linotype" w:cs="Times New Roman"/>
          <w:sz w:val="21"/>
          <w:szCs w:val="21"/>
        </w:rPr>
        <w:footnoteReference w:id="536"/>
      </w:r>
      <w:r w:rsidRPr="00E10347">
        <w:rPr>
          <w:rFonts w:ascii="Palatino Linotype" w:hAnsi="Palatino Linotype" w:cs="Times New Roman"/>
          <w:sz w:val="21"/>
          <w:szCs w:val="21"/>
        </w:rPr>
        <w:t xml:space="preserve"> Lo anterior sin detrimento a la libre valoración que pueda estar facultado el Juez Agrario a hacer de dichos documentos, en conjunto con la restante prueba traída al proceso.</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Mientras que los documentos públicos tienen valor probatorio por sí mismos, sin necesidad de que medie su reconocimiento por parte de quien se oponen, para los documentos privados generalmente se exige acreditar la autenticidad de la firma, mediante reconocimiento –expreso o tácito- de la parte a quien se atribuye. No obstante, los documentos privados no reconocidos pueden valer como indicios de los cuales se pueden extraer presunciones de hombre o judiciales.</w:t>
      </w:r>
      <w:r w:rsidRPr="00E10347">
        <w:rPr>
          <w:rStyle w:val="Refdenotaalpie"/>
          <w:rFonts w:ascii="Palatino Linotype" w:hAnsi="Palatino Linotype" w:cs="Times New Roman"/>
          <w:sz w:val="21"/>
          <w:szCs w:val="21"/>
        </w:rPr>
        <w:footnoteReference w:id="537"/>
      </w:r>
    </w:p>
    <w:p w:rsidR="00244C82" w:rsidRPr="00E10347" w:rsidRDefault="00244C82" w:rsidP="00E10347">
      <w:pPr>
        <w:tabs>
          <w:tab w:val="left" w:pos="-720"/>
        </w:tabs>
        <w:suppressAutoHyphens/>
        <w:ind w:right="49"/>
        <w:jc w:val="both"/>
        <w:rPr>
          <w:rFonts w:ascii="Palatino Linotype" w:hAnsi="Palatino Linotype" w:cs="Times New Roman"/>
          <w:b/>
          <w:spacing w:val="-3"/>
          <w:sz w:val="21"/>
          <w:szCs w:val="21"/>
        </w:rPr>
      </w:pPr>
      <w:r w:rsidRPr="00E10347">
        <w:rPr>
          <w:rFonts w:ascii="Palatino Linotype" w:hAnsi="Palatino Linotype" w:cs="Times New Roman"/>
          <w:b/>
          <w:spacing w:val="-3"/>
          <w:sz w:val="21"/>
          <w:szCs w:val="21"/>
        </w:rPr>
        <w:lastRenderedPageBreak/>
        <w:t>5.- La aportación y valoración de la prueba pericial.</w:t>
      </w:r>
    </w:p>
    <w:p w:rsidR="00244C82" w:rsidRPr="00E10347" w:rsidRDefault="00244C82" w:rsidP="00E10347">
      <w:pPr>
        <w:tabs>
          <w:tab w:val="left" w:pos="-720"/>
        </w:tabs>
        <w:suppressAutoHyphens/>
        <w:ind w:right="49"/>
        <w:jc w:val="both"/>
        <w:rPr>
          <w:rFonts w:ascii="Palatino Linotype" w:hAnsi="Palatino Linotype" w:cs="Times New Roman"/>
          <w:spacing w:val="-3"/>
          <w:sz w:val="21"/>
          <w:szCs w:val="21"/>
        </w:rPr>
      </w:pPr>
      <w:r w:rsidRPr="00E10347">
        <w:rPr>
          <w:rFonts w:ascii="Palatino Linotype" w:hAnsi="Palatino Linotype" w:cs="Times New Roman"/>
          <w:spacing w:val="-3"/>
          <w:sz w:val="21"/>
          <w:szCs w:val="21"/>
        </w:rPr>
        <w:tab/>
        <w:t>A diferencia de la Lja, el npCPA, contiene una sección que regula la prueba pericial. En cuanto a su admisiblidad se dispone en su artículo 142:</w:t>
      </w:r>
    </w:p>
    <w:p w:rsidR="00244C82" w:rsidRPr="00E10347" w:rsidRDefault="00244C82" w:rsidP="00E10347">
      <w:pPr>
        <w:pStyle w:val="Pa2"/>
        <w:spacing w:line="240" w:lineRule="auto"/>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Será admisible la prueba pericial cuando, para apreciar hechos, circunstancias relevantes o adquirir certeza de ellos, sean necesarios conocimientos científicos, técnicos, prácticos, o cualquier otro, ajenos al derecho. </w:t>
      </w:r>
    </w:p>
    <w:p w:rsidR="00244C82" w:rsidRPr="00E10347" w:rsidRDefault="00244C82" w:rsidP="00E10347">
      <w:pPr>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Si se ofrece por más de una parte para igual tema, el nombramiento recaerá en una sola persona experta o un solo equipo. Las partes podrán, de común acuerdo, hacer el nombramiento, siempre que reúna los requisitos de ley.</w:t>
      </w:r>
    </w:p>
    <w:p w:rsidR="00244C82" w:rsidRPr="00E10347" w:rsidRDefault="00244C82" w:rsidP="00E10347">
      <w:pPr>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Si no existen profesionales, o no aceptan el cargo, se podrán nombrar a personas prácticas. También, cuando el dictamen verse sobre aspectos que no exijan título profesional. </w:t>
      </w:r>
    </w:p>
    <w:p w:rsidR="00244C82" w:rsidRPr="00E10347" w:rsidRDefault="00244C82" w:rsidP="00E10347">
      <w:pPr>
        <w:pStyle w:val="Pa2"/>
        <w:spacing w:line="240" w:lineRule="auto"/>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Cuando se admita u ordene que los criterios técnicos los emita una entidad pública, el tribunal remitirá los oficios respectivos. Si no es posible hacerlo por medios tecnológicos, la parte interesada deberá diligenciarlos. </w:t>
      </w:r>
    </w:p>
    <w:p w:rsidR="00244C82" w:rsidRPr="00E10347" w:rsidRDefault="00244C82" w:rsidP="00E10347">
      <w:pPr>
        <w:tabs>
          <w:tab w:val="left" w:pos="-720"/>
        </w:tabs>
        <w:suppressAutoHyphens/>
        <w:ind w:right="49"/>
        <w:jc w:val="both"/>
        <w:rPr>
          <w:rFonts w:ascii="Palatino Linotype" w:hAnsi="Palatino Linotype" w:cs="Times New Roman"/>
          <w:spacing w:val="-3"/>
          <w:sz w:val="21"/>
          <w:szCs w:val="21"/>
        </w:rPr>
      </w:pPr>
      <w:r w:rsidRPr="00E10347">
        <w:rPr>
          <w:rFonts w:ascii="Palatino Linotype" w:hAnsi="Palatino Linotype" w:cs="Times New Roman"/>
          <w:spacing w:val="-3"/>
          <w:sz w:val="21"/>
          <w:szCs w:val="21"/>
        </w:rPr>
        <w:tab/>
        <w:t>La peritación es una actividad desarrollada, en virtud de encargo judicial, por personas distintas de las partes del proceso - especialmente calificadas por sus conocimientos técnicos, artísticos o científicos- mediante la cual se suministra al juez argumentos o razones para la formación de su convencimiento respecto de ciertos hechos cuya percepción o cuyo entendimiento escapa a las aptitudes del común de las gentes.</w:t>
      </w:r>
      <w:r w:rsidRPr="00E10347">
        <w:rPr>
          <w:rStyle w:val="Refdenotaalpie"/>
          <w:rFonts w:ascii="Palatino Linotype" w:hAnsi="Palatino Linotype" w:cs="Times New Roman"/>
          <w:spacing w:val="-3"/>
          <w:sz w:val="21"/>
          <w:szCs w:val="21"/>
        </w:rPr>
        <w:footnoteReference w:id="538"/>
      </w:r>
    </w:p>
    <w:p w:rsidR="00244C82" w:rsidRPr="00E10347" w:rsidRDefault="00244C82" w:rsidP="00E10347">
      <w:pPr>
        <w:tabs>
          <w:tab w:val="left" w:pos="-720"/>
        </w:tabs>
        <w:suppressAutoHyphens/>
        <w:ind w:right="49"/>
        <w:jc w:val="both"/>
        <w:rPr>
          <w:rFonts w:ascii="Palatino Linotype" w:hAnsi="Palatino Linotype" w:cs="Times New Roman"/>
          <w:spacing w:val="-3"/>
          <w:sz w:val="21"/>
          <w:szCs w:val="21"/>
        </w:rPr>
      </w:pPr>
      <w:r w:rsidRPr="00E10347">
        <w:rPr>
          <w:rFonts w:ascii="Palatino Linotype" w:hAnsi="Palatino Linotype" w:cs="Times New Roman"/>
          <w:spacing w:val="-3"/>
          <w:sz w:val="21"/>
          <w:szCs w:val="21"/>
        </w:rPr>
        <w:tab/>
        <w:t>Se trata necesariamente de una actividad humana, mediante la cual se verifican hechos y se determinan sus características y modalidades, sus calidades, sus relaciones con otros hechos, las causas que lo produjeron y sus efectos. Pero la comprobación o explicación de dichos hechos controvertidos, requieren de conocimientos técnicos ajenos al saber jurídico del juez. De ahí la función auxiliar de los peritos.</w:t>
      </w:r>
      <w:r w:rsidRPr="00E10347">
        <w:rPr>
          <w:rStyle w:val="Refdenotaalpie"/>
          <w:rFonts w:ascii="Palatino Linotype" w:hAnsi="Palatino Linotype" w:cs="Times New Roman"/>
          <w:spacing w:val="-3"/>
          <w:sz w:val="21"/>
          <w:szCs w:val="21"/>
        </w:rPr>
        <w:footnoteReference w:id="539"/>
      </w:r>
    </w:p>
    <w:p w:rsidR="00244C82" w:rsidRPr="00E10347" w:rsidRDefault="00244C82" w:rsidP="00DD5619">
      <w:pPr>
        <w:pStyle w:val="Pa2"/>
        <w:spacing w:line="240" w:lineRule="auto"/>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La persona experta se designará de la lista elaborada por el Poder Judicial, tomando en cuenta la naturaleza y el objeto de la experticia. Cuando las circunstancias del caso exijan la realización de diferentes pruebas periciales o de varias profesionales para dictaminar sobre una misma cuestión, podrán las partes </w:t>
      </w:r>
      <w:r w:rsidRPr="00E10347">
        <w:rPr>
          <w:rFonts w:ascii="Palatino Linotype" w:hAnsi="Palatino Linotype" w:cs="Times New Roman"/>
          <w:sz w:val="21"/>
          <w:szCs w:val="21"/>
        </w:rPr>
        <w:lastRenderedPageBreak/>
        <w:t xml:space="preserve">o el tribunal, proponer que se integre un equipo interdisciplinario, con el fin de concentrar las experticias requeridas, o elegir alguno del listado oficial. </w:t>
      </w:r>
    </w:p>
    <w:p w:rsidR="00244C82" w:rsidRPr="00E10347" w:rsidRDefault="00244C82" w:rsidP="00E10347">
      <w:pPr>
        <w:pStyle w:val="Pa2"/>
        <w:spacing w:line="240" w:lineRule="auto"/>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Al hacer el nombramiento, el tribunal indicará con precisión los aspectos sobre los cuales deberá emitirse el dictamen. Para la aceptación se le conferirá un máximo de tres días, una vez que le sea comunicada la designación, por cualquier medio idóneo, de lo cual se dejará constancia. Si no acepta, se hará otro nombramiento. (art. 143 NpCPA).</w:t>
      </w:r>
    </w:p>
    <w:p w:rsidR="00244C82" w:rsidRPr="00E10347" w:rsidRDefault="00244C82" w:rsidP="00E10347">
      <w:pPr>
        <w:pStyle w:val="Textoindependiente"/>
        <w:tabs>
          <w:tab w:val="left" w:pos="-720"/>
        </w:tabs>
        <w:suppressAutoHyphens/>
        <w:spacing w:after="0"/>
        <w:ind w:right="49"/>
        <w:rPr>
          <w:rFonts w:ascii="Palatino Linotype" w:hAnsi="Palatino Linotype"/>
          <w:spacing w:val="-3"/>
          <w:sz w:val="21"/>
          <w:szCs w:val="21"/>
        </w:rPr>
      </w:pPr>
      <w:r w:rsidRPr="00E10347">
        <w:rPr>
          <w:rFonts w:ascii="Palatino Linotype" w:hAnsi="Palatino Linotype"/>
          <w:spacing w:val="-3"/>
          <w:sz w:val="21"/>
          <w:szCs w:val="21"/>
        </w:rPr>
        <w:tab/>
        <w:t>Esta forma de evacuar la prueba pericial, ha tenido en materia agraria un efecto un poco perverso, al igual que lo advertía BEJARANO GUZMÁN, en el sentido de que al permitirse una gran de impugnaciones, aclaraciones, y contraprueba, ha venido en detrimento de una justicia agraria pronta y cumplida.</w:t>
      </w:r>
    </w:p>
    <w:p w:rsidR="00244C82" w:rsidRPr="00E10347" w:rsidRDefault="00244C82" w:rsidP="00E10347">
      <w:pPr>
        <w:pStyle w:val="Textoindependiente"/>
        <w:tabs>
          <w:tab w:val="left" w:pos="-720"/>
        </w:tabs>
        <w:suppressAutoHyphens/>
        <w:spacing w:after="0"/>
        <w:ind w:right="49"/>
        <w:rPr>
          <w:rFonts w:ascii="Palatino Linotype" w:hAnsi="Palatino Linotype"/>
          <w:spacing w:val="-3"/>
          <w:sz w:val="21"/>
          <w:szCs w:val="21"/>
        </w:rPr>
      </w:pPr>
      <w:r w:rsidRPr="00E10347">
        <w:rPr>
          <w:rFonts w:ascii="Palatino Linotype" w:hAnsi="Palatino Linotype"/>
          <w:spacing w:val="-3"/>
          <w:sz w:val="21"/>
          <w:szCs w:val="21"/>
        </w:rPr>
        <w:tab/>
        <w:t xml:space="preserve">El npCPA fija los requisitos que deben contener los peritajes judiciales: </w:t>
      </w:r>
    </w:p>
    <w:p w:rsidR="00244C82" w:rsidRPr="00E10347" w:rsidRDefault="00244C82" w:rsidP="00E10347">
      <w:pPr>
        <w:pStyle w:val="Textoindependiente"/>
        <w:tabs>
          <w:tab w:val="left" w:pos="-720"/>
        </w:tabs>
        <w:suppressAutoHyphens/>
        <w:spacing w:after="0"/>
        <w:ind w:right="49"/>
        <w:rPr>
          <w:rFonts w:ascii="Palatino Linotype" w:hAnsi="Palatino Linotype"/>
          <w:sz w:val="21"/>
          <w:szCs w:val="21"/>
        </w:rPr>
      </w:pPr>
      <w:r w:rsidRPr="00E10347">
        <w:rPr>
          <w:rFonts w:ascii="Palatino Linotype" w:hAnsi="Palatino Linotype"/>
          <w:spacing w:val="-3"/>
          <w:sz w:val="21"/>
          <w:szCs w:val="21"/>
        </w:rPr>
        <w:tab/>
      </w:r>
      <w:r w:rsidRPr="00E10347">
        <w:rPr>
          <w:rFonts w:ascii="Palatino Linotype" w:hAnsi="Palatino Linotype"/>
          <w:sz w:val="21"/>
          <w:szCs w:val="21"/>
        </w:rPr>
        <w:t>La experticia será fundada y contendrá, de manera clara y precisa, una relación detallada de las actividades realizadas, fuentes, parámetros o elementos técnicos y probatorios utilizados y las conclusiones. Se adjuntarán los documentos y anexos respectivos, o se indicará la fuente correspondiente, cuando no sea posible incluirlos. Deberá presentarse por escrito y firmado, al menos tres días antes de la audiencia de juicio, sin perjuicio del informe oral en las audiencias.(art. 146)</w:t>
      </w:r>
    </w:p>
    <w:p w:rsidR="00244C82" w:rsidRPr="00E10347" w:rsidRDefault="00244C82" w:rsidP="00E10347">
      <w:pPr>
        <w:tabs>
          <w:tab w:val="left" w:pos="-720"/>
        </w:tabs>
        <w:suppressAutoHyphens/>
        <w:ind w:right="49"/>
        <w:jc w:val="both"/>
        <w:rPr>
          <w:rFonts w:ascii="Palatino Linotype" w:hAnsi="Palatino Linotype" w:cs="Times New Roman"/>
          <w:spacing w:val="-3"/>
          <w:sz w:val="21"/>
          <w:szCs w:val="21"/>
        </w:rPr>
      </w:pPr>
      <w:r w:rsidRPr="00E10347">
        <w:rPr>
          <w:rFonts w:ascii="Palatino Linotype" w:hAnsi="Palatino Linotype" w:cs="Times New Roman"/>
          <w:spacing w:val="-3"/>
          <w:sz w:val="21"/>
          <w:szCs w:val="21"/>
        </w:rPr>
        <w:tab/>
        <w:t xml:space="preserve">El dictamen debe estar debidamente fundamentado. Sus conclusiones deben ser claras, firmes y consecuencia lógica de sus fundamentos.    Debe rendirse en el momento procesal oportuno garantizando el derecho de defensa de la partes. </w:t>
      </w:r>
    </w:p>
    <w:p w:rsidR="00244C82" w:rsidRPr="00E10347" w:rsidRDefault="00244C82" w:rsidP="00E10347">
      <w:pPr>
        <w:pStyle w:val="Pa2"/>
        <w:spacing w:line="240" w:lineRule="auto"/>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El dictamen pericial será examinado en la audiencia de juicio, primero por la parte proponente, luego por la contraria y finalmente por el tribunal. Las partes podrán contar con el auxilio de personas asesoras técnicas o profesionales. </w:t>
      </w:r>
    </w:p>
    <w:p w:rsidR="00244C82" w:rsidRPr="00E10347" w:rsidRDefault="00244C82" w:rsidP="00E10347">
      <w:pPr>
        <w:pStyle w:val="Pa2"/>
        <w:spacing w:line="240" w:lineRule="auto"/>
        <w:ind w:right="49"/>
        <w:jc w:val="both"/>
        <w:rPr>
          <w:rFonts w:ascii="Palatino Linotype" w:hAnsi="Palatino Linotype" w:cs="Times New Roman"/>
          <w:sz w:val="21"/>
          <w:szCs w:val="21"/>
        </w:rPr>
      </w:pPr>
      <w:r w:rsidRPr="00E10347">
        <w:rPr>
          <w:rFonts w:ascii="Palatino Linotype" w:hAnsi="Palatino Linotype" w:cs="Times New Roman"/>
          <w:sz w:val="21"/>
          <w:szCs w:val="21"/>
        </w:rPr>
        <w:tab/>
        <w:t>Quien rinda el peritaje comparecerá a la audiencia y expondrá brevemente su dictamen. En ese acto, podrán pedírsele las aclaraciones o adiciones necesarias, e incluso, objetarse y cuestionarse el informe, con otros medios probatorios. Deberá dar las explicaciones requeridas y referirse a la prueba invocada en contra de sus conclusiones. (Art. 147 npCPA)</w:t>
      </w:r>
    </w:p>
    <w:p w:rsidR="00244C82" w:rsidRPr="00E10347" w:rsidRDefault="00244C82" w:rsidP="00E10347">
      <w:pPr>
        <w:pStyle w:val="Pa2"/>
        <w:spacing w:line="240" w:lineRule="auto"/>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El tribunal podrá, de oficio o a petición de parte, solicitar dictámenes o informes técnicos de universidades, institutos, colegios profesionales, laboratorios oficiales u otros organismos especializados, públicos o privados, cuando se refieran a aspectos propios de sus funciones, conocimientos o experiencia. En la resolución que lo ordene se indicarán la persona, dependencia u oficina encargada de </w:t>
      </w:r>
      <w:r w:rsidRPr="00E10347">
        <w:rPr>
          <w:rFonts w:ascii="Palatino Linotype" w:hAnsi="Palatino Linotype" w:cs="Times New Roman"/>
          <w:sz w:val="21"/>
          <w:szCs w:val="21"/>
        </w:rPr>
        <w:lastRenderedPageBreak/>
        <w:t>realizarlo y el plazo conferido. Será aplicable lo regulado para la rendición de informes en general. (Art. 148 npCPA)</w:t>
      </w:r>
    </w:p>
    <w:p w:rsidR="00244C82" w:rsidRPr="00E10347" w:rsidRDefault="00244C82" w:rsidP="00E10347">
      <w:pPr>
        <w:tabs>
          <w:tab w:val="left" w:pos="-720"/>
        </w:tabs>
        <w:suppressAutoHyphens/>
        <w:ind w:right="49"/>
        <w:jc w:val="both"/>
        <w:rPr>
          <w:rFonts w:ascii="Palatino Linotype" w:hAnsi="Palatino Linotype" w:cs="Times New Roman"/>
          <w:spacing w:val="-3"/>
          <w:sz w:val="21"/>
          <w:szCs w:val="21"/>
        </w:rPr>
      </w:pPr>
      <w:r w:rsidRPr="00E10347">
        <w:rPr>
          <w:rFonts w:ascii="Palatino Linotype" w:hAnsi="Palatino Linotype" w:cs="Times New Roman"/>
          <w:spacing w:val="-3"/>
          <w:sz w:val="21"/>
          <w:szCs w:val="21"/>
        </w:rPr>
        <w:tab/>
        <w:t xml:space="preserve">Es importante reiterar  la necesidad de que el Poder Judicial debería de contar con un cuerpo técnico de peritos, tales como topógrafos, ingenieros agrónomos,  ingenieros forestales, biólogos, expertos en evaluación de daños ambientales, etcétera, con el fin de que puedan ejercer esta labor auxiliar a los Tribunales Agrarios, y éstos no tengan que estar dependiendo –con la incertidumbre que ello genera- de que los peritos privados acepte o no el cargo.  </w:t>
      </w:r>
    </w:p>
    <w:p w:rsidR="00244C82" w:rsidRPr="00E10347" w:rsidRDefault="00244C82" w:rsidP="00E10347">
      <w:pPr>
        <w:tabs>
          <w:tab w:val="left" w:pos="-720"/>
        </w:tabs>
        <w:suppressAutoHyphens/>
        <w:ind w:right="49"/>
        <w:jc w:val="both"/>
        <w:rPr>
          <w:rFonts w:ascii="Palatino Linotype" w:hAnsi="Palatino Linotype" w:cs="Times New Roman"/>
          <w:spacing w:val="-3"/>
          <w:sz w:val="21"/>
          <w:szCs w:val="21"/>
        </w:rPr>
      </w:pPr>
      <w:r w:rsidRPr="00E10347">
        <w:rPr>
          <w:rFonts w:ascii="Palatino Linotype" w:hAnsi="Palatino Linotype" w:cs="Times New Roman"/>
          <w:spacing w:val="-3"/>
          <w:sz w:val="21"/>
          <w:szCs w:val="21"/>
        </w:rPr>
        <w:tab/>
        <w:t xml:space="preserve">Tratándose de procesos ordinarios agrarios, los dictámenes periciales pueden ser de la más diversa índole.  En los procesos reivindicatorios o posesorios, por ejemplo, usualmente se requiere demostrar la "identidad del bien o fundo" reclamado por el actor y poseído por el demandado, debiendo determinarse los traslapes, hacer levantamientos topográficos, determinar edades de cercas y cultivos, etcétera.  Normalmente en este tipo de procesos, se busca la restitución del inmueble, con resarcimiento en daños y perjuicios, por lo que también se requiere la cuantificación de esos daños y perjuicios, ya sea durante el proceso, o en la etapa de ejecución de la sentencia si la condenatoria es en abstracto.   </w:t>
      </w:r>
    </w:p>
    <w:p w:rsidR="00244C82" w:rsidRPr="00E10347" w:rsidRDefault="00244C82" w:rsidP="00E10347">
      <w:pPr>
        <w:tabs>
          <w:tab w:val="left" w:pos="-720"/>
        </w:tabs>
        <w:suppressAutoHyphens/>
        <w:ind w:right="49"/>
        <w:jc w:val="both"/>
        <w:rPr>
          <w:rFonts w:ascii="Palatino Linotype" w:hAnsi="Palatino Linotype" w:cs="Times New Roman"/>
          <w:spacing w:val="-3"/>
          <w:sz w:val="21"/>
          <w:szCs w:val="21"/>
        </w:rPr>
      </w:pPr>
      <w:r w:rsidRPr="00E10347">
        <w:rPr>
          <w:rFonts w:ascii="Palatino Linotype" w:hAnsi="Palatino Linotype" w:cs="Times New Roman"/>
          <w:spacing w:val="-3"/>
          <w:sz w:val="21"/>
          <w:szCs w:val="21"/>
        </w:rPr>
        <w:tab/>
        <w:t>También en muchos procesos, se establece el deber de pagar mejoras, sean necesarias, útiles o de puro adorno. Para determinar su valor el Juzgador Agrario también acude a dictamen pericial.</w:t>
      </w:r>
    </w:p>
    <w:p w:rsidR="00244C82" w:rsidRPr="00E10347" w:rsidRDefault="00244C82" w:rsidP="00E10347">
      <w:pPr>
        <w:tabs>
          <w:tab w:val="left" w:pos="-720"/>
        </w:tabs>
        <w:suppressAutoHyphens/>
        <w:ind w:right="49"/>
        <w:jc w:val="both"/>
        <w:rPr>
          <w:rFonts w:ascii="Palatino Linotype" w:hAnsi="Palatino Linotype" w:cs="Times New Roman"/>
          <w:spacing w:val="-3"/>
          <w:sz w:val="21"/>
          <w:szCs w:val="21"/>
        </w:rPr>
      </w:pPr>
      <w:r w:rsidRPr="00E10347">
        <w:rPr>
          <w:rFonts w:ascii="Palatino Linotype" w:hAnsi="Palatino Linotype" w:cs="Times New Roman"/>
          <w:spacing w:val="-3"/>
          <w:sz w:val="21"/>
          <w:szCs w:val="21"/>
        </w:rPr>
        <w:tab/>
        <w:t>De igual forma,  en procesos ordinarios agrarios que versan sobre contratos, en muchos casos se requiere cuantificar los daños y perjuicios derivados del incumplimiento contractual.</w:t>
      </w:r>
    </w:p>
    <w:p w:rsidR="00244C82" w:rsidRPr="00E10347" w:rsidRDefault="00244C82" w:rsidP="00E10347">
      <w:pPr>
        <w:tabs>
          <w:tab w:val="left" w:pos="-720"/>
        </w:tabs>
        <w:suppressAutoHyphens/>
        <w:ind w:right="49"/>
        <w:jc w:val="both"/>
        <w:rPr>
          <w:rFonts w:ascii="Palatino Linotype" w:hAnsi="Palatino Linotype" w:cs="Times New Roman"/>
          <w:spacing w:val="-3"/>
          <w:sz w:val="21"/>
          <w:szCs w:val="21"/>
        </w:rPr>
      </w:pPr>
      <w:r w:rsidRPr="00E10347">
        <w:rPr>
          <w:rFonts w:ascii="Palatino Linotype" w:hAnsi="Palatino Linotype" w:cs="Times New Roman"/>
          <w:spacing w:val="-3"/>
          <w:sz w:val="21"/>
          <w:szCs w:val="21"/>
        </w:rPr>
        <w:tab/>
        <w:t>En  otros procesos, también se requiere muchas veces de dictamen pericial o avalúos.</w:t>
      </w:r>
    </w:p>
    <w:p w:rsidR="00244C82" w:rsidRPr="00E10347" w:rsidRDefault="00244C82" w:rsidP="00E10347">
      <w:pPr>
        <w:tabs>
          <w:tab w:val="left" w:pos="-720"/>
        </w:tabs>
        <w:suppressAutoHyphens/>
        <w:ind w:right="49"/>
        <w:jc w:val="both"/>
        <w:rPr>
          <w:rFonts w:ascii="Palatino Linotype" w:hAnsi="Palatino Linotype" w:cs="Times New Roman"/>
          <w:spacing w:val="-3"/>
          <w:sz w:val="21"/>
          <w:szCs w:val="21"/>
        </w:rPr>
      </w:pPr>
      <w:r w:rsidRPr="00E10347">
        <w:rPr>
          <w:rFonts w:ascii="Palatino Linotype" w:hAnsi="Palatino Linotype" w:cs="Times New Roman"/>
          <w:spacing w:val="-3"/>
          <w:sz w:val="21"/>
          <w:szCs w:val="21"/>
        </w:rPr>
        <w:t xml:space="preserve">     </w:t>
      </w:r>
      <w:r w:rsidRPr="00E10347">
        <w:rPr>
          <w:rFonts w:ascii="Palatino Linotype" w:hAnsi="Palatino Linotype" w:cs="Times New Roman"/>
          <w:spacing w:val="-3"/>
          <w:sz w:val="21"/>
          <w:szCs w:val="21"/>
        </w:rPr>
        <w:tab/>
        <w:t>En todos los casos, cuando se llama al perito y las reglas no están claras, debe el experto solicitarle al Juez le indique, concretamente, sobre que debe de versar el peritaje y cuales son los supuestos que deben de tomarse en cuenta para rendir su dictamen.</w:t>
      </w:r>
    </w:p>
    <w:p w:rsidR="00244C82" w:rsidRPr="00E10347" w:rsidRDefault="00244C82" w:rsidP="00E10347">
      <w:pPr>
        <w:tabs>
          <w:tab w:val="left" w:pos="-720"/>
        </w:tabs>
        <w:suppressAutoHyphens/>
        <w:ind w:right="49"/>
        <w:jc w:val="both"/>
        <w:rPr>
          <w:rFonts w:ascii="Palatino Linotype" w:hAnsi="Palatino Linotype" w:cs="Times New Roman"/>
          <w:spacing w:val="-3"/>
          <w:sz w:val="21"/>
          <w:szCs w:val="21"/>
        </w:rPr>
      </w:pPr>
      <w:r w:rsidRPr="00E10347">
        <w:rPr>
          <w:rFonts w:ascii="Palatino Linotype" w:hAnsi="Palatino Linotype" w:cs="Times New Roman"/>
          <w:spacing w:val="-3"/>
          <w:sz w:val="21"/>
          <w:szCs w:val="21"/>
        </w:rPr>
        <w:tab/>
        <w:t xml:space="preserve">En materia agraria, los dictámenes periciales, versan sobre una muy diversa cantidad de tópicos, desde cuestiones puramente topográficas, hasta cuestiones relativas con cultivo de plantas y actividad de cría de animales. Los problemas más comunes se dan en relación con daños e incumplimiento de contratos agrarios. </w:t>
      </w:r>
    </w:p>
    <w:p w:rsidR="00244C82" w:rsidRPr="00E10347" w:rsidRDefault="00244C82" w:rsidP="00E10347">
      <w:pPr>
        <w:tabs>
          <w:tab w:val="left" w:pos="-720"/>
        </w:tabs>
        <w:suppressAutoHyphens/>
        <w:ind w:right="49"/>
        <w:jc w:val="both"/>
        <w:rPr>
          <w:rFonts w:ascii="Palatino Linotype" w:hAnsi="Palatino Linotype" w:cs="Times New Roman"/>
          <w:spacing w:val="-3"/>
          <w:sz w:val="21"/>
          <w:szCs w:val="21"/>
        </w:rPr>
      </w:pPr>
      <w:r w:rsidRPr="00E10347">
        <w:rPr>
          <w:rFonts w:ascii="Palatino Linotype" w:hAnsi="Palatino Linotype" w:cs="Times New Roman"/>
          <w:spacing w:val="-3"/>
          <w:sz w:val="21"/>
          <w:szCs w:val="21"/>
        </w:rPr>
        <w:tab/>
        <w:t xml:space="preserve">Sea en uno u otro caso, generalmente lo que hay que determinar  son los daños. Cuando éste se produce sobre un cultivo, debe de determinarse, tratándose de </w:t>
      </w:r>
      <w:r w:rsidRPr="00E10347">
        <w:rPr>
          <w:rFonts w:ascii="Palatino Linotype" w:hAnsi="Palatino Linotype" w:cs="Times New Roman"/>
          <w:spacing w:val="-3"/>
          <w:sz w:val="21"/>
          <w:szCs w:val="21"/>
        </w:rPr>
        <w:lastRenderedPageBreak/>
        <w:t xml:space="preserve">cultivos anuales, la edad en que se produjo el daño, estado del cultivo en ese momento, asistencia dada al mismo, si se utilizaron las técnicas adecuadas.  Tomando en cuenta esos aspectos, que cantidad de fruto hubiera producido y su calidad. Además debe considerarse si en la zona hubo desastres naturales como inundaciones o sequías que pudieran haber influido en la cantidad y calidad del fruto que hubiera producido la plantación.  </w:t>
      </w:r>
    </w:p>
    <w:p w:rsidR="00244C82" w:rsidRPr="00E10347" w:rsidRDefault="00244C82" w:rsidP="00E10347">
      <w:pPr>
        <w:tabs>
          <w:tab w:val="left" w:pos="-720"/>
        </w:tabs>
        <w:suppressAutoHyphens/>
        <w:ind w:right="49"/>
        <w:jc w:val="both"/>
        <w:rPr>
          <w:rFonts w:ascii="Palatino Linotype" w:hAnsi="Palatino Linotype" w:cs="Times New Roman"/>
          <w:spacing w:val="-3"/>
          <w:sz w:val="21"/>
          <w:szCs w:val="21"/>
        </w:rPr>
      </w:pPr>
      <w:r w:rsidRPr="00E10347">
        <w:rPr>
          <w:rFonts w:ascii="Palatino Linotype" w:hAnsi="Palatino Linotype" w:cs="Times New Roman"/>
          <w:spacing w:val="-3"/>
          <w:sz w:val="21"/>
          <w:szCs w:val="21"/>
        </w:rPr>
        <w:tab/>
        <w:t>Debe expresarse el valor de los frutos en el mercado puesto en el centro de acopio; debe de indicarse los costos de producción totales y los que incurrió el ofendido hasta el momento de producirse el daño.</w:t>
      </w:r>
    </w:p>
    <w:p w:rsidR="00244C82" w:rsidRPr="00E10347" w:rsidRDefault="00244C82" w:rsidP="00E10347">
      <w:pPr>
        <w:pStyle w:val="Pa2"/>
        <w:spacing w:line="240" w:lineRule="auto"/>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Para la certificación de estados financieros o la realización de inventario de bienes, determinación del estado económico, rendición de cuentas, informes contables o de cualquier otro tipo, el tribunal podrá nombrar profesionales en ciencias contables o con la especialidad requerida. El tribunal podrá ordenar cualquier otra prueba o requerir la información necesaria. </w:t>
      </w:r>
    </w:p>
    <w:p w:rsidR="00244C82" w:rsidRPr="00E10347" w:rsidRDefault="00244C82" w:rsidP="00E10347">
      <w:pPr>
        <w:tabs>
          <w:tab w:val="left" w:pos="-720"/>
        </w:tabs>
        <w:suppressAutoHyphens/>
        <w:ind w:right="49"/>
        <w:jc w:val="both"/>
        <w:rPr>
          <w:rFonts w:ascii="Palatino Linotype" w:hAnsi="Palatino Linotype" w:cs="Times New Roman"/>
          <w:sz w:val="21"/>
          <w:szCs w:val="21"/>
        </w:rPr>
      </w:pPr>
      <w:r w:rsidRPr="00E10347">
        <w:rPr>
          <w:rFonts w:ascii="Palatino Linotype" w:hAnsi="Palatino Linotype" w:cs="Times New Roman"/>
          <w:sz w:val="21"/>
          <w:szCs w:val="21"/>
        </w:rPr>
        <w:tab/>
        <w:t>Las personas socias, copropietarias, asociadas o que posean algún tipo de participación respecto de personas jurídicas de las cuales sean parte, podrán gestionarlo aún de manera anticipada, debiendo demostrar su condición en la solicitud. Si se trata de sociedades comerciales, quienes lo soliciten deberán representar al menos el diez por ciento del capital. En los demás casos, han de ser titulares de cuotas en la misma proporción. (Art. 149 npCA)</w:t>
      </w:r>
    </w:p>
    <w:p w:rsidR="00244C82" w:rsidRPr="00E10347" w:rsidRDefault="00244C82" w:rsidP="00E10347">
      <w:pPr>
        <w:tabs>
          <w:tab w:val="left" w:pos="-720"/>
        </w:tabs>
        <w:suppressAutoHyphens/>
        <w:ind w:right="49"/>
        <w:jc w:val="both"/>
        <w:rPr>
          <w:rFonts w:ascii="Palatino Linotype" w:hAnsi="Palatino Linotype" w:cs="Times New Roman"/>
          <w:sz w:val="21"/>
          <w:szCs w:val="21"/>
        </w:rPr>
      </w:pPr>
      <w:r w:rsidRPr="00E10347">
        <w:rPr>
          <w:rFonts w:ascii="Palatino Linotype" w:hAnsi="Palatino Linotype" w:cs="Times New Roman"/>
          <w:b/>
          <w:sz w:val="21"/>
          <w:szCs w:val="21"/>
        </w:rPr>
        <w:tab/>
      </w:r>
      <w:r w:rsidRPr="00E10347">
        <w:rPr>
          <w:rFonts w:ascii="Palatino Linotype" w:hAnsi="Palatino Linotype" w:cs="Times New Roman"/>
          <w:sz w:val="21"/>
          <w:szCs w:val="21"/>
        </w:rPr>
        <w:t>De todo lo anterior, también se pone en evidencia la necesidad de reconocer la importancia actual de los peritajes privados y su reconocimiento y debate en juicio, no solamente por la trascendencia, sino también por los costos que ello implica, máxime si rinden mejor garantía en cuanto a la cientificidad y objetividad de los métodos empleados. Porque no  necesariamente los peritos judiciales rinden esas garantías (a veces son hasta incomprensibles, o se arrogan el papel del juzgador!).</w:t>
      </w:r>
    </w:p>
    <w:p w:rsidR="00244C82" w:rsidRPr="00E10347" w:rsidRDefault="00244C82" w:rsidP="00E10347">
      <w:pPr>
        <w:tabs>
          <w:tab w:val="left" w:pos="-720"/>
        </w:tabs>
        <w:suppressAutoHyphens/>
        <w:ind w:right="49"/>
        <w:jc w:val="both"/>
        <w:rPr>
          <w:rFonts w:ascii="Palatino Linotype" w:hAnsi="Palatino Linotype" w:cs="Times New Roman"/>
          <w:sz w:val="21"/>
          <w:szCs w:val="21"/>
        </w:rPr>
      </w:pPr>
      <w:r w:rsidRPr="00E10347">
        <w:rPr>
          <w:rFonts w:ascii="Palatino Linotype" w:hAnsi="Palatino Linotype" w:cs="Times New Roman"/>
          <w:sz w:val="21"/>
          <w:szCs w:val="21"/>
        </w:rPr>
        <w:tab/>
        <w:t>La doctrina latinoamericana, también aboga por una reforma del Código Procesal modelo un poco más abierta en este sentido.</w:t>
      </w:r>
      <w:r w:rsidRPr="00E10347">
        <w:rPr>
          <w:rStyle w:val="Refdenotaalpie"/>
          <w:rFonts w:ascii="Palatino Linotype" w:hAnsi="Palatino Linotype" w:cs="Times New Roman"/>
          <w:sz w:val="21"/>
          <w:szCs w:val="21"/>
        </w:rPr>
        <w:footnoteReference w:id="540"/>
      </w:r>
      <w:r w:rsidRPr="00E10347">
        <w:rPr>
          <w:rFonts w:ascii="Palatino Linotype" w:hAnsi="Palatino Linotype" w:cs="Times New Roman"/>
          <w:sz w:val="21"/>
          <w:szCs w:val="21"/>
        </w:rPr>
        <w:t xml:space="preserve"> Un ejemplo de esa apertura, </w:t>
      </w:r>
      <w:r w:rsidRPr="00E10347">
        <w:rPr>
          <w:rFonts w:ascii="Palatino Linotype" w:hAnsi="Palatino Linotype" w:cs="Times New Roman"/>
          <w:sz w:val="21"/>
          <w:szCs w:val="21"/>
        </w:rPr>
        <w:lastRenderedPageBreak/>
        <w:t>incluso se observa en algunos estudios que se exigen anticipadamente a las partes, por ejemplo en materia de uso conforme de suelos, emitidos por peritos privados debidamente certificados del Instituto Nacional de Transferencia y Tecnología Agropecuaria (INTA), del Ministerio de Agricultura y Ganadería, o bien los estudios de asertación o verificación que realiza el Servicio Nacional de Salud Animal, a través de Veterinarios que tienen la facultad de certificar fincas para el otorgamiento del Certificado de Operación Veterinaria.</w:t>
      </w:r>
    </w:p>
    <w:p w:rsidR="00DD5619" w:rsidRDefault="00DD5619" w:rsidP="00E10347">
      <w:pPr>
        <w:ind w:right="49"/>
        <w:jc w:val="both"/>
        <w:rPr>
          <w:rFonts w:ascii="Palatino Linotype" w:hAnsi="Palatino Linotype" w:cs="Times New Roman"/>
          <w:b/>
          <w:sz w:val="21"/>
          <w:szCs w:val="21"/>
        </w:rPr>
      </w:pPr>
    </w:p>
    <w:p w:rsidR="00244C82" w:rsidRPr="00E10347" w:rsidRDefault="00244C82" w:rsidP="00E10347">
      <w:pPr>
        <w:ind w:right="49"/>
        <w:jc w:val="both"/>
        <w:rPr>
          <w:rFonts w:ascii="Palatino Linotype" w:hAnsi="Palatino Linotype" w:cs="Times New Roman"/>
          <w:b/>
          <w:sz w:val="21"/>
          <w:szCs w:val="21"/>
        </w:rPr>
      </w:pPr>
      <w:r w:rsidRPr="00E10347">
        <w:rPr>
          <w:rFonts w:ascii="Palatino Linotype" w:hAnsi="Palatino Linotype" w:cs="Times New Roman"/>
          <w:b/>
          <w:sz w:val="21"/>
          <w:szCs w:val="21"/>
        </w:rPr>
        <w:t>6- La relevancia del reconocimiento judicial en el (nuevo) proceso agrario.</w:t>
      </w:r>
      <w:r w:rsidRPr="00E10347">
        <w:rPr>
          <w:rStyle w:val="Refdenotaalpie"/>
          <w:rFonts w:ascii="Palatino Linotype" w:hAnsi="Palatino Linotype" w:cs="Times New Roman"/>
          <w:b/>
          <w:sz w:val="21"/>
          <w:szCs w:val="21"/>
        </w:rPr>
        <w:footnoteReference w:id="541"/>
      </w:r>
    </w:p>
    <w:p w:rsidR="00244C82" w:rsidRPr="00E10347" w:rsidRDefault="00244C82" w:rsidP="00E10347">
      <w:pPr>
        <w:tabs>
          <w:tab w:val="left" w:pos="-720"/>
        </w:tabs>
        <w:suppressAutoHyphens/>
        <w:ind w:right="49"/>
        <w:jc w:val="both"/>
        <w:rPr>
          <w:rFonts w:ascii="Palatino Linotype" w:hAnsi="Palatino Linotype" w:cs="Times New Roman"/>
          <w:b/>
          <w:spacing w:val="-3"/>
          <w:sz w:val="21"/>
          <w:szCs w:val="21"/>
        </w:rPr>
      </w:pPr>
      <w:r w:rsidRPr="00E10347">
        <w:rPr>
          <w:rFonts w:ascii="Palatino Linotype" w:hAnsi="Palatino Linotype" w:cs="Times New Roman"/>
          <w:spacing w:val="-3"/>
          <w:sz w:val="21"/>
          <w:szCs w:val="21"/>
        </w:rPr>
        <w:tab/>
        <w:t>Nuestra Ley de Jurisdicción agraria contempla como medio de prueba la denominada inspección ocular, la cual se pude solicitar como medida anticipada al proceso agrario, o bien, como un mecanismo de prueba normal, en la demanda o en la contestación.  En todo caso, el Juez Agrario está obligado a realizarla al momento del juicio verbal.</w:t>
      </w:r>
      <w:r w:rsidRPr="00E10347">
        <w:rPr>
          <w:rStyle w:val="Refdenotaalpie"/>
          <w:rFonts w:ascii="Palatino Linotype" w:hAnsi="Palatino Linotype" w:cs="Times New Roman"/>
          <w:spacing w:val="-3"/>
          <w:sz w:val="21"/>
          <w:szCs w:val="21"/>
        </w:rPr>
        <w:footnoteReference w:id="542"/>
      </w:r>
    </w:p>
    <w:p w:rsidR="00244C82" w:rsidRPr="00E10347" w:rsidRDefault="00244C82" w:rsidP="00E10347">
      <w:pPr>
        <w:tabs>
          <w:tab w:val="left" w:pos="-720"/>
        </w:tabs>
        <w:suppressAutoHyphens/>
        <w:ind w:right="49"/>
        <w:jc w:val="both"/>
        <w:rPr>
          <w:rFonts w:ascii="Palatino Linotype" w:hAnsi="Palatino Linotype" w:cs="Times New Roman"/>
          <w:spacing w:val="-3"/>
          <w:sz w:val="21"/>
          <w:szCs w:val="21"/>
        </w:rPr>
      </w:pPr>
      <w:r w:rsidRPr="00E10347">
        <w:rPr>
          <w:rFonts w:ascii="Palatino Linotype" w:hAnsi="Palatino Linotype" w:cs="Times New Roman"/>
          <w:spacing w:val="-3"/>
          <w:sz w:val="21"/>
          <w:szCs w:val="21"/>
        </w:rPr>
        <w:tab/>
        <w:t>La diligencia procesal, practicada por un funcionario judicial, con el objeto de obtener argumentos de prueba para la formación de su convicción, mediante el examen y la observación con sus propios sentidos, de hechos ocurridos durante la diligencia o antes, pero que subsisten o de rastros de huellas o hechos pasados, en ocasiones de su reconstrucción,  se le denomina reconocimiento judicial.</w:t>
      </w:r>
      <w:r w:rsidRPr="00E10347">
        <w:rPr>
          <w:rStyle w:val="Refdenotaalpie"/>
          <w:rFonts w:ascii="Palatino Linotype" w:hAnsi="Palatino Linotype" w:cs="Times New Roman"/>
          <w:spacing w:val="-3"/>
          <w:sz w:val="21"/>
          <w:szCs w:val="21"/>
        </w:rPr>
        <w:footnoteReference w:id="543"/>
      </w:r>
    </w:p>
    <w:p w:rsidR="00244C82" w:rsidRPr="00E10347" w:rsidRDefault="00244C82" w:rsidP="00E10347">
      <w:pPr>
        <w:pStyle w:val="Pa2"/>
        <w:spacing w:line="240" w:lineRule="auto"/>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El reconocimiento judicial será admisible para el esclarecimiento y apreciación de hechos, cuando sea necesario o conveniente que el tribunal examine algún lugar, objeto o persona o verifique alguna situación o circunstancia. Cuando </w:t>
      </w:r>
      <w:r w:rsidRPr="00E10347">
        <w:rPr>
          <w:rFonts w:ascii="Palatino Linotype" w:hAnsi="Palatino Linotype" w:cs="Times New Roman"/>
          <w:sz w:val="21"/>
          <w:szCs w:val="21"/>
        </w:rPr>
        <w:lastRenderedPageBreak/>
        <w:t xml:space="preserve">se realice a solicitud de parte, esta indicará los aspectos por constatar. La contraria podrá proponer otros. </w:t>
      </w:r>
    </w:p>
    <w:p w:rsidR="00244C82" w:rsidRPr="00E10347" w:rsidRDefault="00244C82" w:rsidP="00E10347">
      <w:pPr>
        <w:pStyle w:val="Pa2"/>
        <w:spacing w:line="240" w:lineRule="auto"/>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Las partes y personas abogadas podrán concurrir al reconocimiento judicial y formular las observaciones que consideren pertinentes. Con las salvedades de ley, podrán tomar fotografías, hacer grabaciones de video, audio u otros semejantes para dejar constancia. </w:t>
      </w:r>
    </w:p>
    <w:p w:rsidR="00244C82" w:rsidRPr="00E10347" w:rsidRDefault="00244C82" w:rsidP="00E10347">
      <w:pPr>
        <w:pStyle w:val="Pa2"/>
        <w:spacing w:line="240" w:lineRule="auto"/>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De oficio o por solicitud fundada de parte, se autorizará la concurrencia de personas asesoras técnicas de la partes, previa acreditación de sus atestados profesionales y de testigas admitidas. Si es necesario, estas últimas serán examinadas durante el reconocimiento. </w:t>
      </w:r>
      <w:r w:rsidRPr="00E10347">
        <w:rPr>
          <w:rStyle w:val="Refdenotaalpie"/>
          <w:rFonts w:ascii="Palatino Linotype" w:hAnsi="Palatino Linotype" w:cs="Times New Roman"/>
          <w:sz w:val="21"/>
          <w:szCs w:val="21"/>
        </w:rPr>
        <w:footnoteReference w:id="544"/>
      </w:r>
    </w:p>
    <w:p w:rsidR="00244C82" w:rsidRPr="00E10347" w:rsidRDefault="00244C82" w:rsidP="00E10347">
      <w:pPr>
        <w:pStyle w:val="Pa2"/>
        <w:spacing w:line="240" w:lineRule="auto"/>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Las partes deberán prestar la colaboración necesaria para la efectiva práctica del reconocimiento. De impedirse el ingreso, se podrá ordenar el ingreso forzoso cuando el bien sea de una tercera persona, o el acceso forzoso si es de las partes. Se podrá auxiliar con la Fuerza Pública.</w:t>
      </w:r>
      <w:r w:rsidRPr="00E10347">
        <w:rPr>
          <w:rStyle w:val="Refdenotaalpie"/>
          <w:rFonts w:ascii="Palatino Linotype" w:hAnsi="Palatino Linotype" w:cs="Times New Roman"/>
          <w:sz w:val="21"/>
          <w:szCs w:val="21"/>
        </w:rPr>
        <w:footnoteReference w:id="545"/>
      </w:r>
      <w:r w:rsidRPr="00E10347">
        <w:rPr>
          <w:rFonts w:ascii="Palatino Linotype" w:hAnsi="Palatino Linotype" w:cs="Times New Roman"/>
          <w:sz w:val="21"/>
          <w:szCs w:val="21"/>
        </w:rPr>
        <w:t xml:space="preserve"> </w:t>
      </w:r>
    </w:p>
    <w:p w:rsidR="00244C82" w:rsidRPr="00E10347" w:rsidRDefault="00244C82" w:rsidP="00E10347">
      <w:pPr>
        <w:pStyle w:val="Pa2"/>
        <w:spacing w:line="240" w:lineRule="auto"/>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El reconocimiento judicial se documentará, utilizando medios de grabación de audio y video. El tribunal podrá confeccionar un croquis. Si se registra en video, sin audio, se consignarán los aspectos relevantes en un acta.  Cuando no sea posible usar estos medios, se consignará en un acta, la cual se redactará al finalizar del reconocimiento.</w:t>
      </w:r>
      <w:r w:rsidRPr="00E10347">
        <w:rPr>
          <w:rStyle w:val="Refdenotaalpie"/>
          <w:rFonts w:ascii="Palatino Linotype" w:hAnsi="Palatino Linotype" w:cs="Times New Roman"/>
          <w:sz w:val="21"/>
          <w:szCs w:val="21"/>
        </w:rPr>
        <w:footnoteReference w:id="546"/>
      </w:r>
      <w:r w:rsidRPr="00E10347">
        <w:rPr>
          <w:rFonts w:ascii="Palatino Linotype" w:hAnsi="Palatino Linotype" w:cs="Times New Roman"/>
          <w:sz w:val="21"/>
          <w:szCs w:val="21"/>
        </w:rPr>
        <w:t xml:space="preserve"> </w:t>
      </w:r>
    </w:p>
    <w:p w:rsidR="00244C82" w:rsidRPr="00E10347" w:rsidRDefault="00244C82" w:rsidP="00E10347">
      <w:pPr>
        <w:tabs>
          <w:tab w:val="left" w:pos="-720"/>
        </w:tabs>
        <w:suppressAutoHyphens/>
        <w:ind w:right="49"/>
        <w:jc w:val="both"/>
        <w:rPr>
          <w:rFonts w:ascii="Palatino Linotype" w:hAnsi="Palatino Linotype" w:cs="Times New Roman"/>
          <w:spacing w:val="-3"/>
          <w:sz w:val="21"/>
          <w:szCs w:val="21"/>
        </w:rPr>
      </w:pPr>
      <w:r w:rsidRPr="00E10347">
        <w:rPr>
          <w:rFonts w:ascii="Palatino Linotype" w:hAnsi="Palatino Linotype" w:cs="Times New Roman"/>
          <w:spacing w:val="-3"/>
          <w:sz w:val="21"/>
          <w:szCs w:val="21"/>
        </w:rPr>
        <w:tab/>
        <w:t xml:space="preserve">El reconocimiento o inspección judicial también se ha definido como: </w:t>
      </w:r>
    </w:p>
    <w:p w:rsidR="00244C82" w:rsidRPr="00E10347" w:rsidRDefault="00244C82" w:rsidP="00E10347">
      <w:pPr>
        <w:tabs>
          <w:tab w:val="left" w:pos="-720"/>
        </w:tabs>
        <w:suppressAutoHyphens/>
        <w:ind w:right="49"/>
        <w:jc w:val="both"/>
        <w:rPr>
          <w:rFonts w:ascii="Palatino Linotype" w:hAnsi="Palatino Linotype" w:cs="Times New Roman"/>
          <w:spacing w:val="-3"/>
          <w:sz w:val="21"/>
          <w:szCs w:val="21"/>
        </w:rPr>
      </w:pPr>
      <w:r w:rsidRPr="00E10347">
        <w:rPr>
          <w:rFonts w:ascii="Palatino Linotype" w:hAnsi="Palatino Linotype" w:cs="Times New Roman"/>
          <w:spacing w:val="-3"/>
          <w:sz w:val="21"/>
          <w:szCs w:val="21"/>
        </w:rPr>
        <w:tab/>
        <w:t xml:space="preserve"> “la diligencia consistente en la observación directa y personal que un funcionario jurisdiccional competente realiza sobre personas, cosas, documentos o lugares, con el fin de verificar o esclarecer hechos que son materia de un proceso. </w:t>
      </w:r>
    </w:p>
    <w:p w:rsidR="00244C82" w:rsidRPr="00E10347" w:rsidRDefault="00244C82" w:rsidP="00E10347">
      <w:pPr>
        <w:tabs>
          <w:tab w:val="left" w:pos="-720"/>
        </w:tabs>
        <w:suppressAutoHyphens/>
        <w:ind w:right="49"/>
        <w:jc w:val="both"/>
        <w:rPr>
          <w:rFonts w:ascii="Palatino Linotype" w:hAnsi="Palatino Linotype" w:cs="Times New Roman"/>
          <w:spacing w:val="-3"/>
          <w:sz w:val="21"/>
          <w:szCs w:val="21"/>
        </w:rPr>
      </w:pPr>
      <w:r w:rsidRPr="00E10347">
        <w:rPr>
          <w:rFonts w:ascii="Palatino Linotype" w:hAnsi="Palatino Linotype" w:cs="Times New Roman"/>
          <w:spacing w:val="-3"/>
          <w:sz w:val="21"/>
          <w:szCs w:val="21"/>
        </w:rPr>
        <w:tab/>
        <w:t>Los hechos a los cuales se refiere la inspección judicial solo pueden serlo los presentes y los pasados. Es decir, se refiere a hechos que pueden estar ocurriendo en el momento en que se practica la diligencia, o a hechos que han ocurrido cuando ella se realiza.</w:t>
      </w:r>
    </w:p>
    <w:p w:rsidR="00244C82" w:rsidRPr="00E10347" w:rsidRDefault="00244C82" w:rsidP="00E10347">
      <w:pPr>
        <w:tabs>
          <w:tab w:val="left" w:pos="-720"/>
        </w:tabs>
        <w:suppressAutoHyphens/>
        <w:ind w:right="49"/>
        <w:jc w:val="both"/>
        <w:rPr>
          <w:rFonts w:ascii="Palatino Linotype" w:hAnsi="Palatino Linotype" w:cs="Times New Roman"/>
          <w:spacing w:val="-3"/>
          <w:sz w:val="21"/>
          <w:szCs w:val="21"/>
        </w:rPr>
      </w:pPr>
      <w:r w:rsidRPr="00E10347">
        <w:rPr>
          <w:rFonts w:ascii="Palatino Linotype" w:hAnsi="Palatino Linotype" w:cs="Times New Roman"/>
          <w:spacing w:val="-3"/>
          <w:sz w:val="21"/>
          <w:szCs w:val="21"/>
        </w:rPr>
        <w:tab/>
        <w:t xml:space="preserve">Una inspección judicial que se practique en un predio o fundo rural, por ejemplo, puede tener por objeto constatar la existencia en él de cultivos, su clase y extensión, antigüedad de las plantaciones, etc.; si existen casas de habitación, cercas, pastos, ganados, obras de adecuación de tierras, etc., y quién las ha realizado, el </w:t>
      </w:r>
      <w:r w:rsidRPr="00E10347">
        <w:rPr>
          <w:rFonts w:ascii="Palatino Linotype" w:hAnsi="Palatino Linotype" w:cs="Times New Roman"/>
          <w:spacing w:val="-3"/>
          <w:sz w:val="21"/>
          <w:szCs w:val="21"/>
        </w:rPr>
        <w:lastRenderedPageBreak/>
        <w:t>tiempo de ocupación del predio o de la parte objeto del litigio; en otras palabras, si existe o no posesión.”</w:t>
      </w:r>
      <w:r w:rsidRPr="00E10347">
        <w:rPr>
          <w:rStyle w:val="Refdenotaalpie"/>
          <w:rFonts w:ascii="Palatino Linotype" w:hAnsi="Palatino Linotype" w:cs="Times New Roman"/>
          <w:spacing w:val="-3"/>
          <w:sz w:val="21"/>
          <w:szCs w:val="21"/>
        </w:rPr>
        <w:footnoteReference w:id="547"/>
      </w:r>
    </w:p>
    <w:p w:rsidR="00244C82" w:rsidRPr="00E10347" w:rsidRDefault="00244C82" w:rsidP="00E10347">
      <w:pPr>
        <w:pStyle w:val="Textoindependiente"/>
        <w:spacing w:after="0"/>
        <w:ind w:right="49"/>
        <w:rPr>
          <w:rFonts w:ascii="Palatino Linotype" w:hAnsi="Palatino Linotype"/>
          <w:sz w:val="21"/>
          <w:szCs w:val="21"/>
        </w:rPr>
      </w:pPr>
      <w:r w:rsidRPr="00E10347">
        <w:rPr>
          <w:rFonts w:ascii="Palatino Linotype" w:hAnsi="Palatino Linotype"/>
          <w:sz w:val="21"/>
          <w:szCs w:val="21"/>
        </w:rPr>
        <w:tab/>
        <w:t>El reconocimiento judicial o inspección ocular es uno de los actos jurídicos de mayor trascendencia e importancia dentro del proceso agrario. Constituye una prueba esencial básica en la mayoría de procesos ordinarios agrarios.</w:t>
      </w:r>
      <w:r w:rsidRPr="00E10347">
        <w:rPr>
          <w:rFonts w:ascii="Palatino Linotype" w:hAnsi="Palatino Linotype"/>
          <w:spacing w:val="-3"/>
          <w:sz w:val="21"/>
          <w:szCs w:val="21"/>
        </w:rPr>
        <w:t>Esta diligencia es sumamente importante sobre todo en materia agraria, pues se trata de constatar gran cantidad de situaciones que permiten establecer posteriormente el ejercicio de la posesión agraria, o bien, en estado de abandono de un inmueble, la alteración de linderos o cercas, la destrucción de cultivos, etcétera</w:t>
      </w:r>
    </w:p>
    <w:p w:rsidR="00244C82" w:rsidRPr="00E10347" w:rsidRDefault="00244C82" w:rsidP="00E10347">
      <w:pPr>
        <w:tabs>
          <w:tab w:val="left" w:pos="-720"/>
          <w:tab w:val="left" w:pos="709"/>
        </w:tabs>
        <w:suppressAutoHyphens/>
        <w:ind w:right="49"/>
        <w:jc w:val="both"/>
        <w:rPr>
          <w:rFonts w:ascii="Palatino Linotype" w:hAnsi="Palatino Linotype" w:cs="Times New Roman"/>
          <w:spacing w:val="-3"/>
          <w:sz w:val="21"/>
          <w:szCs w:val="21"/>
        </w:rPr>
      </w:pPr>
      <w:r w:rsidRPr="00E10347">
        <w:rPr>
          <w:rFonts w:ascii="Palatino Linotype" w:hAnsi="Palatino Linotype" w:cs="Times New Roman"/>
          <w:spacing w:val="-3"/>
          <w:sz w:val="21"/>
          <w:szCs w:val="21"/>
        </w:rPr>
        <w:tab/>
        <w:t>El fin del reconocimiento, cuyo carácter probatorio es indiscutible, es que el Juez agrario con o sin auxilio de peritos, se presente al lugar, personalmente, para observar y constatar en forma directa donde se han producido los hechos o circunstancias objeto de  la litis, o el reconocimiento de un fundo o bien agrario litigioso o controvertido, o su situación actual, recabando la información suficiente que le permita descubrir la verdad real a fin de emitir un fallo justo.</w:t>
      </w:r>
      <w:r w:rsidRPr="00E10347">
        <w:rPr>
          <w:rStyle w:val="Refdenotaalpie"/>
          <w:rFonts w:ascii="Palatino Linotype" w:hAnsi="Palatino Linotype" w:cs="Times New Roman"/>
          <w:spacing w:val="-3"/>
          <w:sz w:val="21"/>
          <w:szCs w:val="21"/>
        </w:rPr>
        <w:footnoteReference w:id="548"/>
      </w:r>
    </w:p>
    <w:p w:rsidR="00244C82" w:rsidRPr="00E10347" w:rsidRDefault="00244C82" w:rsidP="00E10347">
      <w:pPr>
        <w:tabs>
          <w:tab w:val="left" w:pos="-720"/>
          <w:tab w:val="left" w:pos="709"/>
        </w:tabs>
        <w:suppressAutoHyphens/>
        <w:ind w:right="49"/>
        <w:jc w:val="both"/>
        <w:rPr>
          <w:rFonts w:ascii="Palatino Linotype" w:hAnsi="Palatino Linotype" w:cs="Times New Roman"/>
          <w:spacing w:val="-3"/>
          <w:sz w:val="21"/>
          <w:szCs w:val="21"/>
        </w:rPr>
      </w:pPr>
      <w:r w:rsidRPr="00E10347">
        <w:rPr>
          <w:rFonts w:ascii="Palatino Linotype" w:hAnsi="Palatino Linotype" w:cs="Times New Roman"/>
          <w:spacing w:val="-3"/>
          <w:sz w:val="21"/>
          <w:szCs w:val="21"/>
        </w:rPr>
        <w:tab/>
        <w:t>Los principios del derecho procesal agrario informan las características generales del reconocimiento  judicial.</w:t>
      </w:r>
      <w:r w:rsidRPr="00E10347">
        <w:rPr>
          <w:rStyle w:val="Refdenotaalpie"/>
          <w:rFonts w:ascii="Palatino Linotype" w:hAnsi="Palatino Linotype" w:cs="Times New Roman"/>
          <w:spacing w:val="-3"/>
          <w:sz w:val="21"/>
          <w:szCs w:val="21"/>
        </w:rPr>
        <w:footnoteReference w:id="549"/>
      </w:r>
      <w:r w:rsidRPr="00E10347">
        <w:rPr>
          <w:rFonts w:ascii="Palatino Linotype" w:hAnsi="Palatino Linotype" w:cs="Times New Roman"/>
          <w:spacing w:val="-3"/>
          <w:sz w:val="21"/>
          <w:szCs w:val="21"/>
        </w:rPr>
        <w:t xml:space="preserve"> </w:t>
      </w:r>
    </w:p>
    <w:p w:rsidR="00244C82" w:rsidRPr="00E10347" w:rsidRDefault="00244C82" w:rsidP="00E10347">
      <w:pPr>
        <w:tabs>
          <w:tab w:val="left" w:pos="-720"/>
          <w:tab w:val="left" w:pos="709"/>
        </w:tabs>
        <w:suppressAutoHyphens/>
        <w:ind w:right="49"/>
        <w:jc w:val="both"/>
        <w:rPr>
          <w:rFonts w:ascii="Palatino Linotype" w:hAnsi="Palatino Linotype" w:cs="Times New Roman"/>
          <w:spacing w:val="-3"/>
          <w:sz w:val="21"/>
          <w:szCs w:val="21"/>
        </w:rPr>
      </w:pPr>
      <w:r w:rsidRPr="00E10347">
        <w:rPr>
          <w:rFonts w:ascii="Palatino Linotype" w:hAnsi="Palatino Linotype" w:cs="Times New Roman"/>
          <w:spacing w:val="-3"/>
          <w:sz w:val="21"/>
          <w:szCs w:val="21"/>
        </w:rPr>
        <w:tab/>
        <w:t>“La Inspección Ocular en el proceso agrario es en sí, un libro abierto y viviente que le permite al Juez leer con suma claridad la verdad real que surja de la constatación de los hechos objetivos y evidentes, formándose por sí mismo, un criterio de verdad indiscutible que le permita emitir un fallo justo en plena concordancia con la realidad”.</w:t>
      </w:r>
      <w:r w:rsidRPr="00E10347">
        <w:rPr>
          <w:rStyle w:val="Refdenotaalpie"/>
          <w:rFonts w:ascii="Palatino Linotype" w:hAnsi="Palatino Linotype" w:cs="Times New Roman"/>
          <w:spacing w:val="-3"/>
          <w:sz w:val="21"/>
          <w:szCs w:val="21"/>
        </w:rPr>
        <w:footnoteReference w:id="550"/>
      </w:r>
    </w:p>
    <w:p w:rsidR="00244C82" w:rsidRPr="00E10347" w:rsidRDefault="00244C82" w:rsidP="00E10347">
      <w:pPr>
        <w:tabs>
          <w:tab w:val="left" w:pos="-720"/>
          <w:tab w:val="left" w:pos="709"/>
        </w:tabs>
        <w:suppressAutoHyphens/>
        <w:ind w:right="49"/>
        <w:jc w:val="both"/>
        <w:rPr>
          <w:rFonts w:ascii="Palatino Linotype" w:hAnsi="Palatino Linotype" w:cs="Times New Roman"/>
          <w:spacing w:val="-3"/>
          <w:sz w:val="21"/>
          <w:szCs w:val="21"/>
        </w:rPr>
      </w:pPr>
      <w:r w:rsidRPr="00E10347">
        <w:rPr>
          <w:rFonts w:ascii="Palatino Linotype" w:hAnsi="Palatino Linotype" w:cs="Times New Roman"/>
          <w:spacing w:val="-3"/>
          <w:sz w:val="21"/>
          <w:szCs w:val="21"/>
        </w:rPr>
        <w:tab/>
        <w:t>El reconocimiento puede solicitarse para el examen de personas, lugares o cosas. Por ello debe indicarse en la solicitud cuál es el propósito de la inspección, y que es lo que se pretende constatar. En otros términos “... si se tienen en cuenta que la inspección judicial solo puede tener por objeto verificar o esclarecer hechos determinantes dentro del proceso, en la solicitud que en tal sentido se haga al juez por la parte interesada, debe determinarse con absoluta claridad y precisión los puntos o hechos sobre los cuales debe versar.”</w:t>
      </w:r>
      <w:r w:rsidRPr="00E10347">
        <w:rPr>
          <w:rStyle w:val="Refdenotaalpie"/>
          <w:rFonts w:ascii="Palatino Linotype" w:hAnsi="Palatino Linotype" w:cs="Times New Roman"/>
          <w:spacing w:val="-3"/>
          <w:sz w:val="21"/>
          <w:szCs w:val="21"/>
        </w:rPr>
        <w:footnoteReference w:id="551"/>
      </w:r>
    </w:p>
    <w:p w:rsidR="00244C82" w:rsidRPr="00E10347" w:rsidRDefault="00244C82" w:rsidP="00E10347">
      <w:pPr>
        <w:tabs>
          <w:tab w:val="left" w:pos="-720"/>
          <w:tab w:val="left" w:pos="709"/>
        </w:tabs>
        <w:suppressAutoHyphens/>
        <w:ind w:right="49"/>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ab/>
        <w:t>Esto es muy importante para delimitar el objeto de la diligencia. Muchas veces las partes o sus abogados desconocen cuál es el fin del reconocimiento judicial, o el mismo juez no sabe qué es lo que pretenden acreditar las partes, y se realizan diligencias sobre aspectos que no interesas en nada para resolver la controversia, pues puede tratarse de un aspecto muy concreto. Para cada tipo de conflicto agrario se requiere establecer hacia dónde debe dirigirse el reconocimiento judicial:  constatar daños a un cultivo, establecer si ha existido alteración de límites, cercas o mojones, determinar si se trata de un fundo enclavado, verificar el estado o antigüedad de una cerca, etcétera.</w:t>
      </w:r>
    </w:p>
    <w:p w:rsidR="00244C82" w:rsidRPr="00E10347" w:rsidRDefault="00244C82" w:rsidP="00E10347">
      <w:pPr>
        <w:tabs>
          <w:tab w:val="left" w:pos="-720"/>
          <w:tab w:val="left" w:pos="709"/>
        </w:tabs>
        <w:suppressAutoHyphens/>
        <w:ind w:right="49"/>
        <w:jc w:val="both"/>
        <w:rPr>
          <w:rFonts w:ascii="Palatino Linotype" w:hAnsi="Palatino Linotype" w:cs="Times New Roman"/>
          <w:sz w:val="21"/>
          <w:szCs w:val="21"/>
        </w:rPr>
      </w:pPr>
      <w:r w:rsidRPr="00E10347">
        <w:rPr>
          <w:rFonts w:ascii="Palatino Linotype" w:hAnsi="Palatino Linotype" w:cs="Times New Roman"/>
          <w:sz w:val="21"/>
          <w:szCs w:val="21"/>
        </w:rPr>
        <w:tab/>
        <w:t>Por regla general, la diligencia debe ser realizada en el lugar de los hechos, para garantizar la inmediatez y la concentración, en la hora y fecha que el juez señala para  su práctica, sea en el juicio verbal, o previo al juicio. Se prefiere concentrar toda la prueba en una sola audiencia.  Debe realizarse con las partes que concurran y, preferiblemente, con los peritos nombrados al efecto.  Si la parte que ofrece la prueba no comparece, ello no obsta para que el Juez Agrario la practique de oficio.</w:t>
      </w:r>
    </w:p>
    <w:p w:rsidR="00244C82" w:rsidRPr="00E10347" w:rsidRDefault="00244C82" w:rsidP="00E10347">
      <w:pPr>
        <w:ind w:right="49" w:firstLine="705"/>
        <w:jc w:val="both"/>
        <w:rPr>
          <w:rFonts w:ascii="Palatino Linotype" w:hAnsi="Palatino Linotype" w:cs="Times New Roman"/>
          <w:sz w:val="21"/>
          <w:szCs w:val="21"/>
        </w:rPr>
      </w:pPr>
      <w:r w:rsidRPr="00E10347">
        <w:rPr>
          <w:rFonts w:ascii="Palatino Linotype" w:hAnsi="Palatino Linotype" w:cs="Times New Roman"/>
          <w:sz w:val="21"/>
          <w:szCs w:val="21"/>
        </w:rPr>
        <w:t>La diligencia del reconocimiento judicial debe iniciarse en el propio lugar de los hechos, y se practica con las partes que concurran, en compañía de los peritos si se ha ordenado su intervención.</w:t>
      </w:r>
    </w:p>
    <w:p w:rsidR="00244C82" w:rsidRPr="00E10347" w:rsidRDefault="00244C82" w:rsidP="00E10347">
      <w:pPr>
        <w:ind w:right="49" w:firstLine="705"/>
        <w:jc w:val="both"/>
        <w:rPr>
          <w:rFonts w:ascii="Palatino Linotype" w:hAnsi="Palatino Linotype" w:cs="Times New Roman"/>
          <w:sz w:val="21"/>
          <w:szCs w:val="21"/>
        </w:rPr>
      </w:pPr>
      <w:r w:rsidRPr="00E10347">
        <w:rPr>
          <w:rFonts w:ascii="Palatino Linotype" w:hAnsi="Palatino Linotype" w:cs="Times New Roman"/>
          <w:sz w:val="21"/>
          <w:szCs w:val="21"/>
        </w:rPr>
        <w:t>El Juzgador agrario debe proceder al examen y reconocimiento del hecho o hechos de que se trate. También debe practicar cualquier otra clase de estudio de campo que requiera la intervención o participación de los peritos, a fin de que pueda aprovechar el asesoramiento del perito, y constatar que el peritaje se haga de la mejor manera. Puede dirigir tanto él como las partes, preguntas al perito.</w:t>
      </w:r>
    </w:p>
    <w:p w:rsidR="00244C82" w:rsidRPr="00E10347" w:rsidRDefault="00244C82" w:rsidP="00E10347">
      <w:pPr>
        <w:ind w:right="49" w:firstLine="705"/>
        <w:jc w:val="both"/>
        <w:rPr>
          <w:rFonts w:ascii="Palatino Linotype" w:hAnsi="Palatino Linotype" w:cs="Times New Roman"/>
          <w:sz w:val="21"/>
          <w:szCs w:val="21"/>
        </w:rPr>
      </w:pPr>
      <w:r w:rsidRPr="00E10347">
        <w:rPr>
          <w:rFonts w:ascii="Palatino Linotype" w:hAnsi="Palatino Linotype" w:cs="Times New Roman"/>
          <w:sz w:val="21"/>
          <w:szCs w:val="21"/>
        </w:rPr>
        <w:t>El Juez puede admitir, en ese mismo acto, documentos o declaraciones  informales de las partes, referidas a los hechos que se pretenden constatar con la diligencia.</w:t>
      </w:r>
    </w:p>
    <w:p w:rsidR="00244C82" w:rsidRPr="00E10347" w:rsidRDefault="00244C82" w:rsidP="00E10347">
      <w:pPr>
        <w:ind w:right="49" w:firstLine="705"/>
        <w:jc w:val="both"/>
        <w:rPr>
          <w:rFonts w:ascii="Palatino Linotype" w:hAnsi="Palatino Linotype" w:cs="Times New Roman"/>
          <w:sz w:val="21"/>
          <w:szCs w:val="21"/>
        </w:rPr>
      </w:pPr>
      <w:r w:rsidRPr="00E10347">
        <w:rPr>
          <w:rFonts w:ascii="Palatino Linotype" w:hAnsi="Palatino Linotype" w:cs="Times New Roman"/>
          <w:sz w:val="21"/>
          <w:szCs w:val="21"/>
        </w:rPr>
        <w:t>De igual forma,  puede el juez ordenar el levantamiento de planos, calcos, reproducciones, experimentos, grabaciones mecánicas, copias fotográficas, cinematográficas o de cualquier otra índole, si se dispone de los medios para ello.</w:t>
      </w:r>
      <w:r w:rsidRPr="00E10347">
        <w:rPr>
          <w:rStyle w:val="Refdenotaalpie"/>
          <w:rFonts w:ascii="Palatino Linotype" w:hAnsi="Palatino Linotype" w:cs="Times New Roman"/>
          <w:sz w:val="21"/>
          <w:szCs w:val="21"/>
        </w:rPr>
        <w:footnoteReference w:id="552"/>
      </w:r>
      <w:r w:rsidRPr="00E10347">
        <w:rPr>
          <w:rFonts w:ascii="Palatino Linotype" w:hAnsi="Palatino Linotype" w:cs="Times New Roman"/>
          <w:sz w:val="21"/>
          <w:szCs w:val="21"/>
        </w:rPr>
        <w:t xml:space="preserve"> En estas diligencias, las pruebas fotográficas y los videos son sumamente importantes, sobre todo cuando se pretenden constatar daños a cultivos o al medio ambiente.</w:t>
      </w:r>
    </w:p>
    <w:p w:rsidR="00244C82" w:rsidRPr="00E10347" w:rsidRDefault="00244C82" w:rsidP="00E10347">
      <w:pPr>
        <w:tabs>
          <w:tab w:val="left" w:pos="-720"/>
        </w:tabs>
        <w:suppressAutoHyphens/>
        <w:ind w:right="49"/>
        <w:jc w:val="both"/>
        <w:rPr>
          <w:rFonts w:ascii="Palatino Linotype" w:hAnsi="Palatino Linotype" w:cs="Times New Roman"/>
          <w:spacing w:val="-3"/>
          <w:sz w:val="21"/>
          <w:szCs w:val="21"/>
        </w:rPr>
      </w:pPr>
      <w:r w:rsidRPr="00E10347">
        <w:rPr>
          <w:rFonts w:ascii="Palatino Linotype" w:hAnsi="Palatino Linotype" w:cs="Times New Roman"/>
          <w:sz w:val="21"/>
          <w:szCs w:val="21"/>
        </w:rPr>
        <w:lastRenderedPageBreak/>
        <w:tab/>
        <w:t>Para la realización del reconocimiento de personas, se tomarán las medidas necesarias a fin de respetar su dignidad, seguridad y el respeto de los derechos de la personalidad. Con esa finalidad, se les permitirá la compañía de alguna persona de su confianza, e incluso se podrá ordenar que se practique en el sitio donde se encuentre quien deba ser reconocido.</w:t>
      </w:r>
      <w:r w:rsidRPr="00E10347">
        <w:rPr>
          <w:rStyle w:val="Refdenotaalpie"/>
          <w:rFonts w:ascii="Palatino Linotype" w:hAnsi="Palatino Linotype" w:cs="Times New Roman"/>
          <w:sz w:val="21"/>
          <w:szCs w:val="21"/>
        </w:rPr>
        <w:footnoteReference w:id="553"/>
      </w:r>
    </w:p>
    <w:p w:rsidR="00244C82" w:rsidRPr="00E10347" w:rsidRDefault="00244C82" w:rsidP="00E10347">
      <w:pPr>
        <w:ind w:right="49" w:firstLine="705"/>
        <w:jc w:val="both"/>
        <w:rPr>
          <w:rFonts w:ascii="Palatino Linotype" w:hAnsi="Palatino Linotype" w:cs="Times New Roman"/>
          <w:sz w:val="21"/>
          <w:szCs w:val="21"/>
        </w:rPr>
      </w:pPr>
      <w:r w:rsidRPr="00E10347">
        <w:rPr>
          <w:rFonts w:ascii="Palatino Linotype" w:hAnsi="Palatino Linotype" w:cs="Times New Roman"/>
          <w:sz w:val="21"/>
          <w:szCs w:val="21"/>
        </w:rPr>
        <w:t>Concluida la diligencia, se redacta y firma el acta respectiva, indicando las personas, cosas o hechos examinados, el resultado de lo percibido por el juzgador, las constancias que las partes quieran dejar, siempre y cuando sean pertinentes, las observaciones e indicaciones técnicas de los peritos. El acta debe ser firmada por todos los que intervinieron en la diligencia. Puede ser lacónica, si la actividad es grabada en audio y/o video, que puedan ser reproducidos para el despacho y el acceso de los intervinientes.</w:t>
      </w:r>
    </w:p>
    <w:p w:rsidR="00244C82" w:rsidRPr="00E10347" w:rsidRDefault="00244C82" w:rsidP="00E10347">
      <w:pPr>
        <w:ind w:right="49" w:firstLine="705"/>
        <w:jc w:val="both"/>
        <w:rPr>
          <w:rFonts w:ascii="Palatino Linotype" w:hAnsi="Palatino Linotype" w:cs="Times New Roman"/>
          <w:sz w:val="21"/>
          <w:szCs w:val="21"/>
        </w:rPr>
      </w:pPr>
      <w:r w:rsidRPr="00E10347">
        <w:rPr>
          <w:rFonts w:ascii="Palatino Linotype" w:hAnsi="Palatino Linotype" w:cs="Times New Roman"/>
          <w:sz w:val="21"/>
          <w:szCs w:val="21"/>
        </w:rPr>
        <w:t>El acta de la diligencia debe ser clara, coherente y precisa. Su contenido técnico es muy importante. Una redacción adecuada del acta refleja en forma técnica y nítida los hechos de lo que sucede en la realidad, en el campo o fundo agrario donde se lleva a cabo. A través de ella se podría constatar el estado en que se encuentra el fundo, así como las actividades agrarias que se desarrollan o vienen desarrollando en él.</w:t>
      </w:r>
    </w:p>
    <w:p w:rsidR="00244C82" w:rsidRPr="00E10347" w:rsidRDefault="00244C82" w:rsidP="00E10347">
      <w:pPr>
        <w:ind w:right="49" w:firstLine="705"/>
        <w:jc w:val="both"/>
        <w:rPr>
          <w:rFonts w:ascii="Palatino Linotype" w:hAnsi="Palatino Linotype" w:cs="Times New Roman"/>
          <w:sz w:val="21"/>
          <w:szCs w:val="21"/>
        </w:rPr>
      </w:pPr>
      <w:r w:rsidRPr="00E10347">
        <w:rPr>
          <w:rFonts w:ascii="Palatino Linotype" w:hAnsi="Palatino Linotype" w:cs="Times New Roman"/>
          <w:sz w:val="21"/>
          <w:szCs w:val="21"/>
        </w:rPr>
        <w:t xml:space="preserve">El contenido general de dicha acta, o registro de audio y/o video, puede integrar diversos aspectos de la realidad agraria, y de las condiciones en las cuales se desarrollan las actividades agrarias o agroambientales, así como de los medios utilizados para su ejercicio. </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Entre dichos aspectos, deben considerarse los siguientes:</w:t>
      </w:r>
    </w:p>
    <w:p w:rsidR="00244C82" w:rsidRPr="00E10347" w:rsidRDefault="00244C82" w:rsidP="00E83320">
      <w:pPr>
        <w:widowControl/>
        <w:numPr>
          <w:ilvl w:val="0"/>
          <w:numId w:val="17"/>
        </w:numPr>
        <w:tabs>
          <w:tab w:val="clear" w:pos="1211"/>
        </w:tabs>
        <w:autoSpaceDE/>
        <w:autoSpaceDN/>
        <w:adjustRightInd/>
        <w:ind w:left="0" w:right="49" w:firstLine="0"/>
        <w:jc w:val="both"/>
        <w:rPr>
          <w:rFonts w:ascii="Palatino Linotype" w:hAnsi="Palatino Linotype" w:cs="Times New Roman"/>
          <w:sz w:val="21"/>
          <w:szCs w:val="21"/>
        </w:rPr>
      </w:pPr>
      <w:r w:rsidRPr="00E10347">
        <w:rPr>
          <w:rFonts w:ascii="Palatino Linotype" w:hAnsi="Palatino Linotype" w:cs="Times New Roman"/>
          <w:sz w:val="21"/>
          <w:szCs w:val="21"/>
        </w:rPr>
        <w:t xml:space="preserve">Ubicación del inmueble, descripción general de la zona, y del fundo. </w:t>
      </w:r>
    </w:p>
    <w:p w:rsidR="00244C82" w:rsidRPr="00E10347" w:rsidRDefault="00244C82" w:rsidP="00E83320">
      <w:pPr>
        <w:widowControl/>
        <w:numPr>
          <w:ilvl w:val="0"/>
          <w:numId w:val="17"/>
        </w:numPr>
        <w:tabs>
          <w:tab w:val="clear" w:pos="1211"/>
        </w:tabs>
        <w:autoSpaceDE/>
        <w:autoSpaceDN/>
        <w:adjustRightInd/>
        <w:ind w:left="0" w:right="49" w:firstLine="0"/>
        <w:jc w:val="both"/>
        <w:rPr>
          <w:rFonts w:ascii="Palatino Linotype" w:hAnsi="Palatino Linotype" w:cs="Times New Roman"/>
          <w:sz w:val="21"/>
          <w:szCs w:val="21"/>
        </w:rPr>
      </w:pPr>
      <w:r w:rsidRPr="00E10347">
        <w:rPr>
          <w:rFonts w:ascii="Palatino Linotype" w:hAnsi="Palatino Linotype" w:cs="Times New Roman"/>
          <w:sz w:val="21"/>
          <w:szCs w:val="21"/>
        </w:rPr>
        <w:t>Forma de acceso y medios utilizados para llegar.</w:t>
      </w:r>
    </w:p>
    <w:p w:rsidR="00244C82" w:rsidRPr="00E10347" w:rsidRDefault="00244C82" w:rsidP="00E83320">
      <w:pPr>
        <w:widowControl/>
        <w:numPr>
          <w:ilvl w:val="0"/>
          <w:numId w:val="17"/>
        </w:numPr>
        <w:tabs>
          <w:tab w:val="num" w:pos="567"/>
        </w:tabs>
        <w:autoSpaceDE/>
        <w:autoSpaceDN/>
        <w:adjustRightInd/>
        <w:ind w:left="0" w:right="49" w:firstLine="0"/>
        <w:jc w:val="both"/>
        <w:rPr>
          <w:rFonts w:ascii="Palatino Linotype" w:hAnsi="Palatino Linotype" w:cs="Times New Roman"/>
          <w:sz w:val="21"/>
          <w:szCs w:val="21"/>
        </w:rPr>
      </w:pPr>
      <w:r w:rsidRPr="00E10347">
        <w:rPr>
          <w:rFonts w:ascii="Palatino Linotype" w:hAnsi="Palatino Linotype" w:cs="Times New Roman"/>
          <w:sz w:val="21"/>
          <w:szCs w:val="21"/>
        </w:rPr>
        <w:t xml:space="preserve">   Delimitación del terreno;</w:t>
      </w:r>
    </w:p>
    <w:p w:rsidR="00244C82" w:rsidRPr="00E10347" w:rsidRDefault="00244C82" w:rsidP="00E83320">
      <w:pPr>
        <w:widowControl/>
        <w:numPr>
          <w:ilvl w:val="0"/>
          <w:numId w:val="17"/>
        </w:numPr>
        <w:tabs>
          <w:tab w:val="num" w:pos="567"/>
        </w:tabs>
        <w:autoSpaceDE/>
        <w:autoSpaceDN/>
        <w:adjustRightInd/>
        <w:ind w:left="0" w:right="49" w:firstLine="0"/>
        <w:jc w:val="both"/>
        <w:rPr>
          <w:rFonts w:ascii="Palatino Linotype" w:hAnsi="Palatino Linotype" w:cs="Times New Roman"/>
          <w:sz w:val="21"/>
          <w:szCs w:val="21"/>
        </w:rPr>
      </w:pPr>
      <w:r w:rsidRPr="00E10347">
        <w:rPr>
          <w:rFonts w:ascii="Palatino Linotype" w:hAnsi="Palatino Linotype" w:cs="Times New Roman"/>
          <w:sz w:val="21"/>
          <w:szCs w:val="21"/>
        </w:rPr>
        <w:t xml:space="preserve">   Cultivos existentes.</w:t>
      </w:r>
    </w:p>
    <w:p w:rsidR="00244C82" w:rsidRPr="00E10347" w:rsidRDefault="00244C82" w:rsidP="00E83320">
      <w:pPr>
        <w:widowControl/>
        <w:numPr>
          <w:ilvl w:val="0"/>
          <w:numId w:val="17"/>
        </w:numPr>
        <w:tabs>
          <w:tab w:val="clear" w:pos="1211"/>
        </w:tabs>
        <w:autoSpaceDE/>
        <w:autoSpaceDN/>
        <w:adjustRightInd/>
        <w:ind w:left="0" w:right="49" w:firstLine="0"/>
        <w:jc w:val="both"/>
        <w:rPr>
          <w:rFonts w:ascii="Palatino Linotype" w:hAnsi="Palatino Linotype" w:cs="Times New Roman"/>
          <w:sz w:val="21"/>
          <w:szCs w:val="21"/>
        </w:rPr>
      </w:pPr>
      <w:r w:rsidRPr="00E10347">
        <w:rPr>
          <w:rFonts w:ascii="Palatino Linotype" w:hAnsi="Palatino Linotype" w:cs="Times New Roman"/>
          <w:sz w:val="21"/>
          <w:szCs w:val="21"/>
        </w:rPr>
        <w:t xml:space="preserve">Recurso forestal y áreas de conservación. </w:t>
      </w:r>
    </w:p>
    <w:p w:rsidR="00244C82" w:rsidRPr="00E10347" w:rsidRDefault="00244C82" w:rsidP="00E83320">
      <w:pPr>
        <w:widowControl/>
        <w:numPr>
          <w:ilvl w:val="0"/>
          <w:numId w:val="17"/>
        </w:numPr>
        <w:tabs>
          <w:tab w:val="clear" w:pos="1211"/>
        </w:tabs>
        <w:autoSpaceDE/>
        <w:autoSpaceDN/>
        <w:adjustRightInd/>
        <w:ind w:left="0" w:right="49" w:firstLine="0"/>
        <w:jc w:val="both"/>
        <w:rPr>
          <w:rFonts w:ascii="Palatino Linotype" w:hAnsi="Palatino Linotype" w:cs="Times New Roman"/>
          <w:sz w:val="21"/>
          <w:szCs w:val="21"/>
        </w:rPr>
      </w:pPr>
      <w:r w:rsidRPr="00E10347">
        <w:rPr>
          <w:rFonts w:ascii="Palatino Linotype" w:hAnsi="Palatino Linotype" w:cs="Times New Roman"/>
          <w:sz w:val="21"/>
          <w:szCs w:val="21"/>
        </w:rPr>
        <w:t>Repastos y ganado o cría de otros animales.</w:t>
      </w:r>
    </w:p>
    <w:p w:rsidR="00244C82" w:rsidRPr="00E10347" w:rsidRDefault="00244C82" w:rsidP="00E83320">
      <w:pPr>
        <w:widowControl/>
        <w:numPr>
          <w:ilvl w:val="0"/>
          <w:numId w:val="17"/>
        </w:numPr>
        <w:tabs>
          <w:tab w:val="clear" w:pos="1211"/>
        </w:tabs>
        <w:autoSpaceDE/>
        <w:autoSpaceDN/>
        <w:adjustRightInd/>
        <w:ind w:left="0" w:right="49" w:firstLine="0"/>
        <w:jc w:val="both"/>
        <w:rPr>
          <w:rFonts w:ascii="Palatino Linotype" w:hAnsi="Palatino Linotype" w:cs="Times New Roman"/>
          <w:sz w:val="21"/>
          <w:szCs w:val="21"/>
        </w:rPr>
      </w:pPr>
      <w:r w:rsidRPr="00E10347">
        <w:rPr>
          <w:rFonts w:ascii="Palatino Linotype" w:hAnsi="Palatino Linotype" w:cs="Times New Roman"/>
          <w:sz w:val="21"/>
          <w:szCs w:val="21"/>
        </w:rPr>
        <w:t>Construcciones.</w:t>
      </w:r>
    </w:p>
    <w:p w:rsidR="00244C82" w:rsidRPr="00E10347" w:rsidRDefault="00244C82" w:rsidP="00E83320">
      <w:pPr>
        <w:widowControl/>
        <w:numPr>
          <w:ilvl w:val="0"/>
          <w:numId w:val="17"/>
        </w:numPr>
        <w:tabs>
          <w:tab w:val="clear" w:pos="1211"/>
        </w:tabs>
        <w:autoSpaceDE/>
        <w:autoSpaceDN/>
        <w:adjustRightInd/>
        <w:ind w:left="0" w:right="49" w:firstLine="0"/>
        <w:jc w:val="both"/>
        <w:rPr>
          <w:rFonts w:ascii="Palatino Linotype" w:hAnsi="Palatino Linotype" w:cs="Times New Roman"/>
          <w:sz w:val="21"/>
          <w:szCs w:val="21"/>
        </w:rPr>
      </w:pPr>
      <w:r w:rsidRPr="00E10347">
        <w:rPr>
          <w:rFonts w:ascii="Palatino Linotype" w:hAnsi="Palatino Linotype" w:cs="Times New Roman"/>
          <w:sz w:val="21"/>
          <w:szCs w:val="21"/>
        </w:rPr>
        <w:t xml:space="preserve">Instalaciones para el ejercicio de la actividad agraria. </w:t>
      </w:r>
    </w:p>
    <w:p w:rsidR="00244C82" w:rsidRPr="00E10347" w:rsidRDefault="00244C82" w:rsidP="00E83320">
      <w:pPr>
        <w:widowControl/>
        <w:numPr>
          <w:ilvl w:val="0"/>
          <w:numId w:val="17"/>
        </w:numPr>
        <w:tabs>
          <w:tab w:val="clear" w:pos="1211"/>
        </w:tabs>
        <w:autoSpaceDE/>
        <w:autoSpaceDN/>
        <w:adjustRightInd/>
        <w:ind w:left="0" w:right="49" w:firstLine="0"/>
        <w:jc w:val="both"/>
        <w:rPr>
          <w:rFonts w:ascii="Palatino Linotype" w:hAnsi="Palatino Linotype" w:cs="Times New Roman"/>
          <w:sz w:val="21"/>
          <w:szCs w:val="21"/>
        </w:rPr>
      </w:pPr>
      <w:r w:rsidRPr="00E10347">
        <w:rPr>
          <w:rFonts w:ascii="Palatino Linotype" w:hAnsi="Palatino Linotype" w:cs="Times New Roman"/>
          <w:sz w:val="21"/>
          <w:szCs w:val="21"/>
        </w:rPr>
        <w:t xml:space="preserve">Maquinaria agrícola. </w:t>
      </w:r>
    </w:p>
    <w:p w:rsidR="00244C82" w:rsidRPr="00E10347" w:rsidRDefault="00244C82" w:rsidP="00E83320">
      <w:pPr>
        <w:widowControl/>
        <w:numPr>
          <w:ilvl w:val="0"/>
          <w:numId w:val="17"/>
        </w:numPr>
        <w:tabs>
          <w:tab w:val="clear" w:pos="1211"/>
        </w:tabs>
        <w:autoSpaceDE/>
        <w:autoSpaceDN/>
        <w:adjustRightInd/>
        <w:ind w:left="0" w:right="49" w:firstLine="0"/>
        <w:jc w:val="both"/>
        <w:rPr>
          <w:rFonts w:ascii="Palatino Linotype" w:hAnsi="Palatino Linotype" w:cs="Times New Roman"/>
          <w:sz w:val="21"/>
          <w:szCs w:val="21"/>
        </w:rPr>
      </w:pPr>
      <w:r w:rsidRPr="00E10347">
        <w:rPr>
          <w:rFonts w:ascii="Palatino Linotype" w:hAnsi="Palatino Linotype" w:cs="Times New Roman"/>
          <w:sz w:val="21"/>
          <w:szCs w:val="21"/>
        </w:rPr>
        <w:t>Otros aspectos de importancia.</w:t>
      </w:r>
    </w:p>
    <w:p w:rsidR="00244C82" w:rsidRPr="00E10347" w:rsidRDefault="00244C82" w:rsidP="00E83320">
      <w:pPr>
        <w:widowControl/>
        <w:numPr>
          <w:ilvl w:val="0"/>
          <w:numId w:val="17"/>
        </w:numPr>
        <w:tabs>
          <w:tab w:val="clear" w:pos="1211"/>
        </w:tabs>
        <w:autoSpaceDE/>
        <w:autoSpaceDN/>
        <w:adjustRightInd/>
        <w:ind w:left="0" w:right="49" w:firstLine="0"/>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Informaciones o manifestaciones especiales.</w:t>
      </w:r>
    </w:p>
    <w:p w:rsidR="00244C82" w:rsidRPr="00E10347" w:rsidRDefault="00244C82" w:rsidP="00E83320">
      <w:pPr>
        <w:widowControl/>
        <w:numPr>
          <w:ilvl w:val="0"/>
          <w:numId w:val="17"/>
        </w:numPr>
        <w:tabs>
          <w:tab w:val="clear" w:pos="1211"/>
        </w:tabs>
        <w:autoSpaceDE/>
        <w:autoSpaceDN/>
        <w:adjustRightInd/>
        <w:ind w:left="0" w:right="49" w:firstLine="0"/>
        <w:jc w:val="both"/>
        <w:rPr>
          <w:rFonts w:ascii="Palatino Linotype" w:hAnsi="Palatino Linotype" w:cs="Times New Roman"/>
          <w:sz w:val="21"/>
          <w:szCs w:val="21"/>
        </w:rPr>
      </w:pPr>
      <w:r w:rsidRPr="00E10347">
        <w:rPr>
          <w:rFonts w:ascii="Palatino Linotype" w:hAnsi="Palatino Linotype" w:cs="Times New Roman"/>
          <w:sz w:val="21"/>
          <w:szCs w:val="21"/>
        </w:rPr>
        <w:t xml:space="preserve">Croquis. </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Es importante, en esta materia que los Jueces agrarios y los abogados agraristas, así como el auxiliar judicial, reciban cursos de capacitación en materia de topografía y ubicación cartográfica, para que puedan facilitar su labor en el campo.</w:t>
      </w:r>
    </w:p>
    <w:p w:rsidR="00244C82" w:rsidRPr="00E10347" w:rsidRDefault="00244C82" w:rsidP="00E10347">
      <w:pPr>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El valor probatorio del reconocimiento judicial, así como del croquis como prueba complementaria es indudable, y debe ser apreciado libremente, en conjunto con las restantes pruebas traídas al proceso, tanto la pericial, testimonial y declaración de partes, en aras de establecer la verdad real y dictar una sentencia con criterios técnicos que permitan formar la convicción del juez con principios de equidad y derecho.</w:t>
      </w:r>
    </w:p>
    <w:p w:rsidR="00244C82" w:rsidRPr="00E10347" w:rsidRDefault="00244C82" w:rsidP="00E10347">
      <w:pPr>
        <w:pStyle w:val="Pa2"/>
        <w:spacing w:line="240" w:lineRule="auto"/>
        <w:ind w:right="49"/>
        <w:jc w:val="both"/>
        <w:rPr>
          <w:rFonts w:ascii="Palatino Linotype" w:hAnsi="Palatino Linotype" w:cs="Times New Roman"/>
          <w:sz w:val="21"/>
          <w:szCs w:val="21"/>
        </w:rPr>
      </w:pPr>
      <w:r w:rsidRPr="00E10347">
        <w:rPr>
          <w:rFonts w:ascii="Palatino Linotype" w:hAnsi="Palatino Linotype" w:cs="Times New Roman"/>
          <w:b/>
          <w:sz w:val="21"/>
          <w:szCs w:val="21"/>
        </w:rPr>
        <w:tab/>
      </w:r>
      <w:r w:rsidRPr="00E10347">
        <w:rPr>
          <w:rFonts w:ascii="Palatino Linotype" w:hAnsi="Palatino Linotype" w:cs="Times New Roman"/>
          <w:sz w:val="21"/>
          <w:szCs w:val="21"/>
        </w:rPr>
        <w:t>En la reconstrucción de hechos, se seguirá el procedimiento dispuesto para el reconocimiento judicial.</w:t>
      </w:r>
      <w:r w:rsidRPr="00E10347">
        <w:rPr>
          <w:rStyle w:val="Refdenotaalpie"/>
          <w:rFonts w:ascii="Palatino Linotype" w:hAnsi="Palatino Linotype" w:cs="Times New Roman"/>
          <w:sz w:val="21"/>
          <w:szCs w:val="21"/>
        </w:rPr>
        <w:footnoteReference w:id="554"/>
      </w:r>
      <w:r w:rsidRPr="00E10347">
        <w:rPr>
          <w:rFonts w:ascii="Palatino Linotype" w:hAnsi="Palatino Linotype" w:cs="Times New Roman"/>
          <w:sz w:val="21"/>
          <w:szCs w:val="21"/>
        </w:rPr>
        <w:t xml:space="preserve"> </w:t>
      </w:r>
    </w:p>
    <w:p w:rsidR="00244C82" w:rsidRPr="00E10347" w:rsidRDefault="00244C82" w:rsidP="00E10347">
      <w:pPr>
        <w:jc w:val="both"/>
        <w:rPr>
          <w:rFonts w:ascii="Palatino Linotype" w:hAnsi="Palatino Linotype" w:cs="Times New Roman"/>
          <w:sz w:val="21"/>
          <w:szCs w:val="21"/>
          <w:lang w:eastAsia="es-CR"/>
        </w:rPr>
      </w:pPr>
      <w:r w:rsidRPr="00E10347">
        <w:rPr>
          <w:rFonts w:ascii="Palatino Linotype" w:hAnsi="Palatino Linotype" w:cs="Times New Roman"/>
          <w:sz w:val="21"/>
          <w:szCs w:val="21"/>
          <w:lang w:eastAsia="es-CR"/>
        </w:rPr>
        <w:tab/>
        <w:t>Esta es una expresión genérica y, a la vez, vacía de contenido. No observamos ninguna utilidad práctica para la materia agraria y la única explicación probable es que se trasladó del Proyecto del CGP, al CPC, y de  éste al NpCPA, pero recientemente incluso algún procesalista atento del Instituto Iberoamericano propuso eliminarla como medio de prueba, o bien darle un tratamiento más acorde a sus fines.</w:t>
      </w:r>
      <w:r w:rsidRPr="00E10347">
        <w:rPr>
          <w:rStyle w:val="Refdenotaalpie"/>
          <w:rFonts w:ascii="Palatino Linotype" w:hAnsi="Palatino Linotype" w:cs="Times New Roman"/>
          <w:sz w:val="21"/>
          <w:szCs w:val="21"/>
          <w:lang w:eastAsia="es-CR"/>
        </w:rPr>
        <w:footnoteReference w:id="555"/>
      </w:r>
    </w:p>
    <w:p w:rsidR="00DD5619" w:rsidRDefault="00DD5619" w:rsidP="00E10347">
      <w:pPr>
        <w:ind w:right="49"/>
        <w:jc w:val="both"/>
        <w:rPr>
          <w:rFonts w:ascii="Palatino Linotype" w:hAnsi="Palatino Linotype" w:cs="Times New Roman"/>
          <w:b/>
          <w:sz w:val="21"/>
          <w:szCs w:val="21"/>
        </w:rPr>
      </w:pPr>
    </w:p>
    <w:p w:rsidR="00244C82" w:rsidRPr="00E10347" w:rsidRDefault="00244C82" w:rsidP="00E10347">
      <w:pPr>
        <w:ind w:right="49"/>
        <w:jc w:val="both"/>
        <w:rPr>
          <w:rFonts w:ascii="Palatino Linotype" w:hAnsi="Palatino Linotype" w:cs="Times New Roman"/>
          <w:b/>
          <w:sz w:val="21"/>
          <w:szCs w:val="21"/>
        </w:rPr>
      </w:pPr>
      <w:r w:rsidRPr="00E10347">
        <w:rPr>
          <w:rFonts w:ascii="Palatino Linotype" w:hAnsi="Palatino Linotype" w:cs="Times New Roman"/>
          <w:b/>
          <w:sz w:val="21"/>
          <w:szCs w:val="21"/>
        </w:rPr>
        <w:t>7.- Prueba indiciaria, científica y otros medios de prueba.</w:t>
      </w:r>
    </w:p>
    <w:p w:rsidR="00244C82" w:rsidRPr="00E10347" w:rsidRDefault="00244C82" w:rsidP="00E10347">
      <w:pPr>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En el proceso agrario deben admitirse todos aquellos medios probatorios que la Ley procesal moderna, y los adelantos tecnológicos y científicos permitan, siempre y cuando sean incorporadas legalmente al proceso y se garantice el principio del contradictorio. La prueba por indicios y las presunciones tienen particular importancia en esta materia.</w:t>
      </w:r>
    </w:p>
    <w:p w:rsidR="00244C82" w:rsidRPr="00E10347" w:rsidRDefault="00244C82" w:rsidP="00E10347">
      <w:pPr>
        <w:pStyle w:val="Pa2"/>
        <w:spacing w:line="240" w:lineRule="auto"/>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Podrá ordenarse la práctica de reproducciones de cualquier naturaleza, calcos, relieves, filmes o fotografías de objetos, personas, documentos y lugares, radiografías, radioscopias, análisis hematológicos, bacteriológicos, y, en general, </w:t>
      </w:r>
      <w:r w:rsidRPr="00E10347">
        <w:rPr>
          <w:rFonts w:ascii="Palatino Linotype" w:hAnsi="Palatino Linotype" w:cs="Times New Roman"/>
          <w:sz w:val="21"/>
          <w:szCs w:val="21"/>
        </w:rPr>
        <w:lastRenderedPageBreak/>
        <w:t>cualquier prueba científica y reproducciones de cualquier naturaleza. En lo relativo a personas, se respetarán las restricciones legales. También podrá aportarse o solicitarse que se obtengan comunicaciones telegráficas, radiográficas, telefónicas, telemáticas y cablegráficas, siempre que se hayan observado las leyes y los reglamentos respectivos.</w:t>
      </w:r>
    </w:p>
    <w:p w:rsidR="00244C82" w:rsidRPr="00E10347" w:rsidRDefault="00244C82" w:rsidP="00E10347">
      <w:pPr>
        <w:pStyle w:val="Pa2"/>
        <w:spacing w:line="240" w:lineRule="auto"/>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En la audiencia se le dará a esta prueba el mismo trámite dispuesto para la pericial. </w:t>
      </w:r>
    </w:p>
    <w:p w:rsidR="00244C82" w:rsidRPr="00E10347" w:rsidRDefault="00244C82" w:rsidP="00E10347">
      <w:pPr>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Los gastos de la prueba científica estarán a cargo de la parte proponente o de aquella a quien corresponda la carga de la prueba, salvo que sea ordenada de oficio o solicitada por una persona representada por la defensa pública.</w:t>
      </w:r>
      <w:r w:rsidRPr="00E10347">
        <w:rPr>
          <w:rStyle w:val="Refdenotaalpie"/>
          <w:rFonts w:ascii="Palatino Linotype" w:hAnsi="Palatino Linotype" w:cs="Times New Roman"/>
          <w:sz w:val="21"/>
          <w:szCs w:val="21"/>
        </w:rPr>
        <w:footnoteReference w:id="556"/>
      </w:r>
    </w:p>
    <w:p w:rsidR="00244C82" w:rsidRPr="00E10347" w:rsidRDefault="00244C82" w:rsidP="00E10347">
      <w:pPr>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Los indicios son un hecho conocido del cual se induce otro hecho desconocido, mediante un argumento probatorio que de aquél se obtiene, en virtud de una operación lógica - crítica basada en normas generales de la experiencia o en principios científicos o técnicos. En él la fuente de prueba se identifica con el medio probatorio. Indicio puede ser cualquier hecho, siempre que de él sea posible obtener algún argumento probatorio para llegar al conocimiento de otro hecho. </w:t>
      </w:r>
    </w:p>
    <w:p w:rsidR="00244C82" w:rsidRPr="00E10347" w:rsidRDefault="00244C82" w:rsidP="00E10347">
      <w:pPr>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La doctrina reconoce el carácter de medios de prueba a los indicios.</w:t>
      </w:r>
      <w:r w:rsidRPr="00E10347">
        <w:rPr>
          <w:rStyle w:val="Refdenotaalpie"/>
          <w:rFonts w:ascii="Palatino Linotype" w:hAnsi="Palatino Linotype" w:cs="Times New Roman"/>
          <w:sz w:val="21"/>
          <w:szCs w:val="21"/>
        </w:rPr>
        <w:footnoteReference w:id="557"/>
      </w:r>
      <w:r w:rsidRPr="00E10347">
        <w:rPr>
          <w:rFonts w:ascii="Palatino Linotype" w:hAnsi="Palatino Linotype" w:cs="Times New Roman"/>
          <w:sz w:val="21"/>
          <w:szCs w:val="21"/>
        </w:rPr>
        <w:t xml:space="preserve"> Por ello, aunque nuestro legislador no haga referencia expresa a dichos medios, los jueces agrarios deben reconocerles valor probatorio. Se trata de una prueba crítica o lógica e indirecta, que debe tomarse en cuenta en un sistema de libre valoración probatoria, como es el que opera en agrario. En la prueba indiciaria el juez nunca percibe el hecho que constituye su objeto, ni otro hecho que lo represente de manera expresa y directa, sino hechos que apenas pueden ser relacionados directamente con aquél, mediante una operación mental. En consecuencia se trata de una prueba indirecta.</w:t>
      </w:r>
      <w:r w:rsidRPr="00E10347">
        <w:rPr>
          <w:rStyle w:val="Refdenotaalpie"/>
          <w:rFonts w:ascii="Palatino Linotype" w:hAnsi="Palatino Linotype" w:cs="Times New Roman"/>
          <w:sz w:val="21"/>
          <w:szCs w:val="21"/>
        </w:rPr>
        <w:footnoteReference w:id="558"/>
      </w:r>
    </w:p>
    <w:p w:rsidR="00244C82" w:rsidRPr="00E10347" w:rsidRDefault="00244C82" w:rsidP="00E10347">
      <w:pPr>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En cuanto al tema de objetos y sustancias peligrosas, el NpCPA ha establecido varias regulaciones.</w:t>
      </w:r>
    </w:p>
    <w:p w:rsidR="00244C82" w:rsidRPr="00E10347" w:rsidRDefault="00244C82" w:rsidP="00E10347">
      <w:pPr>
        <w:pStyle w:val="Pa2"/>
        <w:spacing w:line="240" w:lineRule="auto"/>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 xml:space="preserve">Cuando las pruebas ofrecidas y aportadas por las partes, o recolectadas por el tribunal durante un reconocimiento judicial, sean objetos y sustancias peligrosas para la salud, o que por su naturaleza ameriten previsiones especiales para su preservación, se aplicarán, para su admisibilidad y práctica, las reglas de la prueba </w:t>
      </w:r>
      <w:r w:rsidRPr="00E10347">
        <w:rPr>
          <w:rFonts w:ascii="Palatino Linotype" w:hAnsi="Palatino Linotype" w:cs="Times New Roman"/>
          <w:sz w:val="21"/>
          <w:szCs w:val="21"/>
        </w:rPr>
        <w:lastRenderedPageBreak/>
        <w:t xml:space="preserve">anticipada, en lo que corresponda. </w:t>
      </w:r>
    </w:p>
    <w:p w:rsidR="00244C82" w:rsidRPr="00E10347" w:rsidRDefault="00244C82" w:rsidP="00E10347">
      <w:pPr>
        <w:pStyle w:val="Pa2"/>
        <w:spacing w:line="240" w:lineRule="auto"/>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De oficio o a solicitud de parte, deberá el tribunal adoptar las medidas pertinentes para su conservación y custodia. Además pedir auxilio al Organismo de Investigación Judicial, entidades públicas o terceras personas con idoneidad o capacidad técnica. A criterio del tribunal y si existe anuencia de la parte contraria, la oferente de la prueba podrá custodiarla, siempre que cumpla con los requerimientos técnicos o científicos.</w:t>
      </w:r>
    </w:p>
    <w:p w:rsidR="00244C82" w:rsidRPr="00E10347" w:rsidRDefault="00244C82" w:rsidP="00E10347">
      <w:pPr>
        <w:pStyle w:val="Pa2"/>
        <w:spacing w:line="240" w:lineRule="auto"/>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Para la admisibilidad y conservación de este tipo de elementos probatorios, se tomará en cuenta lo dispuesto en leyes especiales.</w:t>
      </w:r>
      <w:r w:rsidRPr="00E10347">
        <w:rPr>
          <w:rStyle w:val="Refdenotaalpie"/>
          <w:rFonts w:ascii="Palatino Linotype" w:hAnsi="Palatino Linotype" w:cs="Times New Roman"/>
          <w:sz w:val="21"/>
          <w:szCs w:val="21"/>
        </w:rPr>
        <w:footnoteReference w:id="559"/>
      </w:r>
    </w:p>
    <w:p w:rsidR="00DD5619" w:rsidRDefault="00DD5619" w:rsidP="00E10347">
      <w:pPr>
        <w:ind w:right="49"/>
        <w:jc w:val="both"/>
        <w:rPr>
          <w:rFonts w:ascii="Palatino Linotype" w:hAnsi="Palatino Linotype" w:cs="Times New Roman"/>
          <w:b/>
          <w:sz w:val="21"/>
          <w:szCs w:val="21"/>
        </w:rPr>
      </w:pPr>
    </w:p>
    <w:p w:rsidR="00244C82" w:rsidRPr="00E10347" w:rsidRDefault="00244C82" w:rsidP="00E10347">
      <w:pPr>
        <w:ind w:right="49"/>
        <w:jc w:val="both"/>
        <w:rPr>
          <w:rFonts w:ascii="Palatino Linotype" w:hAnsi="Palatino Linotype" w:cs="Times New Roman"/>
          <w:b/>
          <w:sz w:val="21"/>
          <w:szCs w:val="21"/>
        </w:rPr>
      </w:pPr>
      <w:r w:rsidRPr="00E10347">
        <w:rPr>
          <w:rFonts w:ascii="Palatino Linotype" w:hAnsi="Palatino Linotype" w:cs="Times New Roman"/>
          <w:b/>
          <w:sz w:val="21"/>
          <w:szCs w:val="21"/>
        </w:rPr>
        <w:t>8.- La libre valoración de la prueba y sana crítica racional.-</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La valoración o apreciación de la prueba judicial es, en materia agraria, la operación mental que  realiza el juez agrario, que tiene como fin conocer el mérito o valor de convicción de los hechos, que puedan deducirse del contenido de los elementos probatorios. Es una actividad procesal exclusiva del juez agrario. De ella depende el resultado del proceso. </w:t>
      </w:r>
      <w:r w:rsidRPr="00E10347">
        <w:rPr>
          <w:rFonts w:ascii="Palatino Linotype" w:hAnsi="Palatino Linotype" w:cs="Times New Roman"/>
          <w:sz w:val="21"/>
          <w:szCs w:val="21"/>
        </w:rPr>
        <w:tab/>
        <w:t>La valoración de la prueba es necesaria para la comprobación de los hechos, para descubrir la verdad real.</w:t>
      </w:r>
    </w:p>
    <w:p w:rsidR="00244C82" w:rsidRPr="00E10347" w:rsidRDefault="00244C82" w:rsidP="00E10347">
      <w:pPr>
        <w:tabs>
          <w:tab w:val="left" w:pos="-720"/>
        </w:tabs>
        <w:suppressAutoHyphens/>
        <w:ind w:right="49"/>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 Generalmente se distinguen dos sistemas para la apreciación de las pruebas.</w:t>
      </w:r>
      <w:r w:rsidRPr="00E10347">
        <w:rPr>
          <w:rStyle w:val="Refdenotaalpie"/>
          <w:rFonts w:ascii="Palatino Linotype" w:hAnsi="Palatino Linotype" w:cs="Times New Roman"/>
          <w:sz w:val="21"/>
          <w:szCs w:val="21"/>
        </w:rPr>
        <w:footnoteReference w:id="560"/>
      </w:r>
      <w:r w:rsidRPr="00E10347">
        <w:rPr>
          <w:rFonts w:ascii="Palatino Linotype" w:hAnsi="Palatino Linotype" w:cs="Times New Roman"/>
          <w:sz w:val="21"/>
          <w:szCs w:val="21"/>
        </w:rPr>
        <w:t xml:space="preserve"> El de tarifa legal o prueba tasada y el de libre apreciación o libre convencimiento.</w:t>
      </w:r>
    </w:p>
    <w:p w:rsidR="00244C82" w:rsidRPr="00E10347" w:rsidRDefault="00244C82" w:rsidP="00E10347">
      <w:pPr>
        <w:tabs>
          <w:tab w:val="left" w:pos="-720"/>
        </w:tabs>
        <w:suppressAutoHyphens/>
        <w:ind w:right="49"/>
        <w:jc w:val="both"/>
        <w:rPr>
          <w:rFonts w:ascii="Palatino Linotype" w:hAnsi="Palatino Linotype" w:cs="Times New Roman"/>
          <w:sz w:val="21"/>
          <w:szCs w:val="21"/>
        </w:rPr>
      </w:pPr>
      <w:r w:rsidRPr="00E10347">
        <w:rPr>
          <w:rFonts w:ascii="Palatino Linotype" w:hAnsi="Palatino Linotype" w:cs="Times New Roman"/>
          <w:sz w:val="21"/>
          <w:szCs w:val="21"/>
        </w:rPr>
        <w:tab/>
        <w:t>En un ámbito intermedio se encuentra el sistema denominado de la “sana crítica racional”, como contrapartida a un sistema arbitrario de libre convicción o valoración a conciencia.  Esta sección la dedicaremos a distinguir entre dichos sistemas, para establecer cuál debe ser aplicado a la materia agraria y bajo que parámetros y límites debe actuar el Juez.</w:t>
      </w:r>
    </w:p>
    <w:p w:rsidR="00244C82" w:rsidRPr="00E10347" w:rsidRDefault="00244C82" w:rsidP="00E10347">
      <w:pPr>
        <w:tabs>
          <w:tab w:val="left" w:pos="-720"/>
        </w:tabs>
        <w:suppressAutoHyphens/>
        <w:ind w:right="49"/>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La teoría general de la prueba judicial, afirma Devis Echandia,  es aplicable a cualquier sistema probatorio, sea que éste se oriente por uno de tarifa legal o tasada, propio del principio dispositivo, sea que se enmarque dentro de la libre valoración probatoria. Pero agrega que “... la falta de facultades inquisitivas y de libertad de apreciación, de concentración e inmediación y de oralidad en el proceso </w:t>
      </w:r>
      <w:r w:rsidRPr="00E10347">
        <w:rPr>
          <w:rFonts w:ascii="Palatino Linotype" w:hAnsi="Palatino Linotype" w:cs="Times New Roman"/>
          <w:sz w:val="21"/>
          <w:szCs w:val="21"/>
        </w:rPr>
        <w:lastRenderedPageBreak/>
        <w:t>civil, no es más que deficiencia y retraso en su regulación legal en los países que se han quedado a la zaga del movimiento jurídico procesal del presente siglo...”</w:t>
      </w:r>
      <w:r w:rsidRPr="00E10347">
        <w:rPr>
          <w:rStyle w:val="Refdenotaalpie"/>
          <w:rFonts w:ascii="Palatino Linotype" w:hAnsi="Palatino Linotype" w:cs="Times New Roman"/>
          <w:sz w:val="21"/>
          <w:szCs w:val="21"/>
        </w:rPr>
        <w:footnoteReference w:id="561"/>
      </w:r>
    </w:p>
    <w:p w:rsidR="00244C82" w:rsidRPr="00E10347" w:rsidRDefault="00244C82" w:rsidP="00E10347">
      <w:pPr>
        <w:tabs>
          <w:tab w:val="left" w:pos="-720"/>
        </w:tabs>
        <w:suppressAutoHyphens/>
        <w:ind w:right="49"/>
        <w:jc w:val="both"/>
        <w:rPr>
          <w:rFonts w:ascii="Palatino Linotype" w:hAnsi="Palatino Linotype" w:cs="Times New Roman"/>
          <w:sz w:val="21"/>
          <w:szCs w:val="21"/>
        </w:rPr>
      </w:pPr>
      <w:r w:rsidRPr="00E10347">
        <w:rPr>
          <w:rFonts w:ascii="Palatino Linotype" w:hAnsi="Palatino Linotype" w:cs="Times New Roman"/>
          <w:sz w:val="21"/>
          <w:szCs w:val="21"/>
        </w:rPr>
        <w:tab/>
        <w:t>Para Cappelletti la prueba legal se justifica solamente como expresión de un anticuado sistema procesal escrito. En cambio en un coherente ordenamiento procesal oral, en el campo de las pruebas a constituir debe regirse por la libre valoración, específicamente de la prueba testimonial en su amplio sentido, tanto en la declaración de terceros como en la declaración.  Él apunta también las limitaciones de una reglamentación “legal” de la prueba, en cuanto a los graves límites a la admisibilidad de la prueba estrictamente testimonial; en la apriorística exclusión de la eficacia probatoria de la declaración de parte; en la eficacia probatoria de la declaración jurada de la parte, en la eficacia probatoria y vinculante de la confesión de parte. Reglas que han sido totalmente superadas en los ordenamientos orales modernos.</w:t>
      </w:r>
      <w:r w:rsidRPr="00E10347">
        <w:rPr>
          <w:rStyle w:val="Refdenotaalpie"/>
          <w:rFonts w:ascii="Palatino Linotype" w:hAnsi="Palatino Linotype" w:cs="Times New Roman"/>
          <w:sz w:val="21"/>
          <w:szCs w:val="21"/>
        </w:rPr>
        <w:footnoteReference w:id="562"/>
      </w:r>
    </w:p>
    <w:p w:rsidR="00244C82" w:rsidRPr="00E10347" w:rsidRDefault="00244C82" w:rsidP="00E10347">
      <w:pPr>
        <w:tabs>
          <w:tab w:val="left" w:pos="-720"/>
        </w:tabs>
        <w:suppressAutoHyphens/>
        <w:ind w:right="49"/>
        <w:jc w:val="both"/>
        <w:rPr>
          <w:rFonts w:ascii="Palatino Linotype" w:hAnsi="Palatino Linotype" w:cs="Times New Roman"/>
          <w:sz w:val="21"/>
          <w:szCs w:val="21"/>
        </w:rPr>
      </w:pPr>
      <w:r w:rsidRPr="00E10347">
        <w:rPr>
          <w:rFonts w:ascii="Palatino Linotype" w:hAnsi="Palatino Linotype" w:cs="Times New Roman"/>
          <w:sz w:val="21"/>
          <w:szCs w:val="21"/>
        </w:rPr>
        <w:tab/>
        <w:t>Justamente, el movimiento de la oralidad reacciona contra el predominio del elemento escrito, frente a la falta de inmediatez y contacto personal del juez con las partes, los testigos, los peritos y las demás fuentes de prueba, lugares y cosas.  Pero también es una reacción contra el sistema de prueba legal.</w:t>
      </w:r>
      <w:r w:rsidRPr="00E10347">
        <w:rPr>
          <w:rStyle w:val="Refdenotaalpie"/>
          <w:rFonts w:ascii="Palatino Linotype" w:hAnsi="Palatino Linotype" w:cs="Times New Roman"/>
          <w:sz w:val="21"/>
          <w:szCs w:val="21"/>
        </w:rPr>
        <w:footnoteReference w:id="563"/>
      </w:r>
      <w:r w:rsidRPr="00E10347">
        <w:rPr>
          <w:rFonts w:ascii="Palatino Linotype" w:hAnsi="Palatino Linotype" w:cs="Times New Roman"/>
          <w:sz w:val="21"/>
          <w:szCs w:val="21"/>
        </w:rPr>
        <w:t xml:space="preserve"> Prevalecía, y sigue prevaleciendo en muchos países la separación del juez de los hechos, y exaltan las cuestiones abstractas del derecho.</w:t>
      </w:r>
      <w:r w:rsidRPr="00E10347">
        <w:rPr>
          <w:rFonts w:ascii="Palatino Linotype" w:hAnsi="Palatino Linotype" w:cs="Times New Roman"/>
          <w:sz w:val="21"/>
          <w:szCs w:val="21"/>
        </w:rPr>
        <w:tab/>
      </w:r>
    </w:p>
    <w:p w:rsidR="00244C82" w:rsidRPr="00E10347" w:rsidRDefault="00244C82" w:rsidP="00E10347">
      <w:pPr>
        <w:tabs>
          <w:tab w:val="left" w:pos="-720"/>
        </w:tabs>
        <w:suppressAutoHyphens/>
        <w:ind w:right="49"/>
        <w:jc w:val="both"/>
        <w:rPr>
          <w:rFonts w:ascii="Palatino Linotype" w:hAnsi="Palatino Linotype" w:cs="Times New Roman"/>
          <w:spacing w:val="-3"/>
          <w:sz w:val="21"/>
          <w:szCs w:val="21"/>
        </w:rPr>
      </w:pPr>
      <w:r w:rsidRPr="00E10347">
        <w:rPr>
          <w:rFonts w:ascii="Palatino Linotype" w:hAnsi="Palatino Linotype" w:cs="Times New Roman"/>
          <w:sz w:val="21"/>
          <w:szCs w:val="21"/>
        </w:rPr>
        <w:tab/>
        <w:t>E</w:t>
      </w:r>
      <w:r w:rsidRPr="00E10347">
        <w:rPr>
          <w:rFonts w:ascii="Palatino Linotype" w:hAnsi="Palatino Linotype" w:cs="Times New Roman"/>
          <w:spacing w:val="-3"/>
          <w:sz w:val="21"/>
          <w:szCs w:val="21"/>
        </w:rPr>
        <w:t>n materia civil, el juzgador está sujeto a las reglas de la sana crítica, según el nuevo texto del CPC:</w:t>
      </w:r>
    </w:p>
    <w:p w:rsidR="00244C82" w:rsidRPr="00E10347" w:rsidRDefault="00244C82" w:rsidP="00E10347">
      <w:pPr>
        <w:ind w:right="49" w:firstLine="708"/>
        <w:jc w:val="both"/>
        <w:rPr>
          <w:rFonts w:ascii="Palatino Linotype" w:hAnsi="Palatino Linotype" w:cs="Times New Roman"/>
          <w:i/>
          <w:spacing w:val="-3"/>
          <w:sz w:val="21"/>
          <w:szCs w:val="21"/>
        </w:rPr>
      </w:pPr>
      <w:r w:rsidRPr="00E10347">
        <w:rPr>
          <w:rFonts w:ascii="Palatino Linotype" w:hAnsi="Palatino Linotype" w:cs="Times New Roman"/>
          <w:spacing w:val="-3"/>
          <w:sz w:val="21"/>
          <w:szCs w:val="21"/>
        </w:rPr>
        <w:t>“</w:t>
      </w:r>
      <w:r w:rsidRPr="00E10347">
        <w:rPr>
          <w:rFonts w:ascii="Palatino Linotype" w:hAnsi="Palatino Linotype" w:cs="Times New Roman"/>
          <w:i/>
          <w:spacing w:val="-3"/>
          <w:sz w:val="21"/>
          <w:szCs w:val="21"/>
        </w:rPr>
        <w:t>Las pruebas se apreciarán en su totalidad, conforme a criterios de lógica, experiencia, ciencia y correcto entendimiento humano, salvo texto legal que expresamente disponga una regla de apreciación diversa.</w:t>
      </w:r>
    </w:p>
    <w:p w:rsidR="00244C82" w:rsidRPr="00E10347" w:rsidRDefault="00244C82" w:rsidP="00E10347">
      <w:pPr>
        <w:ind w:right="49" w:firstLine="708"/>
        <w:jc w:val="both"/>
        <w:rPr>
          <w:rFonts w:ascii="Palatino Linotype" w:hAnsi="Palatino Linotype" w:cs="Times New Roman"/>
          <w:spacing w:val="-3"/>
          <w:sz w:val="21"/>
          <w:szCs w:val="21"/>
        </w:rPr>
      </w:pPr>
      <w:r w:rsidRPr="00E10347">
        <w:rPr>
          <w:rFonts w:ascii="Palatino Linotype" w:hAnsi="Palatino Linotype" w:cs="Times New Roman"/>
          <w:i/>
          <w:spacing w:val="-3"/>
          <w:sz w:val="21"/>
          <w:szCs w:val="21"/>
        </w:rPr>
        <w:t>La conducta de las partes durante el procedimiento podrá constituir un elemento de convicción ratificante de las pruebas</w:t>
      </w:r>
      <w:r w:rsidRPr="00E10347">
        <w:rPr>
          <w:rFonts w:ascii="Palatino Linotype" w:hAnsi="Palatino Linotype" w:cs="Times New Roman"/>
          <w:spacing w:val="-3"/>
          <w:sz w:val="21"/>
          <w:szCs w:val="21"/>
        </w:rPr>
        <w:t>” (art. 41.5 ncpc).</w:t>
      </w:r>
    </w:p>
    <w:p w:rsidR="00244C82" w:rsidRPr="00E10347" w:rsidRDefault="00244C82" w:rsidP="00E10347">
      <w:pPr>
        <w:ind w:right="49" w:firstLine="708"/>
        <w:jc w:val="both"/>
        <w:rPr>
          <w:rFonts w:ascii="Palatino Linotype" w:hAnsi="Palatino Linotype" w:cs="Times New Roman"/>
          <w:sz w:val="21"/>
          <w:szCs w:val="21"/>
        </w:rPr>
      </w:pPr>
      <w:r w:rsidRPr="00E10347">
        <w:rPr>
          <w:rFonts w:ascii="Palatino Linotype" w:hAnsi="Palatino Linotype" w:cs="Times New Roman"/>
          <w:spacing w:val="-3"/>
          <w:sz w:val="21"/>
          <w:szCs w:val="21"/>
        </w:rPr>
        <w:t>Véase que ni el mismo codificador fue tan estricto en ese sistema, pues deja abierta la posibilidad de aplicar reglas de apreciación diversa, que sobradamente existirán cuando se trata de disciplinas especiales o institutos particulares sobre los cuales el juzgador civil debe valorar los elementos probatorios, incluso con criterios de equidad.</w:t>
      </w:r>
    </w:p>
    <w:p w:rsidR="00244C82" w:rsidRPr="00E10347" w:rsidRDefault="00244C82" w:rsidP="00E10347">
      <w:pPr>
        <w:tabs>
          <w:tab w:val="left" w:pos="-720"/>
        </w:tabs>
        <w:suppressAutoHyphens/>
        <w:ind w:right="49"/>
        <w:jc w:val="both"/>
        <w:rPr>
          <w:rFonts w:ascii="Palatino Linotype" w:hAnsi="Palatino Linotype" w:cs="Times New Roman"/>
          <w:sz w:val="21"/>
          <w:szCs w:val="21"/>
        </w:rPr>
      </w:pPr>
      <w:r w:rsidRPr="00E10347">
        <w:rPr>
          <w:rFonts w:ascii="Palatino Linotype" w:hAnsi="Palatino Linotype" w:cs="Times New Roman"/>
          <w:sz w:val="21"/>
          <w:szCs w:val="21"/>
        </w:rPr>
        <w:lastRenderedPageBreak/>
        <w:tab/>
        <w:t>Hoy varias legislaciones y parte de la doctrina aceptan la prioridad del sistema de libre valoración probatoria o libertad de apreciación, que permite el ejercicio sin ataduras de la capacidad crítica del juzgador sobre la credibilidad y veracidad de los datos de hechos, sirviéndose de una selección adecuada de las máximas de experiencia, acordes con las particularidades de cada caso.</w:t>
      </w:r>
      <w:r w:rsidRPr="00E10347">
        <w:rPr>
          <w:rStyle w:val="Refdenotaalpie"/>
          <w:rFonts w:ascii="Palatino Linotype" w:hAnsi="Palatino Linotype" w:cs="Times New Roman"/>
          <w:sz w:val="21"/>
          <w:szCs w:val="21"/>
        </w:rPr>
        <w:footnoteReference w:id="564"/>
      </w:r>
    </w:p>
    <w:p w:rsidR="00244C82" w:rsidRPr="00E10347" w:rsidRDefault="00244C82" w:rsidP="00E10347">
      <w:pPr>
        <w:tabs>
          <w:tab w:val="left" w:pos="-720"/>
        </w:tabs>
        <w:suppressAutoHyphens/>
        <w:ind w:right="49"/>
        <w:jc w:val="both"/>
        <w:rPr>
          <w:rFonts w:ascii="Palatino Linotype" w:hAnsi="Palatino Linotype" w:cs="Times New Roman"/>
          <w:spacing w:val="-3"/>
          <w:sz w:val="21"/>
          <w:szCs w:val="21"/>
        </w:rPr>
      </w:pPr>
      <w:r w:rsidRPr="00E10347">
        <w:rPr>
          <w:rFonts w:ascii="Palatino Linotype" w:hAnsi="Palatino Linotype" w:cs="Times New Roman"/>
          <w:sz w:val="21"/>
          <w:szCs w:val="21"/>
        </w:rPr>
        <w:tab/>
      </w:r>
      <w:r w:rsidRPr="00E10347">
        <w:rPr>
          <w:rFonts w:ascii="Palatino Linotype" w:hAnsi="Palatino Linotype" w:cs="Times New Roman"/>
          <w:spacing w:val="-3"/>
          <w:sz w:val="21"/>
          <w:szCs w:val="21"/>
        </w:rPr>
        <w:t>En gran cantidad de ordenamientos jurídicos se insertan disposiciones que remiten a la libre valoración de la prueba. Una de las más claras y ejemplarizantes lo es la Ordenanza Procesal Civil Alemana (ZPO), en cuyo artículo 286 titulado Libre valoración de la Prueba dispone:  “</w:t>
      </w:r>
      <w:r w:rsidRPr="00E10347">
        <w:rPr>
          <w:rFonts w:ascii="Palatino Linotype" w:hAnsi="Palatino Linotype" w:cs="Times New Roman"/>
          <w:i/>
          <w:spacing w:val="-3"/>
          <w:sz w:val="21"/>
          <w:szCs w:val="21"/>
        </w:rPr>
        <w:t>El Tribunal tiene que decidir de acuerdo con su libre convencimiento teniendo en cuenta el contenido íntegro del proceso y el resultado de la realización de las pruebas, para así considerar una manifestación de hecho como verdadera o falsa. En la sentencia deben detallarse los motivos sobre la base de los cuales se arribó al convencimiento judicial”</w:t>
      </w:r>
      <w:r w:rsidRPr="00E10347">
        <w:rPr>
          <w:rFonts w:ascii="Palatino Linotype" w:hAnsi="Palatino Linotype" w:cs="Times New Roman"/>
          <w:spacing w:val="-3"/>
          <w:sz w:val="21"/>
          <w:szCs w:val="21"/>
        </w:rPr>
        <w:t>.</w:t>
      </w:r>
      <w:r w:rsidRPr="00E10347">
        <w:rPr>
          <w:rStyle w:val="Refdenotaalpie"/>
          <w:rFonts w:ascii="Palatino Linotype" w:hAnsi="Palatino Linotype" w:cs="Times New Roman"/>
          <w:spacing w:val="-3"/>
          <w:sz w:val="21"/>
          <w:szCs w:val="21"/>
        </w:rPr>
        <w:footnoteReference w:id="565"/>
      </w:r>
      <w:r w:rsidRPr="00E10347">
        <w:rPr>
          <w:rFonts w:ascii="Palatino Linotype" w:hAnsi="Palatino Linotype" w:cs="Times New Roman"/>
          <w:spacing w:val="-3"/>
          <w:sz w:val="21"/>
          <w:szCs w:val="21"/>
        </w:rPr>
        <w:t xml:space="preserve"> En general, en todos aquellos países que han logrado implantar el sistema de la oralidad, han debido regular  la libre apreciación de los medios de prueba.</w:t>
      </w:r>
    </w:p>
    <w:p w:rsidR="00244C82" w:rsidRPr="00E10347" w:rsidRDefault="00244C82" w:rsidP="00E10347">
      <w:pPr>
        <w:tabs>
          <w:tab w:val="left" w:pos="-720"/>
        </w:tabs>
        <w:suppressAutoHyphens/>
        <w:ind w:right="49"/>
        <w:jc w:val="both"/>
        <w:rPr>
          <w:rFonts w:ascii="Palatino Linotype" w:hAnsi="Palatino Linotype" w:cs="Times New Roman"/>
          <w:sz w:val="21"/>
          <w:szCs w:val="21"/>
        </w:rPr>
      </w:pPr>
      <w:r w:rsidRPr="00E10347">
        <w:rPr>
          <w:rFonts w:ascii="Palatino Linotype" w:hAnsi="Palatino Linotype" w:cs="Times New Roman"/>
          <w:spacing w:val="-3"/>
          <w:sz w:val="21"/>
          <w:szCs w:val="21"/>
        </w:rPr>
        <w:tab/>
      </w:r>
      <w:r w:rsidRPr="00E10347">
        <w:rPr>
          <w:rFonts w:ascii="Palatino Linotype" w:hAnsi="Palatino Linotype" w:cs="Times New Roman"/>
          <w:sz w:val="21"/>
          <w:szCs w:val="21"/>
        </w:rPr>
        <w:t>En Costa Rica el Derecho procesal social</w:t>
      </w:r>
      <w:r w:rsidRPr="00E10347">
        <w:rPr>
          <w:rStyle w:val="Refdenotaalpie"/>
          <w:rFonts w:ascii="Palatino Linotype" w:hAnsi="Palatino Linotype" w:cs="Times New Roman"/>
          <w:sz w:val="21"/>
          <w:szCs w:val="21"/>
        </w:rPr>
        <w:footnoteReference w:id="566"/>
      </w:r>
      <w:r w:rsidRPr="00E10347">
        <w:rPr>
          <w:rFonts w:ascii="Palatino Linotype" w:hAnsi="Palatino Linotype" w:cs="Times New Roman"/>
          <w:sz w:val="21"/>
          <w:szCs w:val="21"/>
        </w:rPr>
        <w:t xml:space="preserve">, tanto en materia laboral, como agraria, se ha forjado a través del sistema de libre valoración probatoria, como consecuencia del impacto de la oralidad.  Incluso esa es la tendencia en el moderno sistema procesal civil.  </w:t>
      </w:r>
    </w:p>
    <w:p w:rsidR="00244C82" w:rsidRPr="00E10347" w:rsidRDefault="00244C82" w:rsidP="00E10347">
      <w:pPr>
        <w:tabs>
          <w:tab w:val="left" w:pos="-720"/>
        </w:tabs>
        <w:suppressAutoHyphens/>
        <w:ind w:right="49"/>
        <w:jc w:val="both"/>
        <w:rPr>
          <w:rFonts w:ascii="Palatino Linotype" w:hAnsi="Palatino Linotype" w:cs="Times New Roman"/>
          <w:sz w:val="21"/>
          <w:szCs w:val="21"/>
        </w:rPr>
      </w:pPr>
      <w:r w:rsidRPr="00E10347">
        <w:rPr>
          <w:rFonts w:ascii="Palatino Linotype" w:hAnsi="Palatino Linotype" w:cs="Times New Roman"/>
          <w:sz w:val="21"/>
          <w:szCs w:val="21"/>
        </w:rPr>
        <w:tab/>
        <w:t>La Reforma Procesal Laboral, como se indicó más arriba, tiene como norte la búsqueda de la verdad real o material (artículos 421, 422 y 476 del CPL), y al inspirarse en lo anterior, establece como criterios de valoración en su artículo 481:</w:t>
      </w:r>
    </w:p>
    <w:p w:rsidR="00244C82" w:rsidRPr="00E10347" w:rsidRDefault="00244C82" w:rsidP="00E10347">
      <w:pPr>
        <w:tabs>
          <w:tab w:val="left" w:pos="-720"/>
        </w:tabs>
        <w:suppressAutoHyphens/>
        <w:ind w:right="49"/>
        <w:jc w:val="both"/>
        <w:rPr>
          <w:rFonts w:ascii="Palatino Linotype" w:hAnsi="Palatino Linotype" w:cs="Times New Roman"/>
          <w:i/>
          <w:sz w:val="21"/>
          <w:szCs w:val="21"/>
        </w:rPr>
      </w:pPr>
      <w:r w:rsidRPr="00E10347">
        <w:rPr>
          <w:rFonts w:ascii="Palatino Linotype" w:hAnsi="Palatino Linotype" w:cs="Times New Roman"/>
          <w:sz w:val="21"/>
          <w:szCs w:val="21"/>
        </w:rPr>
        <w:tab/>
      </w:r>
      <w:r w:rsidRPr="00E10347">
        <w:rPr>
          <w:rFonts w:ascii="Palatino Linotype" w:hAnsi="Palatino Linotype" w:cs="Times New Roman"/>
          <w:i/>
          <w:sz w:val="21"/>
          <w:szCs w:val="21"/>
        </w:rPr>
        <w:t>“Las pruebas se valorarán respetando el resultado del contradictorio, con criterios lógicos, de la experiencia, la ciencia, el correcto entendimiento humano y las presunciones humanas o legales.</w:t>
      </w:r>
    </w:p>
    <w:p w:rsidR="00244C82" w:rsidRPr="00E10347" w:rsidRDefault="00244C82" w:rsidP="00E10347">
      <w:pPr>
        <w:tabs>
          <w:tab w:val="left" w:pos="-720"/>
        </w:tabs>
        <w:suppressAutoHyphens/>
        <w:ind w:right="49"/>
        <w:jc w:val="both"/>
        <w:rPr>
          <w:rFonts w:ascii="Palatino Linotype" w:hAnsi="Palatino Linotype" w:cs="Times New Roman"/>
          <w:i/>
          <w:sz w:val="21"/>
          <w:szCs w:val="21"/>
        </w:rPr>
      </w:pPr>
      <w:r w:rsidRPr="00E10347">
        <w:rPr>
          <w:rFonts w:ascii="Palatino Linotype" w:hAnsi="Palatino Linotype" w:cs="Times New Roman"/>
          <w:i/>
          <w:sz w:val="21"/>
          <w:szCs w:val="21"/>
        </w:rPr>
        <w:tab/>
        <w:t xml:space="preserve">Deberán expresarse los fundamentos fácticos, jurídicos y de equidad de las </w:t>
      </w:r>
      <w:r w:rsidRPr="00E10347">
        <w:rPr>
          <w:rFonts w:ascii="Palatino Linotype" w:hAnsi="Palatino Linotype" w:cs="Times New Roman"/>
          <w:i/>
          <w:sz w:val="21"/>
          <w:szCs w:val="21"/>
        </w:rPr>
        <w:lastRenderedPageBreak/>
        <w:t>conclusiones y las razones por las cuales se les ha conferido menor o mayor valor a unas u otros.</w:t>
      </w:r>
    </w:p>
    <w:p w:rsidR="00244C82" w:rsidRPr="00E10347" w:rsidRDefault="00244C82" w:rsidP="00E10347">
      <w:pPr>
        <w:tabs>
          <w:tab w:val="left" w:pos="-720"/>
        </w:tabs>
        <w:suppressAutoHyphens/>
        <w:ind w:right="49"/>
        <w:jc w:val="both"/>
        <w:rPr>
          <w:rFonts w:ascii="Palatino Linotype" w:hAnsi="Palatino Linotype" w:cs="Times New Roman"/>
          <w:sz w:val="21"/>
          <w:szCs w:val="21"/>
        </w:rPr>
      </w:pPr>
      <w:r w:rsidRPr="00E10347">
        <w:rPr>
          <w:rFonts w:ascii="Palatino Linotype" w:hAnsi="Palatino Linotype" w:cs="Times New Roman"/>
          <w:i/>
          <w:sz w:val="21"/>
          <w:szCs w:val="21"/>
        </w:rPr>
        <w:tab/>
        <w:t>Si bien la apreciación debe llevarse a cabo de forma armónica en atención al conjunto probatorio, es prohibido hacer una referencia general a este último como único fundamento de una conclusión, sin hacer la indicación concreta de los elementos particulares y de derecho que sirven de apoyo</w:t>
      </w:r>
      <w:r w:rsidRPr="00E10347">
        <w:rPr>
          <w:rFonts w:ascii="Palatino Linotype" w:hAnsi="Palatino Linotype" w:cs="Times New Roman"/>
          <w:sz w:val="21"/>
          <w:szCs w:val="21"/>
        </w:rPr>
        <w:t>”.</w:t>
      </w:r>
    </w:p>
    <w:p w:rsidR="00244C82" w:rsidRPr="00E10347" w:rsidRDefault="00244C82" w:rsidP="00E10347">
      <w:pPr>
        <w:tabs>
          <w:tab w:val="left" w:pos="-720"/>
        </w:tabs>
        <w:suppressAutoHyphens/>
        <w:ind w:right="49"/>
        <w:jc w:val="both"/>
        <w:rPr>
          <w:rFonts w:ascii="Palatino Linotype" w:hAnsi="Palatino Linotype" w:cs="Times New Roman"/>
          <w:sz w:val="21"/>
          <w:szCs w:val="21"/>
        </w:rPr>
      </w:pPr>
      <w:r w:rsidRPr="00E10347">
        <w:rPr>
          <w:rFonts w:ascii="Palatino Linotype" w:hAnsi="Palatino Linotype" w:cs="Times New Roman"/>
          <w:sz w:val="21"/>
          <w:szCs w:val="21"/>
        </w:rPr>
        <w:tab/>
        <w:t>En consonancia con lo anterior, la propuesta del NpCPA, en su artículo 130 es mantener el sistema de libre apreciación probatoria, pero evitando apreciaciones subjetivas (o en conciencia), como siempre se había hecho en la práctica, y obligando a una apreciación global y objetiva de los elementos probatorios:</w:t>
      </w:r>
    </w:p>
    <w:p w:rsidR="00244C82" w:rsidRPr="00E10347" w:rsidRDefault="00244C82" w:rsidP="00E10347">
      <w:pPr>
        <w:pStyle w:val="Pa2"/>
        <w:spacing w:line="240" w:lineRule="auto"/>
        <w:ind w:right="49"/>
        <w:jc w:val="both"/>
        <w:rPr>
          <w:rFonts w:ascii="Palatino Linotype" w:hAnsi="Palatino Linotype" w:cs="Times New Roman"/>
          <w:i/>
          <w:sz w:val="21"/>
          <w:szCs w:val="21"/>
        </w:rPr>
      </w:pPr>
      <w:r w:rsidRPr="00E10347">
        <w:rPr>
          <w:rFonts w:ascii="Palatino Linotype" w:hAnsi="Palatino Linotype" w:cs="Times New Roman"/>
          <w:i/>
          <w:sz w:val="21"/>
          <w:szCs w:val="21"/>
        </w:rPr>
        <w:tab/>
        <w:t xml:space="preserve">“Las pruebas se valorarán bajo el principio de libre apreciación valoratoria. </w:t>
      </w:r>
    </w:p>
    <w:p w:rsidR="00244C82" w:rsidRPr="00E10347" w:rsidRDefault="00244C82" w:rsidP="00E10347">
      <w:pPr>
        <w:pStyle w:val="Pa2"/>
        <w:spacing w:line="240" w:lineRule="auto"/>
        <w:ind w:right="49" w:firstLine="708"/>
        <w:jc w:val="both"/>
        <w:rPr>
          <w:rFonts w:ascii="Palatino Linotype" w:hAnsi="Palatino Linotype" w:cs="Times New Roman"/>
          <w:i/>
          <w:sz w:val="21"/>
          <w:szCs w:val="21"/>
        </w:rPr>
      </w:pPr>
      <w:r w:rsidRPr="00E10347">
        <w:rPr>
          <w:rFonts w:ascii="Palatino Linotype" w:hAnsi="Palatino Linotype" w:cs="Times New Roman"/>
          <w:i/>
          <w:sz w:val="21"/>
          <w:szCs w:val="21"/>
        </w:rPr>
        <w:t>Deberán expresarse los fundamentos fácticos, jurídicos y de equidad de los motivos por los cuales se confirió mayor o menor valor a unas u otras probanzas. No se podrá hacer una referencia general al conjunto probatorio como fundamento de las conclusiones. Deberá siempre hacerse la indicación concreta de los elementos particulares que sirven de apoyo.”</w:t>
      </w:r>
    </w:p>
    <w:p w:rsidR="00244C82" w:rsidRPr="00E10347" w:rsidRDefault="00244C82" w:rsidP="00E10347">
      <w:pPr>
        <w:tabs>
          <w:tab w:val="left" w:pos="-720"/>
        </w:tabs>
        <w:suppressAutoHyphens/>
        <w:ind w:right="49"/>
        <w:jc w:val="both"/>
        <w:rPr>
          <w:rFonts w:ascii="Palatino Linotype" w:hAnsi="Palatino Linotype" w:cs="Times New Roman"/>
          <w:spacing w:val="-3"/>
          <w:sz w:val="21"/>
          <w:szCs w:val="21"/>
        </w:rPr>
      </w:pPr>
      <w:r w:rsidRPr="00E10347">
        <w:rPr>
          <w:rFonts w:ascii="Palatino Linotype" w:hAnsi="Palatino Linotype" w:cs="Times New Roman"/>
          <w:spacing w:val="-3"/>
          <w:sz w:val="21"/>
          <w:szCs w:val="21"/>
        </w:rPr>
        <w:tab/>
        <w:t xml:space="preserve">El proceso oral, la inmediatez y la concentración en la etapa probatoria, su desarrollo en el lugar de los hechos, en el campo con todas las inclemencias que ello podría significar, le permiten al juez de instancia valorar con amplitud los hechos de la demanda y la contestación, dentro del marco de lo debatido. </w:t>
      </w:r>
    </w:p>
    <w:p w:rsidR="00244C82" w:rsidRPr="00E10347" w:rsidRDefault="00244C82" w:rsidP="00E10347">
      <w:pPr>
        <w:ind w:right="49" w:firstLine="708"/>
        <w:jc w:val="both"/>
        <w:rPr>
          <w:rFonts w:ascii="Palatino Linotype" w:hAnsi="Palatino Linotype" w:cs="Times New Roman"/>
          <w:sz w:val="21"/>
          <w:szCs w:val="21"/>
        </w:rPr>
      </w:pPr>
      <w:r w:rsidRPr="00E10347">
        <w:rPr>
          <w:rFonts w:ascii="Palatino Linotype" w:hAnsi="Palatino Linotype" w:cs="Times New Roman"/>
          <w:sz w:val="21"/>
          <w:szCs w:val="21"/>
        </w:rPr>
        <w:t>La libre apreciación judicial de la prueba responde también al principio material, pues se le otorga amplia iniciativa al juzgador en materia de pruebas.  “Es, además, facultad suya evaluar libremente las pruebas y darle a cada una el valor que considere le corresponde, sin tener que sujetarse a una “tarifa” previamente determinada por la ley”.</w:t>
      </w:r>
      <w:r w:rsidRPr="00E10347">
        <w:rPr>
          <w:rStyle w:val="Refdenotaalpie"/>
          <w:rFonts w:ascii="Palatino Linotype" w:hAnsi="Palatino Linotype" w:cs="Times New Roman"/>
          <w:sz w:val="21"/>
          <w:szCs w:val="21"/>
        </w:rPr>
        <w:footnoteReference w:id="567"/>
      </w:r>
    </w:p>
    <w:p w:rsidR="00DD5619" w:rsidRDefault="00DD5619" w:rsidP="00E10347">
      <w:pPr>
        <w:pStyle w:val="Textoindependiente"/>
        <w:tabs>
          <w:tab w:val="left" w:pos="1425"/>
        </w:tabs>
        <w:spacing w:after="0"/>
        <w:ind w:right="49"/>
        <w:rPr>
          <w:rFonts w:ascii="Palatino Linotype" w:hAnsi="Palatino Linotype"/>
          <w:b/>
          <w:spacing w:val="-3"/>
          <w:sz w:val="21"/>
          <w:szCs w:val="21"/>
        </w:rPr>
      </w:pPr>
    </w:p>
    <w:p w:rsidR="00244C82" w:rsidRPr="00E10347" w:rsidRDefault="00244C82" w:rsidP="00E10347">
      <w:pPr>
        <w:pStyle w:val="Textoindependiente"/>
        <w:tabs>
          <w:tab w:val="left" w:pos="1425"/>
        </w:tabs>
        <w:spacing w:after="0"/>
        <w:ind w:right="49"/>
        <w:rPr>
          <w:rFonts w:ascii="Palatino Linotype" w:hAnsi="Palatino Linotype"/>
          <w:b/>
          <w:spacing w:val="-3"/>
          <w:sz w:val="21"/>
          <w:szCs w:val="21"/>
        </w:rPr>
      </w:pPr>
      <w:r w:rsidRPr="00E10347">
        <w:rPr>
          <w:rFonts w:ascii="Palatino Linotype" w:hAnsi="Palatino Linotype"/>
          <w:b/>
          <w:spacing w:val="-3"/>
          <w:sz w:val="21"/>
          <w:szCs w:val="21"/>
        </w:rPr>
        <w:t>9. La libre valoración no significa arbitrariedad. Límites del sistema.</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Pero también las personas que administran justicia en materia agraria pueden -inevitablemente- incurrir en error judicial al apreciar la prueba. Entre los múltiples factores que pueden conducir a la errónea  apreciación se apuntan los </w:t>
      </w:r>
      <w:r w:rsidRPr="00E10347">
        <w:rPr>
          <w:rFonts w:ascii="Palatino Linotype" w:hAnsi="Palatino Linotype" w:cs="Times New Roman"/>
          <w:sz w:val="21"/>
          <w:szCs w:val="21"/>
        </w:rPr>
        <w:lastRenderedPageBreak/>
        <w:t>siguientes: “defectos o insuficiencias en la observación o percepción de los hechos y en su asunción, descuidos en su estudio de conjunto, afecto o desafectos por las partes o la tesis, ignorancia de conocimientos psicológicos, jurídicos, morales, técnicos y de las máximas de experiencia que deben orientar su criterio, es decir, de la vida y de los hombres, deficiencia de capacidad razonadora o lógica, y posiblemente otros más.</w:t>
      </w:r>
      <w:r w:rsidRPr="00E10347">
        <w:rPr>
          <w:rStyle w:val="Refdenotaalpie"/>
          <w:rFonts w:ascii="Palatino Linotype" w:hAnsi="Palatino Linotype" w:cs="Times New Roman"/>
          <w:sz w:val="21"/>
          <w:szCs w:val="21"/>
        </w:rPr>
        <w:footnoteReference w:id="568"/>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Esos riesgos radican en el elemento humano</w:t>
      </w:r>
      <w:r w:rsidRPr="00E10347">
        <w:rPr>
          <w:rStyle w:val="Refdenotaalpie"/>
          <w:rFonts w:ascii="Palatino Linotype" w:hAnsi="Palatino Linotype" w:cs="Times New Roman"/>
          <w:sz w:val="21"/>
          <w:szCs w:val="21"/>
        </w:rPr>
        <w:footnoteReference w:id="569"/>
      </w:r>
      <w:r w:rsidRPr="00E10347">
        <w:rPr>
          <w:rFonts w:ascii="Palatino Linotype" w:hAnsi="Palatino Linotype" w:cs="Times New Roman"/>
          <w:sz w:val="21"/>
          <w:szCs w:val="21"/>
        </w:rPr>
        <w:t>, en la formación profesional, intelectual y moral de las personas juzgadoras.  De ahí que sea muy importante su preparación y su especialización.</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Como lo indica el procesalista colombiano, Campos Ribera:  “Debe tenerse en cuenta, sin embargo, que el principio de la libre apreciación judicial de la prueba no les otorga a los jueces una libertad absoluta e irresponsable en materia probatoria para la formación de su convencimiento. Todo lo contrario, ella debe basarse en la sana crítica y en la persuasión racional. De ahí que les sea obligatorio indicar en la parte motiva de sus sentencias los hechos y circunstancias que los han llevado a adoptar una u otra determinación…De esta manera, solo las pruebas allegadas oportunamente al proceso pueden ser objeto de evaluación. Si el juez sabe de la existencia de otras, su obligación es decretarlas de oficio, pero si no lo hace, en ningún caso podrá tenerlas en cuenta para adoptar su decisión.”</w:t>
      </w:r>
      <w:r w:rsidRPr="00E10347">
        <w:rPr>
          <w:rStyle w:val="Refdenotaalpie"/>
          <w:rFonts w:ascii="Palatino Linotype" w:hAnsi="Palatino Linotype" w:cs="Times New Roman"/>
          <w:sz w:val="21"/>
          <w:szCs w:val="21"/>
        </w:rPr>
        <w:footnoteReference w:id="570"/>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El Juez Agrario debe tener experiencia y conocer todo el bagaje cultural del campo, del comportamiento y forma de ser y pensar de los campesinos, agricultores y empresarios agrarios.  Durante toda su vida, puede ir acumulando gran cantidad de experiencias. El intercambio cultural en el lugar de los hechos, a su vez, va retroalimentando al Juzgador en sus máximas de experiencia.</w:t>
      </w:r>
    </w:p>
    <w:p w:rsidR="00244C82" w:rsidRPr="00E10347" w:rsidRDefault="00244C82" w:rsidP="00E10347">
      <w:pPr>
        <w:ind w:right="49"/>
        <w:jc w:val="both"/>
        <w:rPr>
          <w:rFonts w:ascii="Palatino Linotype" w:hAnsi="Palatino Linotype" w:cs="Times New Roman"/>
          <w:sz w:val="21"/>
          <w:szCs w:val="21"/>
        </w:rPr>
      </w:pPr>
      <w:r w:rsidRPr="00E10347">
        <w:rPr>
          <w:rFonts w:ascii="Palatino Linotype" w:hAnsi="Palatino Linotype" w:cs="Times New Roman"/>
          <w:sz w:val="21"/>
          <w:szCs w:val="21"/>
        </w:rPr>
        <w:tab/>
        <w:t xml:space="preserve">La experiencia de vida, la exige la Ley y la Jurisprudencia Constitucional incluso para ser calificado como un buen juez: “Para ser buen juez no es suficiente poseer una gran capacidad de análisis jurídico, y amplios conocimientos doctrinarios en las diversas ramas del derecho; además se requiere conocimiento </w:t>
      </w:r>
      <w:r w:rsidRPr="00E10347">
        <w:rPr>
          <w:rFonts w:ascii="Palatino Linotype" w:hAnsi="Palatino Linotype" w:cs="Times New Roman"/>
          <w:sz w:val="21"/>
          <w:szCs w:val="21"/>
        </w:rPr>
        <w:lastRenderedPageBreak/>
        <w:t xml:space="preserve">de la experiencia común y de la vida en general. </w:t>
      </w:r>
      <w:r w:rsidRPr="00E10347">
        <w:rPr>
          <w:rStyle w:val="Refdenotaalpie"/>
          <w:rFonts w:ascii="Palatino Linotype" w:hAnsi="Palatino Linotype" w:cs="Times New Roman"/>
          <w:sz w:val="21"/>
          <w:szCs w:val="21"/>
        </w:rPr>
        <w:footnoteReference w:id="571"/>
      </w:r>
    </w:p>
    <w:p w:rsidR="00DD5619" w:rsidRDefault="00DD5619" w:rsidP="00E10347">
      <w:pPr>
        <w:pStyle w:val="Sangranormal"/>
        <w:spacing w:line="240" w:lineRule="auto"/>
        <w:ind w:right="49" w:firstLine="0"/>
        <w:rPr>
          <w:rFonts w:ascii="Palatino Linotype" w:hAnsi="Palatino Linotype"/>
          <w:b/>
          <w:sz w:val="21"/>
          <w:szCs w:val="21"/>
        </w:rPr>
      </w:pPr>
    </w:p>
    <w:p w:rsidR="00244C82" w:rsidRPr="00E10347" w:rsidRDefault="00244C82" w:rsidP="00E10347">
      <w:pPr>
        <w:pStyle w:val="Sangranormal"/>
        <w:spacing w:line="240" w:lineRule="auto"/>
        <w:ind w:right="49" w:firstLine="0"/>
        <w:rPr>
          <w:rFonts w:ascii="Palatino Linotype" w:hAnsi="Palatino Linotype"/>
          <w:sz w:val="21"/>
          <w:szCs w:val="21"/>
        </w:rPr>
      </w:pPr>
      <w:r w:rsidRPr="00E10347">
        <w:rPr>
          <w:rFonts w:ascii="Palatino Linotype" w:hAnsi="Palatino Linotype"/>
          <w:b/>
          <w:sz w:val="21"/>
          <w:szCs w:val="21"/>
        </w:rPr>
        <w:t>10.- Consideraciones finales.</w:t>
      </w:r>
      <w:r w:rsidRPr="00E10347">
        <w:rPr>
          <w:rFonts w:ascii="Palatino Linotype" w:hAnsi="Palatino Linotype"/>
          <w:sz w:val="21"/>
          <w:szCs w:val="21"/>
        </w:rPr>
        <w:t>-</w:t>
      </w:r>
    </w:p>
    <w:p w:rsidR="00244C82" w:rsidRPr="00E10347" w:rsidRDefault="00244C82" w:rsidP="00E10347">
      <w:pPr>
        <w:ind w:right="49" w:firstLine="708"/>
        <w:jc w:val="both"/>
        <w:rPr>
          <w:rFonts w:ascii="Palatino Linotype" w:hAnsi="Palatino Linotype" w:cs="Times New Roman"/>
          <w:sz w:val="21"/>
          <w:szCs w:val="21"/>
          <w:lang w:val="es-ES_tradnl" w:eastAsia="es-CR"/>
        </w:rPr>
      </w:pPr>
      <w:r w:rsidRPr="00E10347">
        <w:rPr>
          <w:rFonts w:ascii="Palatino Linotype" w:hAnsi="Palatino Linotype" w:cs="Times New Roman"/>
          <w:sz w:val="21"/>
          <w:szCs w:val="21"/>
          <w:lang w:val="es-ES_tradnl" w:eastAsia="es-CR"/>
        </w:rPr>
        <w:t>La mayor parte de las regulaciones que contiene el NpCPA son copia de las disposiciones del NCPC, y como consecuencia, producto del proyecto del Código General del Proceso, por lo que consideramos que bastaría con una remisión a éste para su aplicación. Incluso algunas normas tienen mayor claridad y comprensión.</w:t>
      </w:r>
    </w:p>
    <w:p w:rsidR="00244C82" w:rsidRPr="00E10347" w:rsidRDefault="00244C82" w:rsidP="00E10347">
      <w:pPr>
        <w:ind w:right="49"/>
        <w:jc w:val="both"/>
        <w:rPr>
          <w:rFonts w:ascii="Palatino Linotype" w:hAnsi="Palatino Linotype" w:cs="Times New Roman"/>
          <w:sz w:val="21"/>
          <w:szCs w:val="21"/>
          <w:lang w:val="es-ES_tradnl" w:eastAsia="es-CR"/>
        </w:rPr>
      </w:pPr>
      <w:r w:rsidRPr="00E10347">
        <w:rPr>
          <w:rFonts w:ascii="Palatino Linotype" w:hAnsi="Palatino Linotype" w:cs="Times New Roman"/>
          <w:sz w:val="21"/>
          <w:szCs w:val="21"/>
          <w:lang w:val="es-ES_tradnl" w:eastAsia="es-CR"/>
        </w:rPr>
        <w:tab/>
        <w:t>Es importante considerar siempre las características particulares de la materia agraria y hacer respetar los principios propios de la misma, sobre todo en lo que se refiere a la aportación de las partes, y oficiosa por parte de las personas juzgadoras agrarias. Todo ello incide en el fin primordial del proceso agrario, fijado por el legislador, cual es el descubrimiento de la verdad real o material.</w:t>
      </w:r>
    </w:p>
    <w:p w:rsidR="007506C0" w:rsidRPr="00E10347" w:rsidRDefault="00244C82" w:rsidP="00E10347">
      <w:pPr>
        <w:ind w:right="49"/>
        <w:jc w:val="both"/>
        <w:rPr>
          <w:rFonts w:ascii="Palatino Linotype" w:hAnsi="Palatino Linotype" w:cs="Times New Roman"/>
          <w:sz w:val="21"/>
          <w:szCs w:val="21"/>
          <w:lang w:val="es-ES_tradnl" w:eastAsia="es-CR"/>
        </w:rPr>
      </w:pPr>
      <w:r w:rsidRPr="00E10347">
        <w:rPr>
          <w:rFonts w:ascii="Palatino Linotype" w:hAnsi="Palatino Linotype" w:cs="Times New Roman"/>
          <w:sz w:val="21"/>
          <w:szCs w:val="21"/>
          <w:lang w:val="es-ES_tradnl" w:eastAsia="es-CR"/>
        </w:rPr>
        <w:tab/>
        <w:t>Además, se rescata el hecho de que se mantiene el principio de libre valoración de la prueba</w:t>
      </w:r>
      <w:r w:rsidRPr="00E10347">
        <w:rPr>
          <w:rStyle w:val="Refdenotaalpie"/>
          <w:rFonts w:ascii="Palatino Linotype" w:hAnsi="Palatino Linotype" w:cs="Times New Roman"/>
          <w:sz w:val="21"/>
          <w:szCs w:val="21"/>
          <w:lang w:val="es-ES_tradnl" w:eastAsia="es-CR"/>
        </w:rPr>
        <w:footnoteReference w:id="572"/>
      </w:r>
      <w:r w:rsidRPr="00E10347">
        <w:rPr>
          <w:rFonts w:ascii="Palatino Linotype" w:hAnsi="Palatino Linotype" w:cs="Times New Roman"/>
          <w:sz w:val="21"/>
          <w:szCs w:val="21"/>
          <w:lang w:val="es-ES_tradnl" w:eastAsia="es-CR"/>
        </w:rPr>
        <w:t xml:space="preserve">, y la necesidad de que el juez valore integralmente la </w:t>
      </w:r>
      <w:r w:rsidRPr="00E10347">
        <w:rPr>
          <w:rFonts w:ascii="Palatino Linotype" w:hAnsi="Palatino Linotype" w:cs="Times New Roman"/>
          <w:sz w:val="21"/>
          <w:szCs w:val="21"/>
          <w:lang w:val="es-ES_tradnl" w:eastAsia="es-CR"/>
        </w:rPr>
        <w:lastRenderedPageBreak/>
        <w:t>prueba, con criterios objetivos, y exprese en sus sentencias no solamente los criterios de hecho y de derecho, sino también los criterios de equidad.</w:t>
      </w:r>
    </w:p>
    <w:p w:rsidR="00C72A23" w:rsidRDefault="00C72A23" w:rsidP="00E10347">
      <w:pPr>
        <w:ind w:firstLine="709"/>
        <w:jc w:val="center"/>
        <w:rPr>
          <w:rFonts w:ascii="Palatino Linotype" w:hAnsi="Palatino Linotype"/>
          <w:b/>
          <w:sz w:val="21"/>
          <w:szCs w:val="21"/>
        </w:rPr>
        <w:sectPr w:rsidR="00C72A23" w:rsidSect="00FC1DF6">
          <w:headerReference w:type="even" r:id="rId60"/>
          <w:headerReference w:type="default" r:id="rId61"/>
          <w:type w:val="oddPage"/>
          <w:pgSz w:w="12240" w:h="15840" w:code="1"/>
          <w:pgMar w:top="1667" w:right="851" w:bottom="4253" w:left="3686" w:header="1021" w:footer="3005" w:gutter="0"/>
          <w:cols w:space="708"/>
          <w:titlePg/>
          <w:docGrid w:linePitch="360"/>
        </w:sectPr>
      </w:pPr>
    </w:p>
    <w:p w:rsidR="00244C82" w:rsidRPr="00E10347" w:rsidRDefault="00244C82" w:rsidP="00E10347">
      <w:pPr>
        <w:ind w:firstLine="709"/>
        <w:jc w:val="center"/>
        <w:rPr>
          <w:rFonts w:ascii="Palatino Linotype" w:hAnsi="Palatino Linotype"/>
          <w:b/>
          <w:sz w:val="21"/>
          <w:szCs w:val="21"/>
        </w:rPr>
      </w:pPr>
      <w:bookmarkStart w:id="69" w:name="_Hlk479198207"/>
      <w:r w:rsidRPr="00E10347">
        <w:rPr>
          <w:rFonts w:ascii="Palatino Linotype" w:hAnsi="Palatino Linotype"/>
          <w:b/>
          <w:sz w:val="21"/>
          <w:szCs w:val="21"/>
        </w:rPr>
        <w:lastRenderedPageBreak/>
        <w:t xml:space="preserve">Una concepción minimalista y garantista </w:t>
      </w:r>
    </w:p>
    <w:p w:rsidR="00244C82" w:rsidRPr="00E10347" w:rsidRDefault="00244C82" w:rsidP="00E10347">
      <w:pPr>
        <w:ind w:firstLine="709"/>
        <w:jc w:val="center"/>
        <w:rPr>
          <w:rFonts w:ascii="Palatino Linotype" w:hAnsi="Palatino Linotype"/>
          <w:b/>
          <w:sz w:val="21"/>
          <w:szCs w:val="21"/>
        </w:rPr>
      </w:pPr>
      <w:r w:rsidRPr="00E10347">
        <w:rPr>
          <w:rFonts w:ascii="Palatino Linotype" w:hAnsi="Palatino Linotype"/>
          <w:b/>
          <w:sz w:val="21"/>
          <w:szCs w:val="21"/>
        </w:rPr>
        <w:t>de la presunción de inocencia</w:t>
      </w:r>
      <w:r w:rsidRPr="00E10347">
        <w:rPr>
          <w:rStyle w:val="Refdenotaalpie"/>
          <w:rFonts w:ascii="Palatino Linotype" w:hAnsi="Palatino Linotype"/>
          <w:b/>
          <w:sz w:val="21"/>
          <w:szCs w:val="21"/>
        </w:rPr>
        <w:footnoteReference w:customMarkFollows="1" w:id="573"/>
        <w:sym w:font="Symbol" w:char="F0B7"/>
      </w:r>
    </w:p>
    <w:p w:rsidR="00244C82" w:rsidRPr="00E10347" w:rsidRDefault="00244C82" w:rsidP="00E10347">
      <w:pPr>
        <w:ind w:firstLine="709"/>
        <w:jc w:val="center"/>
        <w:rPr>
          <w:rFonts w:ascii="Palatino Linotype" w:hAnsi="Palatino Linotype"/>
          <w:sz w:val="21"/>
          <w:szCs w:val="21"/>
        </w:rPr>
      </w:pPr>
    </w:p>
    <w:p w:rsidR="00244C82" w:rsidRPr="00E10347" w:rsidRDefault="00244C82" w:rsidP="00E10347">
      <w:pPr>
        <w:ind w:left="2124" w:firstLine="709"/>
        <w:jc w:val="center"/>
        <w:rPr>
          <w:rFonts w:ascii="Palatino Linotype" w:hAnsi="Palatino Linotype"/>
          <w:sz w:val="21"/>
          <w:szCs w:val="21"/>
        </w:rPr>
      </w:pPr>
      <w:r w:rsidRPr="00E10347">
        <w:rPr>
          <w:rFonts w:ascii="Palatino Linotype" w:hAnsi="Palatino Linotype"/>
          <w:sz w:val="21"/>
          <w:szCs w:val="21"/>
        </w:rPr>
        <w:t>Jordi Ferrer Beltrán</w:t>
      </w:r>
      <w:bookmarkEnd w:id="69"/>
    </w:p>
    <w:p w:rsidR="00244C82" w:rsidRDefault="00244C82" w:rsidP="00E10347">
      <w:pPr>
        <w:ind w:left="2124" w:firstLine="709"/>
        <w:jc w:val="center"/>
        <w:rPr>
          <w:rFonts w:ascii="Palatino Linotype" w:hAnsi="Palatino Linotype"/>
          <w:sz w:val="21"/>
          <w:szCs w:val="21"/>
        </w:rPr>
      </w:pPr>
      <w:r w:rsidRPr="00E10347">
        <w:rPr>
          <w:rFonts w:ascii="Palatino Linotype" w:hAnsi="Palatino Linotype"/>
          <w:sz w:val="21"/>
          <w:szCs w:val="21"/>
        </w:rPr>
        <w:t>Universitat de Girona</w:t>
      </w:r>
    </w:p>
    <w:p w:rsidR="00A05EF6" w:rsidRDefault="00A05EF6" w:rsidP="00A05EF6">
      <w:pPr>
        <w:rPr>
          <w:rFonts w:ascii="Palatino Linotype" w:hAnsi="Palatino Linotype"/>
          <w:sz w:val="21"/>
          <w:szCs w:val="21"/>
        </w:rPr>
      </w:pPr>
    </w:p>
    <w:p w:rsidR="00A05EF6" w:rsidRPr="00E10347" w:rsidRDefault="00A05EF6" w:rsidP="00A05EF6">
      <w:pPr>
        <w:rPr>
          <w:rFonts w:ascii="Palatino Linotype" w:hAnsi="Palatino Linotype"/>
          <w:sz w:val="21"/>
          <w:szCs w:val="21"/>
        </w:rPr>
      </w:pPr>
      <w:r w:rsidRPr="00D1279A">
        <w:rPr>
          <w:rFonts w:ascii="Palatino Linotype" w:hAnsi="Palatino Linotype"/>
          <w:sz w:val="21"/>
          <w:szCs w:val="21"/>
        </w:rPr>
        <w:t>SUMARIO:  1.- Introducción.  2.- Las distintas facetas de la presunción de inocencia.  2.1. La dimensión extraprocesal de la presunción de inocencia.  2.2. La dimensión procesal de la presunción de inocencia.  1.2.1. La presunción de inocencia como principio informador del proceso penal.  1.2.2 La presunción de inocencia como regla de trato procesal.  1.2.3. La presunción de inocencia como regla probatoria.  1.2.4 La presunción de inocencia como regla de juicio.  2.- De nuevo sobre la presunción de inocencia como regla sobre la carga de la prueba.  Conclusión</w:t>
      </w:r>
    </w:p>
    <w:p w:rsidR="00244C82" w:rsidRPr="00E10347" w:rsidRDefault="00244C82" w:rsidP="00E10347">
      <w:pPr>
        <w:ind w:firstLine="709"/>
        <w:jc w:val="both"/>
        <w:rPr>
          <w:rFonts w:ascii="Palatino Linotype" w:hAnsi="Palatino Linotype"/>
          <w:b/>
          <w:sz w:val="21"/>
          <w:szCs w:val="21"/>
        </w:rPr>
      </w:pPr>
    </w:p>
    <w:p w:rsidR="00244C82" w:rsidRPr="00E10347" w:rsidRDefault="00244C82" w:rsidP="00E10347">
      <w:pPr>
        <w:widowControl/>
        <w:autoSpaceDE/>
        <w:autoSpaceDN/>
        <w:adjustRightInd/>
        <w:jc w:val="both"/>
        <w:rPr>
          <w:rFonts w:ascii="Palatino Linotype" w:hAnsi="Palatino Linotype"/>
          <w:b/>
          <w:sz w:val="21"/>
          <w:szCs w:val="21"/>
        </w:rPr>
      </w:pPr>
      <w:r w:rsidRPr="00E10347">
        <w:rPr>
          <w:rFonts w:ascii="Palatino Linotype" w:hAnsi="Palatino Linotype"/>
          <w:b/>
          <w:sz w:val="21"/>
          <w:szCs w:val="21"/>
        </w:rPr>
        <w:t>Introducción</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A pesar del reciente reconocimiento en el derecho español del derecho fundamental a la presunción de inocencia o, quizás, precisamente por ello, han sido muchos los trabajos dedicados a su análisis y se cuentan por miles las sentencias en las que el alcance de ese derecho y de su protección ha sido el objeto principal de debate.</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En efecto, la vigente Constitución de 1978 es el primer texto jurídico español en el que se reconoce expresamente y con ese nombre el derecho a la presunción de inocencia en el proceso penal</w:t>
      </w:r>
      <w:r w:rsidRPr="00E10347">
        <w:rPr>
          <w:rStyle w:val="Refdenotaalpie"/>
          <w:rFonts w:ascii="Palatino Linotype" w:hAnsi="Palatino Linotype"/>
          <w:sz w:val="21"/>
          <w:szCs w:val="21"/>
        </w:rPr>
        <w:footnoteReference w:id="574"/>
      </w:r>
      <w:r w:rsidRPr="00E10347">
        <w:rPr>
          <w:rFonts w:ascii="Palatino Linotype" w:hAnsi="Palatino Linotype"/>
          <w:sz w:val="21"/>
          <w:szCs w:val="21"/>
        </w:rPr>
        <w:t xml:space="preserve">. Ello no supone, evidentemente, que este derecho, o </w:t>
      </w:r>
      <w:r w:rsidRPr="00E10347">
        <w:rPr>
          <w:rFonts w:ascii="Palatino Linotype" w:hAnsi="Palatino Linotype"/>
          <w:sz w:val="21"/>
          <w:szCs w:val="21"/>
        </w:rPr>
        <w:lastRenderedPageBreak/>
        <w:t xml:space="preserve">alguna de sus facetas, fuera totalmente desconocido para el derecho español anterior a esa fecha. De hecho, el propio Tribunal Constitucional ha repetido a menudo en su primera jurisprudencia que la presunción de inocencia reconocida en el texto constitucional suponía la constitucionalización del </w:t>
      </w:r>
      <w:r w:rsidRPr="00E10347">
        <w:rPr>
          <w:rFonts w:ascii="Palatino Linotype" w:hAnsi="Palatino Linotype"/>
          <w:i/>
          <w:sz w:val="21"/>
          <w:szCs w:val="21"/>
        </w:rPr>
        <w:t>in dubio pro reo</w:t>
      </w:r>
      <w:r w:rsidRPr="00E10347">
        <w:rPr>
          <w:rFonts w:ascii="Palatino Linotype" w:hAnsi="Palatino Linotype"/>
          <w:sz w:val="21"/>
          <w:szCs w:val="21"/>
        </w:rPr>
        <w:t>, tradicionalmente presente en el derecho procesal penal a nivel legislativo</w:t>
      </w:r>
      <w:r w:rsidRPr="00E10347">
        <w:rPr>
          <w:rStyle w:val="Refdenotaalpie"/>
          <w:rFonts w:ascii="Palatino Linotype" w:hAnsi="Palatino Linotype"/>
          <w:sz w:val="21"/>
          <w:szCs w:val="21"/>
        </w:rPr>
        <w:footnoteReference w:id="575"/>
      </w:r>
      <w:r w:rsidRPr="00E10347">
        <w:rPr>
          <w:rFonts w:ascii="Palatino Linotype" w:hAnsi="Palatino Linotype"/>
          <w:sz w:val="21"/>
          <w:szCs w:val="21"/>
        </w:rPr>
        <w:t xml:space="preserve">. </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 xml:space="preserve">A partir de ahí, la abundante jurisprudencia sobre la presunción de inocencia, tanto del Tribunal Constitucional como del Tribunal Supremo, así como la dogmática procesal y penal, que en este punto ha seguido sin demasiados titubeos y a menudo de forma poco crítica la doctrina desarrollada jurisprudencialmente, han dado forma a un derecho a la presunción de inocencia de carácter poliédrico. </w:t>
      </w:r>
      <w:r w:rsidRPr="00E10347">
        <w:rPr>
          <w:rFonts w:ascii="Palatino Linotype" w:hAnsi="Palatino Linotype"/>
          <w:sz w:val="21"/>
          <w:szCs w:val="21"/>
        </w:rPr>
        <w:lastRenderedPageBreak/>
        <w:t xml:space="preserve">En ocasiones pareciera incluso que el mayor reconocimiento de la importancia de tal derecho se llevara a cabo dotándolo de cada vez más facetas, más aspectos del proceso que quedaran predeterminados por él.  </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Pues bien, el objeto de este trabajo no es llevar a cabo un análisis teórico acerca, por ejemplo, del carácter de falsa presunción de la presunción de inocencia</w:t>
      </w:r>
      <w:r w:rsidRPr="00E10347">
        <w:rPr>
          <w:rStyle w:val="Refdenotaalpie"/>
          <w:rFonts w:ascii="Palatino Linotype" w:hAnsi="Palatino Linotype"/>
          <w:sz w:val="21"/>
          <w:szCs w:val="21"/>
        </w:rPr>
        <w:footnoteReference w:id="576"/>
      </w:r>
      <w:r w:rsidRPr="00E10347">
        <w:rPr>
          <w:rFonts w:ascii="Palatino Linotype" w:hAnsi="Palatino Linotype"/>
          <w:sz w:val="21"/>
          <w:szCs w:val="21"/>
        </w:rPr>
        <w:t>. Pretendo realizar, en cambio, más bien un ejercicio de metajurisprudencia, analizando las diversas caras del poliédrico derecho en el que la doctrina, especialmente del Tribunal Constitucional español, ha convertido a la presunción de inocencia. Sostendré que muchas de esas caras del poliedro son absolutamente irrelevantes, por cuanto al estar ya protegidas por otros derechos fundamentales, la situación jurídica del ciudadano no variaría si el diseño de la presunción de inocencia no las abarcara. Y, en cambio, que la operatividad como garantía procesal de la presunción de inocencia exige disponer de un estándar de prueba intersubjetivamente controlable, lo que hoy estamos lejos de tener.</w:t>
      </w:r>
    </w:p>
    <w:p w:rsidR="00DD5619" w:rsidRDefault="00DD5619" w:rsidP="00E10347">
      <w:pPr>
        <w:widowControl/>
        <w:autoSpaceDE/>
        <w:autoSpaceDN/>
        <w:adjustRightInd/>
        <w:jc w:val="both"/>
        <w:rPr>
          <w:rFonts w:ascii="Palatino Linotype" w:hAnsi="Palatino Linotype"/>
          <w:b/>
          <w:sz w:val="21"/>
          <w:szCs w:val="21"/>
        </w:rPr>
      </w:pPr>
    </w:p>
    <w:p w:rsidR="00244C82" w:rsidRPr="00E10347" w:rsidRDefault="007506C0" w:rsidP="00E10347">
      <w:pPr>
        <w:widowControl/>
        <w:autoSpaceDE/>
        <w:autoSpaceDN/>
        <w:adjustRightInd/>
        <w:jc w:val="both"/>
        <w:rPr>
          <w:rFonts w:ascii="Palatino Linotype" w:hAnsi="Palatino Linotype"/>
          <w:b/>
          <w:sz w:val="21"/>
          <w:szCs w:val="21"/>
        </w:rPr>
      </w:pPr>
      <w:r w:rsidRPr="00E10347">
        <w:rPr>
          <w:rFonts w:ascii="Palatino Linotype" w:hAnsi="Palatino Linotype"/>
          <w:b/>
          <w:sz w:val="21"/>
          <w:szCs w:val="21"/>
        </w:rPr>
        <w:t xml:space="preserve">2.- </w:t>
      </w:r>
      <w:r w:rsidR="00244C82" w:rsidRPr="00E10347">
        <w:rPr>
          <w:rFonts w:ascii="Palatino Linotype" w:hAnsi="Palatino Linotype"/>
          <w:b/>
          <w:sz w:val="21"/>
          <w:szCs w:val="21"/>
        </w:rPr>
        <w:t>Las distintas facetas de la presunción de inocencia</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Como acabo de señalar, la presunción de inocencia se configura, en su desarrollo jurisprudencial como un haz de derechos, procesales y extraprocesales, que constituyen las distintas facetas de la presunción (STC 111/1999) y que merecen una atención detallada. Analizaré críticamente cada una de esas facetas y algunos de los problemas que plantean.</w:t>
      </w:r>
    </w:p>
    <w:p w:rsidR="00DD5619" w:rsidRDefault="00DD5619" w:rsidP="00E10347">
      <w:pPr>
        <w:widowControl/>
        <w:autoSpaceDE/>
        <w:autoSpaceDN/>
        <w:adjustRightInd/>
        <w:jc w:val="both"/>
        <w:rPr>
          <w:rFonts w:ascii="Palatino Linotype" w:hAnsi="Palatino Linotype"/>
          <w:b/>
          <w:sz w:val="21"/>
          <w:szCs w:val="21"/>
        </w:rPr>
      </w:pPr>
    </w:p>
    <w:p w:rsidR="00244C82" w:rsidRPr="00E10347" w:rsidRDefault="001E59C2" w:rsidP="00E10347">
      <w:pPr>
        <w:widowControl/>
        <w:autoSpaceDE/>
        <w:autoSpaceDN/>
        <w:adjustRightInd/>
        <w:jc w:val="both"/>
        <w:rPr>
          <w:rFonts w:ascii="Palatino Linotype" w:hAnsi="Palatino Linotype"/>
          <w:b/>
          <w:sz w:val="21"/>
          <w:szCs w:val="21"/>
        </w:rPr>
      </w:pPr>
      <w:r w:rsidRPr="00E10347">
        <w:rPr>
          <w:rFonts w:ascii="Palatino Linotype" w:hAnsi="Palatino Linotype"/>
          <w:b/>
          <w:sz w:val="21"/>
          <w:szCs w:val="21"/>
        </w:rPr>
        <w:t xml:space="preserve">2.1. </w:t>
      </w:r>
      <w:r w:rsidR="00244C82" w:rsidRPr="00E10347">
        <w:rPr>
          <w:rFonts w:ascii="Palatino Linotype" w:hAnsi="Palatino Linotype"/>
          <w:b/>
          <w:sz w:val="21"/>
          <w:szCs w:val="21"/>
        </w:rPr>
        <w:t>La dimensión extraprocesal de la presunción de inocencia</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Más allá de los aspectos estrictamente procesales</w:t>
      </w:r>
      <w:r w:rsidRPr="00E10347">
        <w:rPr>
          <w:rStyle w:val="Refdenotaalpie"/>
          <w:rFonts w:ascii="Palatino Linotype" w:hAnsi="Palatino Linotype"/>
          <w:sz w:val="21"/>
          <w:szCs w:val="21"/>
        </w:rPr>
        <w:footnoteReference w:id="577"/>
      </w:r>
      <w:r w:rsidRPr="00E10347">
        <w:rPr>
          <w:rFonts w:ascii="Palatino Linotype" w:hAnsi="Palatino Linotype"/>
          <w:sz w:val="21"/>
          <w:szCs w:val="21"/>
        </w:rPr>
        <w:t xml:space="preserve"> que se declaran inherentes a la presunción de inocencia, éste tendría también un espacio como derecho fuera del proceso judicial. En efecto, el Tribunal Constitucional ha establecido que la presunción de inocencia también </w:t>
      </w:r>
    </w:p>
    <w:p w:rsidR="00244C82" w:rsidRPr="00E10347" w:rsidRDefault="00244C82" w:rsidP="00E10347">
      <w:pPr>
        <w:ind w:left="540" w:firstLine="709"/>
        <w:jc w:val="both"/>
        <w:rPr>
          <w:rFonts w:ascii="Palatino Linotype" w:hAnsi="Palatino Linotype"/>
          <w:sz w:val="21"/>
          <w:szCs w:val="21"/>
        </w:rPr>
      </w:pPr>
      <w:r w:rsidRPr="00E10347">
        <w:rPr>
          <w:rFonts w:ascii="Palatino Linotype" w:hAnsi="Palatino Linotype"/>
          <w:sz w:val="21"/>
          <w:szCs w:val="21"/>
        </w:rPr>
        <w:t>“opera en situaciones extraprocesales y constituye el derecho a recibir la consideración y el trato de no autor o no partícipe en hechos de carácter delictivo o análogos a éstos y determina por ende el derecho a que no se apliquen las consecuencias o los efectos jurídicos anudados a hechos de tal naturaleza a las relaciones jurídicas de todo tipo” (STC 109/1986, F.J. 1º)</w:t>
      </w:r>
      <w:r w:rsidRPr="00E10347">
        <w:rPr>
          <w:rStyle w:val="Refdenotaalpie"/>
          <w:rFonts w:ascii="Palatino Linotype" w:hAnsi="Palatino Linotype"/>
          <w:sz w:val="21"/>
          <w:szCs w:val="21"/>
        </w:rPr>
        <w:footnoteReference w:id="578"/>
      </w:r>
      <w:r w:rsidRPr="00E10347">
        <w:rPr>
          <w:rFonts w:ascii="Palatino Linotype" w:hAnsi="Palatino Linotype"/>
          <w:sz w:val="21"/>
          <w:szCs w:val="21"/>
        </w:rPr>
        <w:t xml:space="preserve">. </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Las situaciones extraprocesales en las que sería de aplicación la presunción de inocencia podrían dividirse en dos: aquellas en las que está implicado el poder sancionador del estado, i.e., el procedimiento administrativo sancionador, y las relaciones entre privados. En principio, parecería no presentar problemas el primero de ellos, por la evidente analogía de éste con el proceso penal. En cambio, más discutible resulta la extensión del derecho a la presunción de inocencia a las relaciones entre privados.</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El ámbito en el que más ampliamente se ha considerado aplicable la presunción de inocencia entre privados es del tratamiento informativo periodístico. En él, los medios de comunicación tendrían la obligación de tratar a cualquier ciudadano como no autor de un ilícito y la persona objeto de la información el derecho a ser tratada como tal. En otros términos, los medios de comunicación tienen prohibido atribuir a una persona la comisión o participación en un delito (o infracción no penal) hasta que no haya sentencia condenatoria al respecto</w:t>
      </w:r>
      <w:r w:rsidRPr="00E10347">
        <w:rPr>
          <w:rStyle w:val="Refdenotaalpie"/>
          <w:rFonts w:ascii="Palatino Linotype" w:hAnsi="Palatino Linotype"/>
          <w:sz w:val="21"/>
          <w:szCs w:val="21"/>
        </w:rPr>
        <w:footnoteReference w:id="579"/>
      </w:r>
      <w:r w:rsidRPr="00E10347">
        <w:rPr>
          <w:rFonts w:ascii="Palatino Linotype" w:hAnsi="Palatino Linotype"/>
          <w:sz w:val="21"/>
          <w:szCs w:val="21"/>
        </w:rPr>
        <w:t xml:space="preserve">. </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lastRenderedPageBreak/>
        <w:t xml:space="preserve">Ahora bien, no parece sorprendente, en mi opinión, que la aplicación de la presunción de inocencia en estos ámbitos por parte de la jurisprudencia quede más bien en un mero reconocimiento retórico, puesto que la propia Constitución ofrece protecciones más operativas a través de la aplicación de otros derechos, en especial, del derecho al honor y a la propia imagen, de manera que el añadido de la presunción de inocencia no supone una mayor protección y cae, pues, en la irrelevancia. Así lo ha reconocido el propio Tribunal Constitucional, quien en su sentencia 166/1995 (F.J. 2º) declara expresamente que, a pesar del reconocimiento en la STC 109/1986 de la dimensión extraprocesal de la presunción de inocencia, ésta </w:t>
      </w:r>
    </w:p>
    <w:p w:rsidR="00244C82" w:rsidRPr="00E10347" w:rsidRDefault="00244C82" w:rsidP="00E10347">
      <w:pPr>
        <w:ind w:left="540" w:firstLine="709"/>
        <w:jc w:val="both"/>
        <w:rPr>
          <w:rFonts w:ascii="Palatino Linotype" w:hAnsi="Palatino Linotype"/>
          <w:sz w:val="21"/>
          <w:szCs w:val="21"/>
        </w:rPr>
      </w:pPr>
      <w:r w:rsidRPr="00E10347">
        <w:rPr>
          <w:rFonts w:ascii="Palatino Linotype" w:hAnsi="Palatino Linotype"/>
          <w:sz w:val="21"/>
          <w:szCs w:val="21"/>
        </w:rPr>
        <w:t>“no constituye por sí misma un derecho fundamental distinto o autónomo del que emana de los artículos 10 y 18</w:t>
      </w:r>
      <w:r w:rsidRPr="00E10347">
        <w:rPr>
          <w:rStyle w:val="Refdenotaalpie"/>
          <w:rFonts w:ascii="Palatino Linotype" w:hAnsi="Palatino Linotype"/>
          <w:sz w:val="21"/>
          <w:szCs w:val="21"/>
        </w:rPr>
        <w:footnoteReference w:id="580"/>
      </w:r>
      <w:r w:rsidRPr="00E10347">
        <w:rPr>
          <w:rFonts w:ascii="Palatino Linotype" w:hAnsi="Palatino Linotype"/>
          <w:sz w:val="21"/>
          <w:szCs w:val="21"/>
        </w:rPr>
        <w:t xml:space="preserve"> de la Constitución, de tal modo que ha de ser la vulneración de estos preceptos, y señaladamente la del artículo 18, lo que sirva de base a su protección a través del recurso de amparo”. </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En resumen, es ya el propio Tribunal quien declara la irrelevancia jurídica de esa dimensión extraprocesal de la presunción de inocencia que él mismo construyó</w:t>
      </w:r>
      <w:r w:rsidRPr="00E10347">
        <w:rPr>
          <w:rStyle w:val="Refdenotaalpie"/>
          <w:rFonts w:ascii="Palatino Linotype" w:hAnsi="Palatino Linotype"/>
          <w:sz w:val="21"/>
          <w:szCs w:val="21"/>
        </w:rPr>
        <w:footnoteReference w:id="581"/>
      </w:r>
      <w:r w:rsidRPr="00E10347">
        <w:rPr>
          <w:rFonts w:ascii="Palatino Linotype" w:hAnsi="Palatino Linotype"/>
          <w:sz w:val="21"/>
          <w:szCs w:val="21"/>
        </w:rPr>
        <w:t xml:space="preserve">. En mi opinión, sin embargo, podría quedar todavía un espacio para la aplicación de la presunción de inocencia en estos supuestos. Si se sostiene que la apelación al derecho al honor, por ejemplo, es protección suficiente en estos casos, la pregunta relevante sería ésta: ¿por qué afecta al honor de Pedro la publicación en un medio de comunicación de que él ha cometido un homicidio antes de que haya sido condenado por el mismo? El medio de comunicación podría alegar en su favor, precisamente, que el honor de Pedro no lo protege dado que ha cometido, o si ha cometido, el homicidio. Pero precisamente aquí aparece la función de la presunción de inocencia: el honor de Pedro queda afectado porque hasta el momento de la </w:t>
      </w:r>
      <w:r w:rsidRPr="00E10347">
        <w:rPr>
          <w:rFonts w:ascii="Palatino Linotype" w:hAnsi="Palatino Linotype"/>
          <w:sz w:val="21"/>
          <w:szCs w:val="21"/>
        </w:rPr>
        <w:lastRenderedPageBreak/>
        <w:t>condena debe ser presumido inocente, i.e., tratado como inocente. De este modo, decir que el derecho fundamental afectado es el derecho al honor no excluiría que hubiera un espacio para la aplicabilidad de la presunción de inocencia en estos casos, sino que más bien lo presupondría.</w:t>
      </w:r>
    </w:p>
    <w:p w:rsidR="00DD5619" w:rsidRDefault="00DD5619" w:rsidP="00DD5619">
      <w:pPr>
        <w:widowControl/>
        <w:autoSpaceDE/>
        <w:autoSpaceDN/>
        <w:adjustRightInd/>
        <w:jc w:val="both"/>
        <w:rPr>
          <w:rFonts w:ascii="Palatino Linotype" w:hAnsi="Palatino Linotype"/>
          <w:b/>
          <w:sz w:val="21"/>
          <w:szCs w:val="21"/>
        </w:rPr>
      </w:pPr>
    </w:p>
    <w:p w:rsidR="00244C82" w:rsidRPr="00DD5619" w:rsidRDefault="00244C82" w:rsidP="00E83320">
      <w:pPr>
        <w:pStyle w:val="Prrafodelista"/>
        <w:widowControl/>
        <w:numPr>
          <w:ilvl w:val="1"/>
          <w:numId w:val="45"/>
        </w:numPr>
        <w:autoSpaceDE/>
        <w:autoSpaceDN/>
        <w:adjustRightInd/>
        <w:jc w:val="both"/>
        <w:rPr>
          <w:rFonts w:ascii="Palatino Linotype" w:hAnsi="Palatino Linotype"/>
          <w:b/>
          <w:sz w:val="21"/>
          <w:szCs w:val="21"/>
        </w:rPr>
      </w:pPr>
      <w:r w:rsidRPr="00DD5619">
        <w:rPr>
          <w:rFonts w:ascii="Palatino Linotype" w:hAnsi="Palatino Linotype"/>
          <w:b/>
          <w:sz w:val="21"/>
          <w:szCs w:val="21"/>
        </w:rPr>
        <w:t>La dimensión procesal de la presunción de inocencia</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El ámbito principal de aplicación de la presunción de inocencia es el del proceso judicial, en especial (pero no únicamente, como hemos visto) en la jurisdicción penal. En ese contexto, la jurisprudencia ha desarrollado cuatro facetas principales del derecho en estudio, o, si se prefiere, ha descompuesto el macro-derecho a la presunción de inocencia en derechos más específicos que rigen en cuatro ámbitos de aplicación distintos</w:t>
      </w:r>
      <w:r w:rsidRPr="00E10347">
        <w:rPr>
          <w:rStyle w:val="Refdenotaalpie"/>
          <w:rFonts w:ascii="Palatino Linotype" w:hAnsi="Palatino Linotype"/>
          <w:sz w:val="21"/>
          <w:szCs w:val="21"/>
        </w:rPr>
        <w:footnoteReference w:id="582"/>
      </w:r>
      <w:r w:rsidRPr="00E10347">
        <w:rPr>
          <w:rFonts w:ascii="Palatino Linotype" w:hAnsi="Palatino Linotype"/>
          <w:sz w:val="21"/>
          <w:szCs w:val="21"/>
        </w:rPr>
        <w:t>. Veámoslos.</w:t>
      </w:r>
    </w:p>
    <w:p w:rsidR="00DD5619" w:rsidRDefault="00DD5619" w:rsidP="00E10347">
      <w:pPr>
        <w:widowControl/>
        <w:autoSpaceDE/>
        <w:autoSpaceDN/>
        <w:adjustRightInd/>
        <w:jc w:val="both"/>
        <w:rPr>
          <w:rFonts w:ascii="Palatino Linotype" w:hAnsi="Palatino Linotype"/>
          <w:b/>
          <w:sz w:val="21"/>
          <w:szCs w:val="21"/>
        </w:rPr>
      </w:pPr>
    </w:p>
    <w:p w:rsidR="00244C82" w:rsidRPr="00E10347" w:rsidRDefault="001E59C2" w:rsidP="00E10347">
      <w:pPr>
        <w:widowControl/>
        <w:autoSpaceDE/>
        <w:autoSpaceDN/>
        <w:adjustRightInd/>
        <w:jc w:val="both"/>
        <w:rPr>
          <w:rFonts w:ascii="Palatino Linotype" w:hAnsi="Palatino Linotype"/>
          <w:b/>
          <w:sz w:val="21"/>
          <w:szCs w:val="21"/>
        </w:rPr>
      </w:pPr>
      <w:r w:rsidRPr="00E10347">
        <w:rPr>
          <w:rFonts w:ascii="Palatino Linotype" w:hAnsi="Palatino Linotype"/>
          <w:b/>
          <w:sz w:val="21"/>
          <w:szCs w:val="21"/>
        </w:rPr>
        <w:t xml:space="preserve">1.2.1. </w:t>
      </w:r>
      <w:r w:rsidR="00244C82" w:rsidRPr="00E10347">
        <w:rPr>
          <w:rFonts w:ascii="Palatino Linotype" w:hAnsi="Palatino Linotype"/>
          <w:b/>
          <w:sz w:val="21"/>
          <w:szCs w:val="21"/>
        </w:rPr>
        <w:t>La presunción de inocencia como principio informador del proceso penal</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Se ha sostenido reiteradamente, casi como un lugar común, que la presunción de inocencia tiene un papel determinante como principio informador de todo el proceso penal. Así, el Tribunal Constitucional (STC 111/1999, F.J., 2º) ha declarado que la presunción de inocencia “sirve de base a todo el procedimiento criminal y condiciona su estructura, constituyendo uno de los principios cardinales del Derecho Penal contemporáneo, en sus facetas sustantiva y formal”</w:t>
      </w:r>
      <w:r w:rsidRPr="00E10347">
        <w:rPr>
          <w:rStyle w:val="Refdenotaalpie"/>
          <w:rFonts w:ascii="Palatino Linotype" w:hAnsi="Palatino Linotype"/>
          <w:sz w:val="21"/>
          <w:szCs w:val="21"/>
        </w:rPr>
        <w:footnoteReference w:id="583"/>
      </w:r>
      <w:r w:rsidRPr="00E10347">
        <w:rPr>
          <w:rFonts w:ascii="Palatino Linotype" w:hAnsi="Palatino Linotype"/>
          <w:sz w:val="21"/>
          <w:szCs w:val="21"/>
        </w:rPr>
        <w:t xml:space="preserve">.  En este sentido, la presunción de inocencia actuaría “como límite a la potestad legislativa y como criterio condicionador de las interpretaciones de las normas vigentes” (STC 109/1986, F.J. 1º) respecto de todo el proceso penal. </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 xml:space="preserve">Parece, pues, que la interpretación jurisprudencial constitucional del artículo 24.2 de la Constitución española extrae de éste dos normas de obligación dirigidas a los poderes públicos estatales. Por un lado, una norma cuyo destinatario es el legislador ordinario y que le impone regular de determinado modo el proceso penal. Por otro, una norma dirigida a los jueces y tribunales obligándoles a elegir </w:t>
      </w:r>
      <w:r w:rsidRPr="00E10347">
        <w:rPr>
          <w:rFonts w:ascii="Palatino Linotype" w:hAnsi="Palatino Linotype"/>
          <w:sz w:val="21"/>
          <w:szCs w:val="21"/>
        </w:rPr>
        <w:lastRenderedPageBreak/>
        <w:t>interpretaciones de las disposiciones procesales que sean compatibles con la presunción de inocencia.</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Ahora bien, obviando consideraciones más generales acerca de la dudosa capacidad reguladora de los principios</w:t>
      </w:r>
      <w:r w:rsidRPr="00E10347">
        <w:rPr>
          <w:rStyle w:val="Refdenotaalpie"/>
          <w:rFonts w:ascii="Palatino Linotype" w:hAnsi="Palatino Linotype"/>
          <w:sz w:val="21"/>
          <w:szCs w:val="21"/>
        </w:rPr>
        <w:footnoteReference w:id="584"/>
      </w:r>
      <w:r w:rsidRPr="00E10347">
        <w:rPr>
          <w:rFonts w:ascii="Palatino Linotype" w:hAnsi="Palatino Linotype"/>
          <w:sz w:val="21"/>
          <w:szCs w:val="21"/>
        </w:rPr>
        <w:t>, resultan aquí relevantes las siguientes preguntas: ¿cuáles son los límites que impone al legislador este principio informador a la hora de regular el proceso penal? ¿Qué condicionantes impone a los jueces y tribunales al momento de elegir interpretaciones de las disposiciones procesales vigentes? Entiendo que caben dos respuestas a estas preguntas: O bien esos límites y condicionantes son independientes de las otras facetas procesales de la presunción de inocencia, que serán expuestas y analizadas a continuación, o bien no son más que la otra cara de la moneda de éstas últimas.</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En efecto, como se verá enseguida, el desarrollo jurisprudencial y dogmático de la presunción de inocencia ha extraído de ella una buena cantidad de derechos subjetivos del ciudadano, que jugarían el papel de garantías procesales. Una vez determinada la lista de las garantías procesales, constitucionalmente protegidas, cabe entender que éstas son precisamente las que constituyen un límite al legislador en su competencia reguladora del proceso penal: el legislador no podría diseñar el proceso penal de forma que se violara alguno de esos derechos subjetivos considerados como fundamentales. Y lo mismo cabe decir de los límites impuestos a los jueces y tribunales en sus decisiones interpretativas. Pero si es así, la faceta de la presunción de inocencia como principio informador del proceso penal se reduce a la aplicación de esos mismos derechos y, por tanto, no es una faceta independiente de ellos. Recurriendo a las modalidades hohfeldianas</w:t>
      </w:r>
      <w:r w:rsidRPr="00E10347">
        <w:rPr>
          <w:rStyle w:val="Refdenotaalpie"/>
          <w:rFonts w:ascii="Palatino Linotype" w:hAnsi="Palatino Linotype"/>
          <w:sz w:val="21"/>
          <w:szCs w:val="21"/>
        </w:rPr>
        <w:footnoteReference w:id="585"/>
      </w:r>
      <w:r w:rsidRPr="00E10347">
        <w:rPr>
          <w:rFonts w:ascii="Palatino Linotype" w:hAnsi="Palatino Linotype"/>
          <w:sz w:val="21"/>
          <w:szCs w:val="21"/>
        </w:rPr>
        <w:t xml:space="preserve">, puede decirse que el derecho subjetivo del ciudadano, por ejemplo, a no ser condenado en un proceso penal si no hay prueba de cargo en su contra, es correlativo al deber de los jueces de no condenar sin esa prueba y al deber del poder legislativo de no regular el proceso penal de manera que esa condena sea posible. Y el mismo tipo de razonamiento puede hacerse sobre cada una de las garantías procesales que se extraen </w:t>
      </w:r>
      <w:r w:rsidRPr="00E10347">
        <w:rPr>
          <w:rFonts w:ascii="Palatino Linotype" w:hAnsi="Palatino Linotype"/>
          <w:sz w:val="21"/>
          <w:szCs w:val="21"/>
        </w:rPr>
        <w:lastRenderedPageBreak/>
        <w:t>comúnmente de la presunción de inocencia</w:t>
      </w:r>
      <w:r w:rsidRPr="00E10347">
        <w:rPr>
          <w:rStyle w:val="Refdenotaalpie"/>
          <w:rFonts w:ascii="Palatino Linotype" w:hAnsi="Palatino Linotype"/>
          <w:sz w:val="21"/>
          <w:szCs w:val="21"/>
        </w:rPr>
        <w:footnoteReference w:id="586"/>
      </w:r>
      <w:r w:rsidRPr="00E10347">
        <w:rPr>
          <w:rFonts w:ascii="Palatino Linotype" w:hAnsi="Palatino Linotype"/>
          <w:sz w:val="21"/>
          <w:szCs w:val="21"/>
        </w:rPr>
        <w:t>.</w:t>
      </w:r>
    </w:p>
    <w:p w:rsidR="00DD5619" w:rsidRDefault="00DD5619" w:rsidP="00DD5619">
      <w:pPr>
        <w:widowControl/>
        <w:autoSpaceDE/>
        <w:autoSpaceDN/>
        <w:adjustRightInd/>
        <w:jc w:val="both"/>
        <w:rPr>
          <w:rFonts w:ascii="Palatino Linotype" w:hAnsi="Palatino Linotype"/>
          <w:b/>
          <w:sz w:val="21"/>
          <w:szCs w:val="21"/>
        </w:rPr>
      </w:pPr>
    </w:p>
    <w:p w:rsidR="00244C82" w:rsidRPr="00DD5619" w:rsidRDefault="00244C82" w:rsidP="00E83320">
      <w:pPr>
        <w:pStyle w:val="Prrafodelista"/>
        <w:widowControl/>
        <w:numPr>
          <w:ilvl w:val="2"/>
          <w:numId w:val="46"/>
        </w:numPr>
        <w:autoSpaceDE/>
        <w:autoSpaceDN/>
        <w:adjustRightInd/>
        <w:jc w:val="both"/>
        <w:rPr>
          <w:rFonts w:ascii="Palatino Linotype" w:hAnsi="Palatino Linotype"/>
          <w:b/>
          <w:sz w:val="21"/>
          <w:szCs w:val="21"/>
        </w:rPr>
      </w:pPr>
      <w:r w:rsidRPr="00DD5619">
        <w:rPr>
          <w:rFonts w:ascii="Palatino Linotype" w:hAnsi="Palatino Linotype"/>
          <w:b/>
          <w:sz w:val="21"/>
          <w:szCs w:val="21"/>
        </w:rPr>
        <w:t>La presunción de inocencia como regla de trato procesal</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 xml:space="preserve">Se trata de una regla que rige el tratamiento que debe darse a cualquier persona que se vea inmersa como sujeto pasivo de un proceso penal. Así, la presunción de inocencia como regla de trato impone tratar al imputado como si fuera inocente (STC 66/1984, F.J. 1º) hasta que recaiga sentencia que declare su culpabilidad. Es a esta faceta de la presunción de inocencia a la que apelan expresamente la mayoría de declaraciones internacionales de derechos y de textos constitucionales (con la excepción del español, que se limita a establecer el derecho a la presunción de inocencia, sin mayores especificaciones). </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La garantía procesal que otorga aquí la presunción de inocencia supone que el Estado no puede tratar al ciudadano de otra forma que como inocente hasta que un juez o tribunal, después de un proceso con todas las garantías, declare probada su culpabilidad</w:t>
      </w:r>
      <w:r w:rsidRPr="00E10347">
        <w:rPr>
          <w:rStyle w:val="Refdenotaalpie"/>
          <w:rFonts w:ascii="Palatino Linotype" w:hAnsi="Palatino Linotype"/>
          <w:sz w:val="21"/>
          <w:szCs w:val="21"/>
        </w:rPr>
        <w:footnoteReference w:id="587"/>
      </w:r>
      <w:r w:rsidRPr="00E10347">
        <w:rPr>
          <w:rFonts w:ascii="Palatino Linotype" w:hAnsi="Palatino Linotype"/>
          <w:sz w:val="21"/>
          <w:szCs w:val="21"/>
        </w:rPr>
        <w:t xml:space="preserve">. Nada se dice, en este punto, respecto de las condiciones en las que procederá o estará justificada esa declaración de culpabilidad: esto será objeto de otros derechos subjetivos vinculados a la presunción de inocencia como regla probatoria y como regla de juicio. Lo único que la regla de trato impone es que el Estado (incluido el propio juez de la causa) no puede someter al imputado a ningún trato ni tomar ninguna resolución en el marco del proceso que suponga la </w:t>
      </w:r>
      <w:r w:rsidRPr="00E10347">
        <w:rPr>
          <w:rFonts w:ascii="Palatino Linotype" w:hAnsi="Palatino Linotype"/>
          <w:sz w:val="21"/>
          <w:szCs w:val="21"/>
        </w:rPr>
        <w:lastRenderedPageBreak/>
        <w:t>anticipación de su culpabilidad y, en consecuencia, de la pena</w:t>
      </w:r>
      <w:r w:rsidRPr="00E10347">
        <w:rPr>
          <w:rStyle w:val="Refdenotaalpie"/>
          <w:rFonts w:ascii="Palatino Linotype" w:hAnsi="Palatino Linotype"/>
          <w:sz w:val="21"/>
          <w:szCs w:val="21"/>
        </w:rPr>
        <w:footnoteReference w:id="588"/>
      </w:r>
      <w:r w:rsidRPr="00E10347">
        <w:rPr>
          <w:rFonts w:ascii="Palatino Linotype" w:hAnsi="Palatino Linotype"/>
          <w:sz w:val="21"/>
          <w:szCs w:val="21"/>
        </w:rPr>
        <w:t>.</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Se plantean aquí muchas cuestiones de gran interés práctico: así, por ejemplo, ¿en qué momento empieza la protección de esta regla? ¿Cuándo finaliza? Algunos autores afirman que el protección al presunto inocente otorgada por esta regla de trato finaliza con la primera sentencia condenatoria (Vegas Torres: 1993: 41); otros, en cambio, sostienen que la regla debe seguir aplicándose hasta el momento en que recaiga sentencia condenatoria firme (Ferrajoli, 1998: 559). Sin embargo, es claro que el problema principal que se presenta es el de la compatibilidad de la presunción de inocencia con las medidas cautelares en el marco del proceso penal y, en especial, con la prisión preventiva. En otros términos, se plantea aquí el dilema entre la garantía de la seguridad de los demás ciudadanos y de la libertad del acusado que, sin haber recaído sentencia en su contra, tiene todos los derechos vinculados al hecho de que es el propio Estado que le pretende imponer medidas cautelares el que no le ha declarado aún culpable</w:t>
      </w:r>
      <w:r w:rsidRPr="00E10347">
        <w:rPr>
          <w:rStyle w:val="Refdenotaalpie"/>
          <w:rFonts w:ascii="Palatino Linotype" w:hAnsi="Palatino Linotype"/>
          <w:sz w:val="21"/>
          <w:szCs w:val="21"/>
        </w:rPr>
        <w:footnoteReference w:id="589"/>
      </w:r>
      <w:r w:rsidRPr="00E10347">
        <w:rPr>
          <w:rFonts w:ascii="Palatino Linotype" w:hAnsi="Palatino Linotype"/>
          <w:sz w:val="21"/>
          <w:szCs w:val="21"/>
        </w:rPr>
        <w:t xml:space="preserve">. El dilema ha sido objeto de un amplio tratamiento doctrinal desde la época romana, con posturas que van desde las abolicionistas de la presunción de inocencia, vinculadas a un derecho penal autoritario (vid. una presentación en Ferrajoli, 1998: 564-6 y la bibliografía allí </w:t>
      </w:r>
      <w:r w:rsidRPr="00E10347">
        <w:rPr>
          <w:rFonts w:ascii="Palatino Linotype" w:hAnsi="Palatino Linotype"/>
          <w:sz w:val="21"/>
          <w:szCs w:val="21"/>
        </w:rPr>
        <w:lastRenderedPageBreak/>
        <w:t>citada), hasta las abolicionistas de la prisión preventiva</w:t>
      </w:r>
      <w:r w:rsidRPr="00E10347">
        <w:rPr>
          <w:rStyle w:val="Refdenotaalpie"/>
          <w:rFonts w:ascii="Palatino Linotype" w:hAnsi="Palatino Linotype"/>
          <w:sz w:val="21"/>
          <w:szCs w:val="21"/>
        </w:rPr>
        <w:footnoteReference w:id="590"/>
      </w:r>
      <w:r w:rsidRPr="00E10347">
        <w:rPr>
          <w:rFonts w:ascii="Palatino Linotype" w:hAnsi="Palatino Linotype"/>
          <w:sz w:val="21"/>
          <w:szCs w:val="21"/>
        </w:rPr>
        <w:t>. A mitad de camino se sitúan las tesis compatibilistas, mayoritarias, que en general pretenden hacer compatible una prisión preventiva muy restrictiva con la vigencia de la presunción de inocencia como regla de trato procesal</w:t>
      </w:r>
      <w:r w:rsidRPr="00E10347">
        <w:rPr>
          <w:rStyle w:val="Refdenotaalpie"/>
          <w:rFonts w:ascii="Palatino Linotype" w:hAnsi="Palatino Linotype"/>
          <w:sz w:val="21"/>
          <w:szCs w:val="21"/>
        </w:rPr>
        <w:footnoteReference w:id="591"/>
      </w:r>
      <w:r w:rsidRPr="00E10347">
        <w:rPr>
          <w:rFonts w:ascii="Palatino Linotype" w:hAnsi="Palatino Linotype"/>
          <w:sz w:val="21"/>
          <w:szCs w:val="21"/>
        </w:rPr>
        <w:t xml:space="preserve">.  </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 xml:space="preserve">No es el objeto de interés central de este trabajo el análisis de las distintas estrategias para abordar el dilema que se presenta entre la garantía de la seguridad y la garantía de la presunción de inocencia como regla de trato procesal. Por ello, no me extenderé sobre el punto. </w:t>
      </w:r>
      <w:r w:rsidR="002A76CC">
        <w:rPr>
          <w:rFonts w:ascii="Palatino Linotype" w:hAnsi="Palatino Linotype"/>
          <w:sz w:val="21"/>
          <w:szCs w:val="21"/>
        </w:rPr>
        <w:t xml:space="preserve">Solo </w:t>
      </w:r>
      <w:r w:rsidRPr="00E10347">
        <w:rPr>
          <w:rFonts w:ascii="Palatino Linotype" w:hAnsi="Palatino Linotype"/>
          <w:sz w:val="21"/>
          <w:szCs w:val="21"/>
        </w:rPr>
        <w:t>quisiera señalar que, a mi entender, las tesis compatibilistas (distintas entre ellas en lo que hace al número y a la severidad de las restricciones impuestas a la procedencia de la prisión preventiva) plantean mal la cuestión si su punto de partida es la negación del dilema y, por tanto, la compatibilidad entre las dos garantías estatales</w:t>
      </w:r>
      <w:r w:rsidRPr="00E10347">
        <w:rPr>
          <w:rStyle w:val="Refdenotaalpie"/>
          <w:rFonts w:ascii="Palatino Linotype" w:hAnsi="Palatino Linotype"/>
          <w:sz w:val="21"/>
          <w:szCs w:val="21"/>
        </w:rPr>
        <w:footnoteReference w:id="592"/>
      </w:r>
      <w:r w:rsidRPr="00E10347">
        <w:rPr>
          <w:rFonts w:ascii="Palatino Linotype" w:hAnsi="Palatino Linotype"/>
          <w:sz w:val="21"/>
          <w:szCs w:val="21"/>
        </w:rPr>
        <w:t xml:space="preserve">. </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 xml:space="preserve">Vayamos por partes. Tres son los supuestos en los que más habitualmente se considera que procedería adoptar la prisión preventiva del imputado como medida cautelar en el curso de un proceso penal: el peligro de reincidencia, el aseguramiento de las pruebas y el peligro de fuga del acusado. Resulta altamente </w:t>
      </w:r>
      <w:r w:rsidRPr="00E10347">
        <w:rPr>
          <w:rFonts w:ascii="Palatino Linotype" w:hAnsi="Palatino Linotype"/>
          <w:sz w:val="21"/>
          <w:szCs w:val="21"/>
        </w:rPr>
        <w:lastRenderedPageBreak/>
        <w:t xml:space="preserve">difícil, por no decir conceptualmente imposible, sostener la argumentación de que el imputado es tratado como si fuera inocente y, a la vez, que es sometido a la prisión preventiva para evitar que </w:t>
      </w:r>
      <w:r w:rsidRPr="00E10347">
        <w:rPr>
          <w:rFonts w:ascii="Palatino Linotype" w:hAnsi="Palatino Linotype"/>
          <w:i/>
          <w:sz w:val="21"/>
          <w:szCs w:val="21"/>
        </w:rPr>
        <w:t>reincida</w:t>
      </w:r>
      <w:r w:rsidRPr="00E10347">
        <w:rPr>
          <w:rFonts w:ascii="Palatino Linotype" w:hAnsi="Palatino Linotype"/>
          <w:sz w:val="21"/>
          <w:szCs w:val="21"/>
        </w:rPr>
        <w:t xml:space="preserve"> en la comisión del delito. Evidentemente, para reincidir hay que haber incidido ya en él, que es justo lo que la presunción de inocencia obliga a presumir que no se ha hecho. El caso del aseguramiento de las pruebas es el más dudoso. Se trata aquí de evitar que el imputado manipule o haga desaparecer pruebas en su contra. Aunque no es necesario que el imputado sea el autor del delito del que se le acusa para que pueda tener interés en manipular el material probatorio, sí creo que de forma general el argumento presupone precisamente lo que la presunción de inocencia proscribe: que es el autor del delito y, por ello, hará lo posible para evitar que esa circunstancia pueda probarse en el proceso. Respecto del peligro de fuga, creo que basta con decir que el inocente no se </w:t>
      </w:r>
      <w:r w:rsidRPr="00E10347">
        <w:rPr>
          <w:rFonts w:ascii="Palatino Linotype" w:hAnsi="Palatino Linotype"/>
          <w:i/>
          <w:sz w:val="21"/>
          <w:szCs w:val="21"/>
        </w:rPr>
        <w:t>fuga</w:t>
      </w:r>
      <w:r w:rsidRPr="00E10347">
        <w:rPr>
          <w:rFonts w:ascii="Palatino Linotype" w:hAnsi="Palatino Linotype"/>
          <w:sz w:val="21"/>
          <w:szCs w:val="21"/>
        </w:rPr>
        <w:t>, sino que viaja. Ya los términos delatan al mal argumento. Por otro lado, como ya advirtiera Voltaire hace más de doscientos años, cabe la posibilidad de que no sea la autoría del delito lo que empuja al imputado a huir, sino el miedo a ser sometido a la prisión preventiva sin poder defenderse (Voltaire, 1766: 111-2). Si la prisión preventiva no existiera, el imputado podría no tener motivos para huir, al menos, hasta el momento inmediatamente previo a la condena. Hasta entonces, su máximo interés sería pues el de defenderse de las acusaciones en su contra (Ferrajoli, 1998: 569-570).</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No quiero entrar a argumentar acerca de la justificabilidad de la prisión preventiva en estos u otros supuestos. Lo único que está en mi interés señalar aquí es que la situación sería mejor descrita si quienes defienden el carácter justificado de adoptar en algunos supuestos la prisión preventiva (u otras medidas cautelares) durante el proceso sostuvieran que, en esos supuestos, el derecho a la presunción de inocencia como regla de trato procesal es vencido por más fuertes argumentos, privilegiándose así el cuerno del dilema que atiende a la protección de la seguridad ciudadana. Hablar de límites al ámbito aplicación de la presunción de inocencia como regla de trato procesal me parece una mejor presentación conceptual de la situación que pretender encontrar una compatibilidad entre ser tratado como inocente y contemporáneamente ser ingresado en prisión. Así planteado, el debate entre abolicionistas (de la prisión preventiva o de la presunción de inocencia) y compatibilistas sería, más bien, un debate acerca de los límites de la presunción de inocencia como regla de trato procesal, i.e., si puede ser derrotada y, en su caso, bajo qué condiciones.</w:t>
      </w:r>
    </w:p>
    <w:p w:rsidR="00244C82" w:rsidRPr="00DD5619" w:rsidRDefault="00244C82" w:rsidP="00E83320">
      <w:pPr>
        <w:pStyle w:val="Prrafodelista"/>
        <w:widowControl/>
        <w:numPr>
          <w:ilvl w:val="2"/>
          <w:numId w:val="46"/>
        </w:numPr>
        <w:autoSpaceDE/>
        <w:autoSpaceDN/>
        <w:adjustRightInd/>
        <w:jc w:val="both"/>
        <w:rPr>
          <w:rFonts w:ascii="Palatino Linotype" w:hAnsi="Palatino Linotype"/>
          <w:b/>
          <w:sz w:val="21"/>
          <w:szCs w:val="21"/>
        </w:rPr>
      </w:pPr>
      <w:r w:rsidRPr="00DD5619">
        <w:rPr>
          <w:rFonts w:ascii="Palatino Linotype" w:hAnsi="Palatino Linotype"/>
          <w:b/>
          <w:sz w:val="21"/>
          <w:szCs w:val="21"/>
        </w:rPr>
        <w:lastRenderedPageBreak/>
        <w:t xml:space="preserve">La presunción de inocencia como regla probatoria  </w:t>
      </w:r>
    </w:p>
    <w:p w:rsidR="00244C82" w:rsidRPr="00E10347" w:rsidRDefault="00244C82" w:rsidP="00E10347">
      <w:pPr>
        <w:ind w:firstLine="709"/>
        <w:jc w:val="both"/>
        <w:rPr>
          <w:rStyle w:val="apple-style-span"/>
          <w:rFonts w:ascii="Palatino Linotype" w:hAnsi="Palatino Linotype"/>
          <w:sz w:val="21"/>
          <w:szCs w:val="21"/>
        </w:rPr>
      </w:pPr>
      <w:r w:rsidRPr="00E10347">
        <w:rPr>
          <w:rFonts w:ascii="Palatino Linotype" w:hAnsi="Palatino Linotype"/>
          <w:sz w:val="21"/>
          <w:szCs w:val="21"/>
        </w:rPr>
        <w:t>Siguiendo el despliegue de la presunción de inocencia en derechos más específicos, realizado por la doctrina y la jurisprudencia, encontramos una faceta procesal más de la misma. Se trata de la dimensión de la presunción de inocencia como regla probatoria</w:t>
      </w:r>
      <w:r w:rsidRPr="00E10347">
        <w:rPr>
          <w:rStyle w:val="Refdenotaalpie"/>
          <w:rFonts w:ascii="Palatino Linotype" w:hAnsi="Palatino Linotype"/>
          <w:sz w:val="21"/>
          <w:szCs w:val="21"/>
        </w:rPr>
        <w:footnoteReference w:id="593"/>
      </w:r>
      <w:r w:rsidRPr="00E10347">
        <w:rPr>
          <w:rFonts w:ascii="Palatino Linotype" w:hAnsi="Palatino Linotype"/>
          <w:sz w:val="21"/>
          <w:szCs w:val="21"/>
        </w:rPr>
        <w:t xml:space="preserve">. El desarrollo de esta dimensión de la presunción de inocencia ha sido realizado en España, fundamentalmente, por la sentencia del Tribunal Constitucional 31/1981. En esa sentencia, el Alto Tribunal declaró que el derecho a la presunción de inocencia tiene implicaciones directas sobre cómo debe ser el procedimiento probatorio que pueda dar lugar a la derrota de la presunción misma, mediante la sentencia de culpabilidad. Dicho de otra manera, no basta que recaiga sentencia que declare la culpabilidad para que ceda la presunción de inocencia: esa declaración debe ser la conclusión de un procedimiento probatorio con todas las garantías procesales. Esta parece ser la razonable interpretación de algunos tratados internacionales que, como el Pacto de San José de Costa Rica (art. 8.2), establecen que </w:t>
      </w:r>
      <w:r w:rsidRPr="00E10347">
        <w:rPr>
          <w:rStyle w:val="apple-style-span"/>
          <w:rFonts w:ascii="Palatino Linotype" w:hAnsi="Palatino Linotype"/>
          <w:sz w:val="21"/>
          <w:szCs w:val="21"/>
        </w:rPr>
        <w:t xml:space="preserve">“Toda persona acusada de un delito tiene derecho a que se presuma su inocencia mientras no se pruebe su culpabilidad </w:t>
      </w:r>
      <w:r w:rsidRPr="00E10347">
        <w:rPr>
          <w:rStyle w:val="apple-style-span"/>
          <w:rFonts w:ascii="Palatino Linotype" w:hAnsi="Palatino Linotype"/>
          <w:i/>
          <w:sz w:val="21"/>
          <w:szCs w:val="21"/>
        </w:rPr>
        <w:t>conforme a la ley</w:t>
      </w:r>
      <w:r w:rsidRPr="00E10347">
        <w:rPr>
          <w:rStyle w:val="apple-style-span"/>
          <w:rFonts w:ascii="Palatino Linotype" w:hAnsi="Palatino Linotype"/>
          <w:sz w:val="21"/>
          <w:szCs w:val="21"/>
        </w:rPr>
        <w:t xml:space="preserve">” (la cursiva es mía). Lo mismo puede decirse del artículo 6.2. del Convenio Europeo para la Protección de los Derechos Humanos y de las Libertades Fundamentales, que dispone que “Toda persona acusada de una infracción se presume inocente hasta que su culpabilidad haya sido </w:t>
      </w:r>
      <w:r w:rsidRPr="00E10347">
        <w:rPr>
          <w:rStyle w:val="apple-style-span"/>
          <w:rFonts w:ascii="Palatino Linotype" w:hAnsi="Palatino Linotype"/>
          <w:i/>
          <w:sz w:val="21"/>
          <w:szCs w:val="21"/>
        </w:rPr>
        <w:t>legalmente declarada</w:t>
      </w:r>
      <w:r w:rsidRPr="00E10347">
        <w:rPr>
          <w:rStyle w:val="apple-style-span"/>
          <w:rFonts w:ascii="Palatino Linotype" w:hAnsi="Palatino Linotype"/>
          <w:sz w:val="21"/>
          <w:szCs w:val="21"/>
        </w:rPr>
        <w:t>” (la cursiva es mía).</w:t>
      </w:r>
    </w:p>
    <w:p w:rsidR="00244C82" w:rsidRPr="00E10347" w:rsidRDefault="00244C82" w:rsidP="00E10347">
      <w:pPr>
        <w:ind w:firstLine="709"/>
        <w:jc w:val="both"/>
        <w:rPr>
          <w:rStyle w:val="apple-style-span"/>
          <w:rFonts w:ascii="Palatino Linotype" w:hAnsi="Palatino Linotype"/>
          <w:sz w:val="21"/>
          <w:szCs w:val="21"/>
        </w:rPr>
      </w:pPr>
      <w:r w:rsidRPr="00E10347">
        <w:rPr>
          <w:rStyle w:val="apple-style-span"/>
          <w:rFonts w:ascii="Palatino Linotype" w:hAnsi="Palatino Linotype"/>
          <w:sz w:val="21"/>
          <w:szCs w:val="21"/>
        </w:rPr>
        <w:t xml:space="preserve">Así, la STC 31/1981, de la que parten y a la que siguen todos los desarrollos jurisprudenciales posteriores, sostiene que la sentencia que declare la culpabilidad del imputado y, por tanto, la derrota de la presunción de inocencia debe cumplir una serie de requisitos procedimentales probatorios para que la presunción sea, efectivamente, vencida y no violada: A) debe ser la conclusión de un procedimiento en el que haya existido una mínima actividad probatoria; B) que pueda considerarse como prueba de cargo; C) suministrada por la acusación (en el sentido de que a ella </w:t>
      </w:r>
      <w:r w:rsidRPr="00E10347">
        <w:rPr>
          <w:rStyle w:val="apple-style-span"/>
          <w:rFonts w:ascii="Palatino Linotype" w:hAnsi="Palatino Linotype"/>
          <w:sz w:val="21"/>
          <w:szCs w:val="21"/>
        </w:rPr>
        <w:lastRenderedPageBreak/>
        <w:t>corresponde la carga de la prueba); D) practicada en el juicio oral; y E) que haya sido obtenida respetando todas las garantías constitucionales y legales.</w:t>
      </w:r>
    </w:p>
    <w:p w:rsidR="00244C82" w:rsidRPr="00E10347" w:rsidRDefault="00244C82" w:rsidP="00E10347">
      <w:pPr>
        <w:ind w:firstLine="709"/>
        <w:jc w:val="both"/>
        <w:rPr>
          <w:rFonts w:ascii="Palatino Linotype" w:hAnsi="Palatino Linotype"/>
          <w:sz w:val="21"/>
          <w:szCs w:val="21"/>
        </w:rPr>
      </w:pPr>
      <w:r w:rsidRPr="00E10347">
        <w:rPr>
          <w:rStyle w:val="apple-style-span"/>
          <w:rFonts w:ascii="Palatino Linotype" w:hAnsi="Palatino Linotype"/>
          <w:sz w:val="21"/>
          <w:szCs w:val="21"/>
        </w:rPr>
        <w:t>Sin que ello signifique objetar a estas cinco condiciones como expresión de lo que es el debido proceso penal, sí parece más que discutible que ellas formen parte de lo exigido por el derecho a la presunción de inocencia, al menos, en su faceta de regla probatoria</w:t>
      </w:r>
      <w:r w:rsidRPr="00E10347">
        <w:rPr>
          <w:rStyle w:val="Refdenotaalpie"/>
          <w:rFonts w:ascii="Palatino Linotype" w:hAnsi="Palatino Linotype"/>
          <w:sz w:val="21"/>
          <w:szCs w:val="21"/>
        </w:rPr>
        <w:footnoteReference w:id="594"/>
      </w:r>
      <w:r w:rsidRPr="00E10347">
        <w:rPr>
          <w:rStyle w:val="apple-style-span"/>
          <w:rFonts w:ascii="Palatino Linotype" w:hAnsi="Palatino Linotype"/>
          <w:sz w:val="21"/>
          <w:szCs w:val="21"/>
        </w:rPr>
        <w:t xml:space="preserve">. Si, en cambio, se afirma que el derecho a la presunción de inocencia como regla probatoria abarca todas esas subreglas, entonces es fácil observar que muchas de ellas se tornan garantías irrelevantes puesto que ya están protegidas por otros derechos u otras facetas de la presunción de inocencia. Para mostrarlo con claridad convendrá analizar someramente uno por uno los referidos requisitos.  </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 xml:space="preserve">A) y B) se solapan claramente con la faceta de la presunción de inocencia como regla de juicio. Como se verá enseguida, si disponemos de un estándar de prueba, el cumplimiento del mismo ya supone el cumplimiento de las exigencias A) y B). Ello resulta aún más evidente a partir del momento en que tanto el Tribunal Constitucional (STC 259/1994, F.J. 2º, por ejemplo) como el Tribunal Supremo (STS de 16 de junio de 1992, entre otras muchas) han añadido el requisito de que la mínima actividad probatoria de cargo sea </w:t>
      </w:r>
      <w:r w:rsidRPr="00E10347">
        <w:rPr>
          <w:rFonts w:ascii="Palatino Linotype" w:hAnsi="Palatino Linotype"/>
          <w:i/>
          <w:sz w:val="21"/>
          <w:szCs w:val="21"/>
        </w:rPr>
        <w:t>suficiente</w:t>
      </w:r>
      <w:r w:rsidRPr="00E10347">
        <w:rPr>
          <w:rFonts w:ascii="Palatino Linotype" w:hAnsi="Palatino Linotype"/>
          <w:sz w:val="21"/>
          <w:szCs w:val="21"/>
        </w:rPr>
        <w:t xml:space="preserve"> para apoyar la decisión condenatoria (Vegas Torres, 1993: 129 ss.; Miranda Estrampes, 1997: 569 ss.). Determinar cuándo la prueba de cargo es suficiente para justificar la condena es precisamente la función de un estándar de prueba. Por tanto, una vez se dispone del estándar estos requisitos quedan en él subsumidos y añadirlos aquí resulta totalmente superfluo. Si, en cambio, no se dispone de un estándar de prueba que establezca cuándo la prueba es suficiente, la mera apelación a la suficiencia no aporta garantía alguna al ciudadano. Volveré, en todo caso, sobre este punto en el epígrafe siguiente. </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 xml:space="preserve">D), por su parte, (i.e., que la prueba sea practicada en el juicio oral) es un </w:t>
      </w:r>
      <w:r w:rsidRPr="00E10347">
        <w:rPr>
          <w:rFonts w:ascii="Palatino Linotype" w:hAnsi="Palatino Linotype"/>
          <w:sz w:val="21"/>
          <w:szCs w:val="21"/>
        </w:rPr>
        <w:lastRenderedPageBreak/>
        <w:t>requisito de fiabilidad de la prueba. Que se exija que las pruebas sean practicadas en el juicio tiene sentido como instrumento para posibilitar o facilitar, según los casos, la inmediación, la publicidad y, especialmente, la contradicción en la práctica de las pruebas. Y todas ellas son exigencias  encaminadas a mejorar la fiabilidad de la prueba que se aporta al proceso y a una mejor valoración de la misma. En especial, la práctica de la prueba en el juicio oral es un requisito cuya función es posibilitar la contradicción en la práctica misma; y la capacidad de superar las objeciones y las contra-pruebas es, precisamente, uno de los criterios fundamentales para otorgar fiabilidad a la prueba</w:t>
      </w:r>
      <w:r w:rsidRPr="00E10347">
        <w:rPr>
          <w:rStyle w:val="Refdenotaalpie"/>
          <w:rFonts w:ascii="Palatino Linotype" w:hAnsi="Palatino Linotype"/>
          <w:sz w:val="21"/>
          <w:szCs w:val="21"/>
        </w:rPr>
        <w:footnoteReference w:id="595"/>
      </w:r>
      <w:r w:rsidRPr="00E10347">
        <w:rPr>
          <w:rFonts w:ascii="Palatino Linotype" w:hAnsi="Palatino Linotype"/>
          <w:sz w:val="21"/>
          <w:szCs w:val="21"/>
        </w:rPr>
        <w:t xml:space="preserve">. Por tanto, entiendo que este requisito D) queda también subsumido en las exigencias del estándar de prueba, por un lado, y del debido proceso, por el otro (en la medida en que el debido proceso debe ser tal que permita superar el estándar de prueba establecido para el mismo). </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 xml:space="preserve">El requisito E) (i.e., la exclusión de las pruebas ilícitas como fundamento para la condena penal) no tiene nada que ver, en mi opinión, con la presunción de inocencia. La exclusión de la prueba ilícita es consecuencia de la protección de otros derechos fundamentales, como el secreto de las comunicaciones o la inviolabilidad del domicilio o de la correspondencia, por ejemplo. Una vez decidida la exclusión, el elemento de juicio no es una prueba en </w:t>
      </w:r>
      <w:r w:rsidRPr="00E10347">
        <w:rPr>
          <w:rFonts w:ascii="Palatino Linotype" w:hAnsi="Palatino Linotype"/>
          <w:i/>
          <w:sz w:val="21"/>
          <w:szCs w:val="21"/>
        </w:rPr>
        <w:t>ese</w:t>
      </w:r>
      <w:r w:rsidRPr="00E10347">
        <w:rPr>
          <w:rFonts w:ascii="Palatino Linotype" w:hAnsi="Palatino Linotype"/>
          <w:sz w:val="21"/>
          <w:szCs w:val="21"/>
        </w:rPr>
        <w:t xml:space="preserve"> proceso. Por ello, no puede usarse para fundamentar ninguna decisión, pero este no es un efecto de la presunción de inocencia</w:t>
      </w:r>
      <w:r w:rsidRPr="00E10347">
        <w:rPr>
          <w:rStyle w:val="Refdenotaalpie"/>
          <w:rFonts w:ascii="Palatino Linotype" w:hAnsi="Palatino Linotype"/>
          <w:sz w:val="21"/>
          <w:szCs w:val="21"/>
        </w:rPr>
        <w:footnoteReference w:id="596"/>
      </w:r>
      <w:r w:rsidRPr="00E10347">
        <w:rPr>
          <w:rFonts w:ascii="Palatino Linotype" w:hAnsi="Palatino Linotype"/>
          <w:sz w:val="21"/>
          <w:szCs w:val="21"/>
        </w:rPr>
        <w:t xml:space="preserve">. </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 xml:space="preserve">Si esto es así, de la presunción de inocencia como regla probatoria </w:t>
      </w:r>
      <w:r w:rsidR="002A76CC">
        <w:rPr>
          <w:rFonts w:ascii="Palatino Linotype" w:hAnsi="Palatino Linotype"/>
          <w:sz w:val="21"/>
          <w:szCs w:val="21"/>
        </w:rPr>
        <w:t xml:space="preserve">solo </w:t>
      </w:r>
      <w:r w:rsidRPr="00E10347">
        <w:rPr>
          <w:rFonts w:ascii="Palatino Linotype" w:hAnsi="Palatino Linotype"/>
          <w:sz w:val="21"/>
          <w:szCs w:val="21"/>
        </w:rPr>
        <w:t xml:space="preserve">queda C), es decir, la atribución de la carga de la prueba a la acusación. Aunque el </w:t>
      </w:r>
      <w:r w:rsidRPr="00E10347">
        <w:rPr>
          <w:rFonts w:ascii="Palatino Linotype" w:hAnsi="Palatino Linotype"/>
          <w:sz w:val="21"/>
          <w:szCs w:val="21"/>
        </w:rPr>
        <w:lastRenderedPageBreak/>
        <w:t>punto me parece mucho más discutible que los anteriores, en mi opinión, tampoco resulta especialmente clarificador vincular la presunción de inocencia con la atribución a la parte acusadora de la carga de la prueba. De hecho, esta distribución de la carga de la prueba puede derivarse de la regla general, vigente ya en el derecho romano, de que atañe a quien afirma la ocurrencia de un hecho su prueba y no a quien la niega (</w:t>
      </w:r>
      <w:r w:rsidRPr="00E10347">
        <w:rPr>
          <w:rFonts w:ascii="Palatino Linotype" w:hAnsi="Palatino Linotype"/>
          <w:i/>
          <w:sz w:val="21"/>
          <w:szCs w:val="21"/>
        </w:rPr>
        <w:t>ei incumbit probatio qui dicit non qui negat</w:t>
      </w:r>
      <w:r w:rsidRPr="00E10347">
        <w:rPr>
          <w:rFonts w:ascii="Palatino Linotype" w:hAnsi="Palatino Linotype"/>
          <w:sz w:val="21"/>
          <w:szCs w:val="21"/>
        </w:rPr>
        <w:t>)</w:t>
      </w:r>
      <w:r w:rsidRPr="00E10347">
        <w:rPr>
          <w:rStyle w:val="Refdenotaalpie"/>
          <w:rFonts w:ascii="Palatino Linotype" w:hAnsi="Palatino Linotype"/>
          <w:sz w:val="21"/>
          <w:szCs w:val="21"/>
        </w:rPr>
        <w:footnoteReference w:id="597"/>
      </w:r>
      <w:r w:rsidRPr="00E10347">
        <w:rPr>
          <w:rFonts w:ascii="Palatino Linotype" w:hAnsi="Palatino Linotype"/>
          <w:sz w:val="21"/>
          <w:szCs w:val="21"/>
        </w:rPr>
        <w:t xml:space="preserve">, regla que fue recibida en nuestro ordenamiento por el artículo 1214 del código civil: “Incumbe la prueba de las obligaciones al que reclama su cumplimiento, y la de su extinción al que la opone”. </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Más adelante volveré sobre la concepción de la presunción de inocencia como regla probatoria en su función de regla sobre la carga de la prueba. Por el momento quisiera advertir que, entendida así, se produce la tendencia a expandir el ámbito de aplicación de la presunción de inocencia a cualquier supuesto de distribución de la carga de la prueba. Un caso claro de esta confusa expansión puede verse en el ámbito del derecho laboral. En efecto, especialmente por lo que hace al derecho disciplinario del trabajo y, en particular, del despido, tanto el Tribunal Constitucional como el Tribunal Supremo y el extinto Tribunal Central del Trabajo han desarrollado una doctrina oscilante respecto del alcance</w:t>
      </w:r>
      <w:r w:rsidRPr="00E10347">
        <w:rPr>
          <w:rStyle w:val="Refdenotaalpie"/>
          <w:rFonts w:ascii="Palatino Linotype" w:hAnsi="Palatino Linotype"/>
          <w:sz w:val="21"/>
          <w:szCs w:val="21"/>
        </w:rPr>
        <w:footnoteReference w:id="598"/>
      </w:r>
      <w:r w:rsidRPr="00E10347">
        <w:rPr>
          <w:rFonts w:ascii="Palatino Linotype" w:hAnsi="Palatino Linotype"/>
          <w:sz w:val="21"/>
          <w:szCs w:val="21"/>
        </w:rPr>
        <w:t>, pero estable por lo que hace a la aplicabilidad del derecho a la presunción de inocencia. Puede verse, por ejemplo, la STC 6/1988, que considera que sería contrario a la presunción de inocencia exigir al trabajador la carga de la prueba de la inexistencia de la causa de despido. Y resulta muy clara también la sentencia del Tribunal Central del Trabajo de 12 de noviembre de 1985:</w:t>
      </w:r>
    </w:p>
    <w:p w:rsidR="00244C82" w:rsidRPr="00E10347" w:rsidRDefault="00244C82" w:rsidP="00E10347">
      <w:pPr>
        <w:ind w:left="540" w:firstLine="709"/>
        <w:jc w:val="both"/>
        <w:rPr>
          <w:rFonts w:ascii="Palatino Linotype" w:hAnsi="Palatino Linotype"/>
          <w:sz w:val="21"/>
          <w:szCs w:val="21"/>
        </w:rPr>
      </w:pPr>
      <w:r w:rsidRPr="00E10347">
        <w:rPr>
          <w:rFonts w:ascii="Palatino Linotype" w:hAnsi="Palatino Linotype"/>
          <w:sz w:val="21"/>
          <w:szCs w:val="21"/>
        </w:rPr>
        <w:t xml:space="preserve">“la presunción de inocencia (…) ni se circunscribe a los ámbitos penal y laboral ni, dentro de éste, a la imputación de incumplimientos contractuales, </w:t>
      </w:r>
      <w:r w:rsidRPr="00E10347">
        <w:rPr>
          <w:rFonts w:ascii="Palatino Linotype" w:hAnsi="Palatino Linotype"/>
          <w:i/>
          <w:sz w:val="21"/>
          <w:szCs w:val="21"/>
        </w:rPr>
        <w:t>sino a todos aquellos hechos que siendo trascendentes para el correcto enjuiciamiento de la cuestión litigiosa están sometidos a las reglas generales que norman la carga de la prueba</w:t>
      </w:r>
      <w:r w:rsidRPr="00E10347">
        <w:rPr>
          <w:rFonts w:ascii="Palatino Linotype" w:hAnsi="Palatino Linotype"/>
          <w:sz w:val="21"/>
          <w:szCs w:val="21"/>
        </w:rPr>
        <w:t xml:space="preserve"> (…)”</w:t>
      </w:r>
      <w:r w:rsidRPr="00E10347">
        <w:rPr>
          <w:rStyle w:val="Refdenotaalpie"/>
          <w:rFonts w:ascii="Palatino Linotype" w:hAnsi="Palatino Linotype"/>
          <w:sz w:val="21"/>
          <w:szCs w:val="21"/>
        </w:rPr>
        <w:footnoteReference w:id="599"/>
      </w:r>
      <w:r w:rsidRPr="00E10347">
        <w:rPr>
          <w:rFonts w:ascii="Palatino Linotype" w:hAnsi="Palatino Linotype"/>
          <w:sz w:val="21"/>
          <w:szCs w:val="21"/>
        </w:rPr>
        <w:t xml:space="preserve"> (La cursiva es mía).</w:t>
      </w:r>
    </w:p>
    <w:p w:rsidR="00244C82" w:rsidRPr="00E10347" w:rsidRDefault="00244C82" w:rsidP="00E10347">
      <w:pPr>
        <w:pStyle w:val="Textonotapie"/>
        <w:ind w:firstLine="709"/>
        <w:jc w:val="both"/>
        <w:rPr>
          <w:rFonts w:ascii="Palatino Linotype" w:hAnsi="Palatino Linotype"/>
          <w:sz w:val="21"/>
          <w:szCs w:val="21"/>
        </w:rPr>
      </w:pPr>
      <w:r w:rsidRPr="00E10347">
        <w:rPr>
          <w:rFonts w:ascii="Palatino Linotype" w:hAnsi="Palatino Linotype"/>
          <w:sz w:val="21"/>
          <w:szCs w:val="21"/>
        </w:rPr>
        <w:lastRenderedPageBreak/>
        <w:t xml:space="preserve">Como puede observarse con claridad en las referencias y citas indicadas, la vinculación entre presunción de inocencia y carga de la prueba no </w:t>
      </w:r>
      <w:r w:rsidR="002A76CC">
        <w:rPr>
          <w:rFonts w:ascii="Palatino Linotype" w:hAnsi="Palatino Linotype"/>
          <w:sz w:val="21"/>
          <w:szCs w:val="21"/>
        </w:rPr>
        <w:t xml:space="preserve">solo </w:t>
      </w:r>
      <w:r w:rsidRPr="00E10347">
        <w:rPr>
          <w:rFonts w:ascii="Palatino Linotype" w:hAnsi="Palatino Linotype"/>
          <w:sz w:val="21"/>
          <w:szCs w:val="21"/>
        </w:rPr>
        <w:t xml:space="preserve">resulta innecesaria sino que también tiende a producir una expansión del ámbito de aplicación de la presunción de inocencia a situaciones en las que nada parece tener que ver la inocencia o culpabilidad de ninguna de las partes. Un caso muy claro es el de la STC 13/1982, ya citada, en la que se declara aplicable y violada la presunción de inocencia en un caso en el que una acusación no probada de homosexualidad del marido, en el marco de un proceso de medidas provisionales de separación matrimonial, habría servido para atribuir la custodia de los hijos a la mujer. Vale la pena citar una parte de la sentencia por cuanto no tiene desperdicio: </w:t>
      </w:r>
    </w:p>
    <w:p w:rsidR="00244C82" w:rsidRPr="00E10347" w:rsidRDefault="00244C82" w:rsidP="00E10347">
      <w:pPr>
        <w:pStyle w:val="HTMLconformatoprevio"/>
        <w:ind w:left="540" w:firstLine="709"/>
        <w:jc w:val="both"/>
        <w:rPr>
          <w:rFonts w:ascii="Palatino Linotype" w:hAnsi="Palatino Linotype" w:cs="Arial"/>
          <w:sz w:val="21"/>
          <w:szCs w:val="21"/>
        </w:rPr>
      </w:pPr>
      <w:r w:rsidRPr="00E10347">
        <w:rPr>
          <w:rFonts w:ascii="Palatino Linotype" w:hAnsi="Palatino Linotype" w:cs="Arial"/>
          <w:sz w:val="21"/>
          <w:szCs w:val="21"/>
        </w:rPr>
        <w:t xml:space="preserve"> “Pues bien, la Sentencia de la Audiencia Provincial de Madrid de 1 de abril de 1981 afirma de manera tajante que en dicha segunda instancia se atribuye al marido un </w:t>
      </w:r>
      <w:r w:rsidRPr="00E10347">
        <w:rPr>
          <w:rFonts w:ascii="Palatino Linotype" w:hAnsi="Palatino Linotype" w:cs="Arial"/>
          <w:i/>
          <w:sz w:val="21"/>
          <w:szCs w:val="21"/>
        </w:rPr>
        <w:t>defecto de homosexualidad</w:t>
      </w:r>
      <w:r w:rsidRPr="00E10347">
        <w:rPr>
          <w:rFonts w:ascii="Palatino Linotype" w:hAnsi="Palatino Linotype" w:cs="Arial"/>
          <w:sz w:val="21"/>
          <w:szCs w:val="21"/>
        </w:rPr>
        <w:t>, «que no está probado, pero tampoco contradicho en Autos. Por todo lo cual, pese a los defectos probados de la madre, ante la gravedad de la referida sospecha en cuanto al padre, conviene continuar el actual estado de cosas, manteniendo el Auto del Juzgado dictado con fecha 17 de marzo de 1978, dejando la guarda de los menores a la madre...».</w:t>
      </w:r>
    </w:p>
    <w:p w:rsidR="00244C82" w:rsidRPr="00E10347" w:rsidRDefault="00244C82" w:rsidP="00E10347">
      <w:pPr>
        <w:pStyle w:val="HTMLconformatoprevio"/>
        <w:ind w:left="540" w:firstLine="709"/>
        <w:jc w:val="both"/>
        <w:rPr>
          <w:rFonts w:ascii="Palatino Linotype" w:hAnsi="Palatino Linotype" w:cs="Arial"/>
          <w:sz w:val="21"/>
          <w:szCs w:val="21"/>
        </w:rPr>
      </w:pPr>
      <w:r w:rsidRPr="00E10347">
        <w:rPr>
          <w:rFonts w:ascii="Palatino Linotype" w:hAnsi="Palatino Linotype" w:cs="Arial"/>
          <w:sz w:val="21"/>
          <w:szCs w:val="21"/>
        </w:rPr>
        <w:t>(…)La realidad ha sido, pues, que la Audiencia, basándose en un hecho que expresamente considera no probado ha extraído de él consecuencias jurídicas que limitan claramente los derechos que al padre pudieran corresponderle. Por ello debe apreciarse que con la Sentencia de la Audiencia Provincial de Madrid se ha vulnerado el derecho a la presunción de inocencia proclamado en el art. 24, núm. 2 de la C. E. y que ampara al recurrente.” (STC 13/1982, F.J. 4º. La cursiva es mía).</w:t>
      </w:r>
    </w:p>
    <w:p w:rsidR="00244C82" w:rsidRPr="00E10347" w:rsidRDefault="00244C82" w:rsidP="00E10347">
      <w:pPr>
        <w:ind w:firstLine="709"/>
        <w:jc w:val="both"/>
        <w:rPr>
          <w:rStyle w:val="apple-style-span"/>
          <w:rFonts w:ascii="Palatino Linotype" w:hAnsi="Palatino Linotype"/>
          <w:sz w:val="21"/>
          <w:szCs w:val="21"/>
        </w:rPr>
      </w:pPr>
      <w:r w:rsidRPr="00E10347">
        <w:rPr>
          <w:rFonts w:ascii="Palatino Linotype" w:hAnsi="Palatino Linotype"/>
          <w:sz w:val="21"/>
          <w:szCs w:val="21"/>
        </w:rPr>
        <w:t xml:space="preserve">Para concluir este apartado: creo que hay un error interpretativo en la doctrina mayoritaria sobre la presunción de inocencia como regla probatoria. El punto de partida es la asunción de las disposiciones internacionales que regulan la presunción de inocencia en estos términos: </w:t>
      </w:r>
      <w:r w:rsidRPr="00E10347">
        <w:rPr>
          <w:rStyle w:val="apple-style-span"/>
          <w:rFonts w:ascii="Palatino Linotype" w:hAnsi="Palatino Linotype"/>
          <w:sz w:val="21"/>
          <w:szCs w:val="21"/>
        </w:rPr>
        <w:t xml:space="preserve">“Toda persona acusada de una infracción se presume inocente hasta que su culpabilidad haya sido declarada </w:t>
      </w:r>
      <w:r w:rsidRPr="00E10347">
        <w:rPr>
          <w:rStyle w:val="apple-style-span"/>
          <w:rFonts w:ascii="Palatino Linotype" w:hAnsi="Palatino Linotype"/>
          <w:i/>
          <w:sz w:val="21"/>
          <w:szCs w:val="21"/>
        </w:rPr>
        <w:t>conforme a la ley</w:t>
      </w:r>
      <w:r w:rsidRPr="00E10347">
        <w:rPr>
          <w:rStyle w:val="apple-style-span"/>
          <w:rFonts w:ascii="Palatino Linotype" w:hAnsi="Palatino Linotype"/>
          <w:sz w:val="21"/>
          <w:szCs w:val="21"/>
        </w:rPr>
        <w:t xml:space="preserve">”. Y se considera, razonablemente, que la cláusula “conforme a la ley” supone que no basta cualquier declaración judicial de culpabilidad, sino que ésta debe haber sido el resultado de un proceso judicial con todas las garantías </w:t>
      </w:r>
      <w:r w:rsidRPr="00E10347">
        <w:rPr>
          <w:rStyle w:val="apple-style-span"/>
          <w:rFonts w:ascii="Palatino Linotype" w:hAnsi="Palatino Linotype"/>
          <w:sz w:val="21"/>
          <w:szCs w:val="21"/>
        </w:rPr>
        <w:lastRenderedPageBreak/>
        <w:t>procesales reconocidas por el derecho. Hasta aquí no hay ningún problema. Ahora bien, el paso erróneo en la argumentación es inferir que ello supone que la presunción de inocencia misma incorpora, en consecuencia, esas garantías, de modo que por arte de esta interpretación todas ellas se constitucionalizan, adquieren rango de derecho fundamental. No pretendo sostener que ésta es una interpretación errónea</w:t>
      </w:r>
      <w:r w:rsidRPr="00E10347">
        <w:rPr>
          <w:rStyle w:val="Refdenotaalpie"/>
          <w:rFonts w:ascii="Palatino Linotype" w:hAnsi="Palatino Linotype"/>
          <w:sz w:val="21"/>
          <w:szCs w:val="21"/>
        </w:rPr>
        <w:footnoteReference w:id="600"/>
      </w:r>
      <w:r w:rsidRPr="00E10347">
        <w:rPr>
          <w:rStyle w:val="apple-style-span"/>
          <w:rFonts w:ascii="Palatino Linotype" w:hAnsi="Palatino Linotype"/>
          <w:sz w:val="21"/>
          <w:szCs w:val="21"/>
        </w:rPr>
        <w:t xml:space="preserve">; más bien que el error está en suponer que es la única interpretación posible. Una interpretación alternativa pasaría por considerar que lo que el derecho a la presunción de inocencia como regla probatoria exige es que se hayan respetado todas las garantías procesales reconocidas por el propio ordenamiento jurídico sin, por ello, incorporarlas al derecho. Se trataría de una remisión en blanco a las garantías que el ordenamiento jurídico en su conjunto tenga reconocidas en cada momento. </w:t>
      </w:r>
    </w:p>
    <w:p w:rsidR="00244C82" w:rsidRPr="00E10347" w:rsidRDefault="00244C82" w:rsidP="00E10347">
      <w:pPr>
        <w:ind w:firstLine="709"/>
        <w:jc w:val="both"/>
        <w:rPr>
          <w:rFonts w:ascii="Palatino Linotype" w:hAnsi="Palatino Linotype"/>
          <w:sz w:val="21"/>
          <w:szCs w:val="21"/>
        </w:rPr>
      </w:pPr>
      <w:r w:rsidRPr="00E10347">
        <w:rPr>
          <w:rStyle w:val="apple-style-span"/>
          <w:rFonts w:ascii="Palatino Linotype" w:hAnsi="Palatino Linotype"/>
          <w:sz w:val="21"/>
          <w:szCs w:val="21"/>
        </w:rPr>
        <w:t>Veámoslo con otro ejemplo: el artículo 25.2 de la Constitución española establece que “[e]l condenado a pena de prisión que estuviere cumpliendo la misma gozará de los derechos fundamentales de</w:t>
      </w:r>
      <w:r w:rsidRPr="00E10347">
        <w:rPr>
          <w:rStyle w:val="apple-converted-space"/>
          <w:rFonts w:ascii="Palatino Linotype" w:hAnsi="Palatino Linotype"/>
          <w:sz w:val="21"/>
          <w:szCs w:val="21"/>
        </w:rPr>
        <w:t> </w:t>
      </w:r>
      <w:r w:rsidRPr="00E10347">
        <w:rPr>
          <w:rStyle w:val="apple-style-span"/>
          <w:rFonts w:ascii="Palatino Linotype" w:hAnsi="Palatino Linotype"/>
          <w:sz w:val="21"/>
          <w:szCs w:val="21"/>
        </w:rPr>
        <w:t xml:space="preserve">este Capítulo, a excepción de los que se vean expresamente limitados por el contenido del fallo condenatorio, el sentido de la pena y la Ley penitenciaria”. Pues bien, se observa una remisión a la Ley penitenciaria a los efectos de determinar las excepciones al goce de los derechos fundamentales por parte de los condenados a pena de prisión. Pero ello no supone, claro está, que las excepciones que establezca la referida ley en el momento </w:t>
      </w:r>
      <w:r w:rsidRPr="00E10347">
        <w:rPr>
          <w:rStyle w:val="apple-style-span"/>
          <w:rFonts w:ascii="Palatino Linotype" w:hAnsi="Palatino Linotype"/>
          <w:i/>
          <w:sz w:val="21"/>
          <w:szCs w:val="21"/>
        </w:rPr>
        <w:t>m</w:t>
      </w:r>
      <w:r w:rsidRPr="00E10347">
        <w:rPr>
          <w:rStyle w:val="apple-style-span"/>
          <w:rFonts w:ascii="Palatino Linotype" w:hAnsi="Palatino Linotype"/>
          <w:sz w:val="21"/>
          <w:szCs w:val="21"/>
          <w:vertAlign w:val="subscript"/>
        </w:rPr>
        <w:t>1</w:t>
      </w:r>
      <w:r w:rsidRPr="00E10347">
        <w:rPr>
          <w:rStyle w:val="apple-style-span"/>
          <w:rFonts w:ascii="Palatino Linotype" w:hAnsi="Palatino Linotype"/>
          <w:sz w:val="21"/>
          <w:szCs w:val="21"/>
        </w:rPr>
        <w:t xml:space="preserve"> queden, por ello, constitucionalizadas o incorporadas al referido artículo 25.2. De ser así, estas ya no podrían ser modificadas mediante normas con rango de ley, por efecto de la jerarquía normativa. Del mismo modo, que el derecho a la presunción de inocencia como regla probatoria remita a las reglas probatorias previstas por el derecho, cuyo cumplimiento exigiría, no implica que estas deban ser incorporadas al propio derecho fundamental.</w:t>
      </w:r>
    </w:p>
    <w:p w:rsidR="00DD5619" w:rsidRDefault="00DD5619" w:rsidP="00E10347">
      <w:pPr>
        <w:pStyle w:val="HTMLconformatoprevio"/>
        <w:jc w:val="both"/>
        <w:rPr>
          <w:rFonts w:ascii="Palatino Linotype" w:hAnsi="Palatino Linotype" w:cs="Arial"/>
          <w:b/>
          <w:sz w:val="21"/>
          <w:szCs w:val="21"/>
        </w:rPr>
      </w:pPr>
    </w:p>
    <w:p w:rsidR="00244C82" w:rsidRPr="00E10347" w:rsidRDefault="001E59C2" w:rsidP="00E10347">
      <w:pPr>
        <w:pStyle w:val="HTMLconformatoprevio"/>
        <w:jc w:val="both"/>
        <w:rPr>
          <w:rFonts w:ascii="Palatino Linotype" w:hAnsi="Palatino Linotype" w:cs="Arial"/>
          <w:b/>
          <w:sz w:val="21"/>
          <w:szCs w:val="21"/>
        </w:rPr>
      </w:pPr>
      <w:r w:rsidRPr="00E10347">
        <w:rPr>
          <w:rFonts w:ascii="Palatino Linotype" w:hAnsi="Palatino Linotype" w:cs="Arial"/>
          <w:b/>
          <w:sz w:val="21"/>
          <w:szCs w:val="21"/>
        </w:rPr>
        <w:t xml:space="preserve">1.2.4 </w:t>
      </w:r>
      <w:r w:rsidR="00244C82" w:rsidRPr="00E10347">
        <w:rPr>
          <w:rFonts w:ascii="Palatino Linotype" w:hAnsi="Palatino Linotype" w:cs="Arial"/>
          <w:b/>
          <w:sz w:val="21"/>
          <w:szCs w:val="21"/>
        </w:rPr>
        <w:t>La presunción de inocencia como regla de juicio</w:t>
      </w:r>
    </w:p>
    <w:p w:rsidR="00244C82" w:rsidRPr="00E10347" w:rsidRDefault="00244C82" w:rsidP="00E10347">
      <w:pPr>
        <w:pStyle w:val="HTMLconformatoprevio"/>
        <w:ind w:firstLine="709"/>
        <w:jc w:val="both"/>
        <w:rPr>
          <w:rFonts w:ascii="Palatino Linotype" w:hAnsi="Palatino Linotype" w:cs="Arial"/>
          <w:sz w:val="21"/>
          <w:szCs w:val="21"/>
        </w:rPr>
      </w:pPr>
      <w:r w:rsidRPr="00E10347">
        <w:rPr>
          <w:rFonts w:ascii="Palatino Linotype" w:hAnsi="Palatino Linotype" w:cs="Arial"/>
          <w:sz w:val="21"/>
          <w:szCs w:val="21"/>
        </w:rPr>
        <w:t xml:space="preserve">La presunción de inocencia, en su faceta de regla de juicio, se aplica en el momento de la valoración de la prueba, de modo que si la prueba obrante en autos no resulta concluyente para demostrar la culpabilidad del imputado, la duda se </w:t>
      </w:r>
      <w:r w:rsidRPr="00E10347">
        <w:rPr>
          <w:rFonts w:ascii="Palatino Linotype" w:hAnsi="Palatino Linotype" w:cs="Arial"/>
          <w:sz w:val="21"/>
          <w:szCs w:val="21"/>
        </w:rPr>
        <w:lastRenderedPageBreak/>
        <w:t>resuelva a favor de la inocencia de éste. Ésta, por otra parte, es la tradicional lectura de la presunción de inocencia en la doctrina anglosajona.</w:t>
      </w:r>
    </w:p>
    <w:p w:rsidR="00244C82" w:rsidRPr="00E10347" w:rsidRDefault="00244C82" w:rsidP="00E10347">
      <w:pPr>
        <w:pStyle w:val="HTMLconformatoprevio"/>
        <w:ind w:firstLine="709"/>
        <w:jc w:val="both"/>
        <w:rPr>
          <w:rFonts w:ascii="Palatino Linotype" w:hAnsi="Palatino Linotype" w:cs="Arial"/>
          <w:sz w:val="21"/>
          <w:szCs w:val="21"/>
        </w:rPr>
      </w:pPr>
      <w:r w:rsidRPr="00E10347">
        <w:rPr>
          <w:rFonts w:ascii="Palatino Linotype" w:hAnsi="Palatino Linotype" w:cs="Arial"/>
          <w:sz w:val="21"/>
          <w:szCs w:val="21"/>
        </w:rPr>
        <w:t xml:space="preserve">Por razones que espero poder mostrar en lo que sigue, considero que esta faceta de la presunción de inocencia, como regla de juicio, es crucial si la presunción de inocencia debe jugar un papel de garantía procesal del ciudadano. Sin embargo, sorprendentemente, ha sido la más descuidada y ha recibido un tratamiento doctrinal y jurisprudencial muchas veces lamentable.  </w:t>
      </w:r>
    </w:p>
    <w:p w:rsidR="00244C82" w:rsidRPr="00E10347" w:rsidRDefault="00244C82" w:rsidP="00E10347">
      <w:pPr>
        <w:pStyle w:val="HTMLconformatoprevio"/>
        <w:ind w:firstLine="709"/>
        <w:jc w:val="both"/>
        <w:rPr>
          <w:rFonts w:ascii="Palatino Linotype" w:hAnsi="Palatino Linotype" w:cs="Arial"/>
          <w:sz w:val="21"/>
          <w:szCs w:val="21"/>
        </w:rPr>
      </w:pPr>
      <w:r w:rsidRPr="00E10347">
        <w:rPr>
          <w:rFonts w:ascii="Palatino Linotype" w:hAnsi="Palatino Linotype" w:cs="Arial"/>
          <w:sz w:val="21"/>
          <w:szCs w:val="21"/>
        </w:rPr>
        <w:t xml:space="preserve">Conviene señalar, en primer lugar, el difícil camino adoptado por el Tribunal Constitucional español (y seguido por la mayoría de nuestra doctrina) por cuanto hace a la relación entre la presunción de inocencia y el principio </w:t>
      </w:r>
      <w:r w:rsidRPr="00E10347">
        <w:rPr>
          <w:rFonts w:ascii="Palatino Linotype" w:hAnsi="Palatino Linotype" w:cs="Arial"/>
          <w:i/>
          <w:sz w:val="21"/>
          <w:szCs w:val="21"/>
        </w:rPr>
        <w:t>in dubio pro reo</w:t>
      </w:r>
      <w:r w:rsidRPr="00E10347">
        <w:rPr>
          <w:rStyle w:val="Refdenotaalpie"/>
          <w:rFonts w:ascii="Palatino Linotype" w:hAnsi="Palatino Linotype" w:cs="Arial"/>
          <w:i/>
          <w:sz w:val="21"/>
          <w:szCs w:val="21"/>
        </w:rPr>
        <w:footnoteReference w:id="601"/>
      </w:r>
      <w:r w:rsidRPr="00E10347">
        <w:rPr>
          <w:rFonts w:ascii="Palatino Linotype" w:hAnsi="Palatino Linotype" w:cs="Arial"/>
          <w:sz w:val="21"/>
          <w:szCs w:val="21"/>
        </w:rPr>
        <w:t>. Inicialmente, el Tribunal consideró el reconocimiento del derecho a la presunción de inocencia del artículo 24.2 de la Constitución española como la constitucionalización de aquél principio</w:t>
      </w:r>
      <w:r w:rsidRPr="00E10347">
        <w:rPr>
          <w:rStyle w:val="Refdenotaalpie"/>
          <w:rFonts w:ascii="Palatino Linotype" w:hAnsi="Palatino Linotype" w:cs="Arial"/>
          <w:sz w:val="21"/>
          <w:szCs w:val="21"/>
        </w:rPr>
        <w:footnoteReference w:id="602"/>
      </w:r>
      <w:r w:rsidRPr="00E10347">
        <w:rPr>
          <w:rFonts w:ascii="Palatino Linotype" w:hAnsi="Palatino Linotype" w:cs="Arial"/>
          <w:sz w:val="21"/>
          <w:szCs w:val="21"/>
        </w:rPr>
        <w:t>. En cambio, por motivos estrictamente pragmáticos encaminados a restringir el acceso a través del recurso de amparo a la jurisdicción constitucional en reclamación de la violación de la presunción de inocencia, en su faceta de regla de juicio, posteriormente se modificó esa doctrina</w:t>
      </w:r>
      <w:r w:rsidRPr="00E10347">
        <w:rPr>
          <w:rStyle w:val="Refdenotaalpie"/>
          <w:rFonts w:ascii="Palatino Linotype" w:hAnsi="Palatino Linotype" w:cs="Arial"/>
          <w:sz w:val="21"/>
          <w:szCs w:val="21"/>
        </w:rPr>
        <w:footnoteReference w:id="603"/>
      </w:r>
      <w:r w:rsidRPr="00E10347">
        <w:rPr>
          <w:rFonts w:ascii="Palatino Linotype" w:hAnsi="Palatino Linotype" w:cs="Arial"/>
          <w:sz w:val="21"/>
          <w:szCs w:val="21"/>
        </w:rPr>
        <w:t xml:space="preserve"> para pasar a sostener una radical diferencia entre presunción de inocencia e </w:t>
      </w:r>
      <w:r w:rsidRPr="00E10347">
        <w:rPr>
          <w:rFonts w:ascii="Palatino Linotype" w:hAnsi="Palatino Linotype" w:cs="Arial"/>
          <w:i/>
          <w:sz w:val="21"/>
          <w:szCs w:val="21"/>
        </w:rPr>
        <w:t>in dubio pro reo</w:t>
      </w:r>
      <w:r w:rsidRPr="00E10347">
        <w:rPr>
          <w:rFonts w:ascii="Palatino Linotype" w:hAnsi="Palatino Linotype" w:cs="Arial"/>
          <w:sz w:val="21"/>
          <w:szCs w:val="21"/>
        </w:rPr>
        <w:t>.</w:t>
      </w:r>
    </w:p>
    <w:p w:rsidR="00244C82" w:rsidRPr="00E10347" w:rsidRDefault="00244C82" w:rsidP="00E10347">
      <w:pPr>
        <w:pStyle w:val="HTMLconformatoprevio"/>
        <w:ind w:firstLine="709"/>
        <w:jc w:val="both"/>
        <w:rPr>
          <w:rFonts w:ascii="Palatino Linotype" w:hAnsi="Palatino Linotype" w:cs="Arial"/>
          <w:sz w:val="21"/>
          <w:szCs w:val="21"/>
        </w:rPr>
      </w:pPr>
      <w:r w:rsidRPr="00E10347">
        <w:rPr>
          <w:rFonts w:ascii="Palatino Linotype" w:hAnsi="Palatino Linotype" w:cs="Arial"/>
          <w:sz w:val="21"/>
          <w:szCs w:val="21"/>
        </w:rPr>
        <w:t xml:space="preserve">Así, se sostiene que la presunción de inocencia es aplicable únicamente en los supuestos en los que no hay prueba de cargo (o cuando las pruebas practicadas no lo han sido respetando las garantías procesales), mientras que el principio in dubio pro reo es una regla de valoración de la prueba dirigida al juez o tribunal de </w:t>
      </w:r>
      <w:r w:rsidRPr="00E10347">
        <w:rPr>
          <w:rFonts w:ascii="Palatino Linotype" w:hAnsi="Palatino Linotype" w:cs="Arial"/>
          <w:sz w:val="21"/>
          <w:szCs w:val="21"/>
        </w:rPr>
        <w:lastRenderedPageBreak/>
        <w:t xml:space="preserve">instancia prescribiendo la absolución del imputado si, practicadas las pruebas de cargo, a aquél le quedaran dudas acerca de la ocurrencia de los hechos delictivos o de la participación del imputado en ellos. La consecuencia práctica de esta distinción es que la presunción de inocencia no abarcaría la faceta de regla de juicio: decir que no se puede condenar sin prueba de cargo no es, en puridad teórica ni en la práctica, una regla de juicio sobre la valoración de la prueba, puesto que se aplicaría </w:t>
      </w:r>
      <w:r w:rsidR="002A76CC">
        <w:rPr>
          <w:rFonts w:ascii="Palatino Linotype" w:hAnsi="Palatino Linotype" w:cs="Arial"/>
          <w:sz w:val="21"/>
          <w:szCs w:val="21"/>
        </w:rPr>
        <w:t xml:space="preserve">solo </w:t>
      </w:r>
      <w:r w:rsidRPr="00E10347">
        <w:rPr>
          <w:rFonts w:ascii="Palatino Linotype" w:hAnsi="Palatino Linotype" w:cs="Arial"/>
          <w:sz w:val="21"/>
          <w:szCs w:val="21"/>
        </w:rPr>
        <w:t>en ausencia de prueba. Pero si la faceta de regla de juicio de la presunción de inocencia es crucial si ésta se concibe como una garantía procesal, entonces esa consecuencia produce una total desprotección constitucional de esa garantía (Caamaño, 2003: 246).</w:t>
      </w:r>
    </w:p>
    <w:p w:rsidR="00244C82" w:rsidRPr="00E10347" w:rsidRDefault="00244C82" w:rsidP="00E10347">
      <w:pPr>
        <w:pStyle w:val="Textonotapie"/>
        <w:ind w:firstLine="709"/>
        <w:jc w:val="both"/>
        <w:rPr>
          <w:rFonts w:ascii="Palatino Linotype" w:hAnsi="Palatino Linotype"/>
          <w:sz w:val="21"/>
          <w:szCs w:val="21"/>
        </w:rPr>
      </w:pPr>
      <w:r w:rsidRPr="00E10347">
        <w:rPr>
          <w:rFonts w:ascii="Palatino Linotype" w:hAnsi="Palatino Linotype"/>
          <w:sz w:val="21"/>
          <w:szCs w:val="21"/>
        </w:rPr>
        <w:t>Sin embargo, para mayor confusión, el propio Tribunal Constitucional ha sostenido también repetidamente el estatus de regla de juicio de la presunción de inocencia, en cuya función supondría la constitucionalización del estándar de prueba penal. Así, la presunción de inocencia impondría la obligación de absolver si el resultado de la valoración de la prueba no alcanza el estándar de prueba indicado. Pero, ¿cuál es ese estándar de prueba? En los primeros años de la jurisprudencia constitucional y también en la tradicional jurisprudencia del Tribunal Supremo, esa pregunta se respondía apelando a la íntima convicción o a la apreciación en conciencia, señalada como criterio de la valoración de la prueba en el artículo 741.1 de la Ley de Enjuiciamiento Criminal. Así, en esa versión claramente subjetivista, la STC 124/1983 (F.J. 1º) afirma que:</w:t>
      </w:r>
    </w:p>
    <w:p w:rsidR="00244C82" w:rsidRPr="00E10347" w:rsidRDefault="00244C82" w:rsidP="00E10347">
      <w:pPr>
        <w:ind w:left="540" w:firstLine="709"/>
        <w:jc w:val="both"/>
        <w:rPr>
          <w:rFonts w:ascii="Palatino Linotype" w:hAnsi="Palatino Linotype"/>
          <w:sz w:val="21"/>
          <w:szCs w:val="21"/>
        </w:rPr>
      </w:pPr>
      <w:r w:rsidRPr="00E10347">
        <w:rPr>
          <w:rFonts w:ascii="Palatino Linotype" w:hAnsi="Palatino Linotype"/>
          <w:sz w:val="21"/>
          <w:szCs w:val="21"/>
        </w:rPr>
        <w:t xml:space="preserve">“Por otra parte, conviene también señalar aquí que el razonamiento del Juez de Instrucción de Noya contenido con el considerando primero de su Sentencia es impecable desde el punto de vista constitucional, esto es, bajo el enfoque del art. 24.2 de la C.E., pues si a él, bajo el sistema de libre apreciación de la prueba del art. 741 de la Ley de Enjuiciamiento Criminal, las pruebas practicadas no le convencieron de la culpabilidad de los encartados, actuó perfectamente al absolverlos, porque bajo el imperativo del art. 24.2 de la C.E. es evidente que nadie puede ser condenado </w:t>
      </w:r>
      <w:r w:rsidR="002A76CC">
        <w:rPr>
          <w:rFonts w:ascii="Palatino Linotype" w:hAnsi="Palatino Linotype"/>
          <w:sz w:val="21"/>
          <w:szCs w:val="21"/>
        </w:rPr>
        <w:t xml:space="preserve">solo </w:t>
      </w:r>
      <w:r w:rsidRPr="00E10347">
        <w:rPr>
          <w:rFonts w:ascii="Palatino Linotype" w:hAnsi="Palatino Linotype"/>
          <w:sz w:val="21"/>
          <w:szCs w:val="21"/>
        </w:rPr>
        <w:t xml:space="preserve">porque «existan indicios que apunten hacia la posible participación» del o de los acusados en los hechos delictivos. Sucede, sin embargo, que si con los mismos elementos probatorios otro Tribunal, el de apelación, «apreciando según su conciencia las pruebas practicadas en el juicio» (art. 741 de la Ley de Enjuiciamiento Criminal) llega a un resultado contrario, y en este caso, al convencimiento razonable y razonado de la culpabilidad de los antes absueltos, no por ello puede </w:t>
      </w:r>
      <w:r w:rsidRPr="00E10347">
        <w:rPr>
          <w:rFonts w:ascii="Palatino Linotype" w:hAnsi="Palatino Linotype"/>
          <w:sz w:val="21"/>
          <w:szCs w:val="21"/>
        </w:rPr>
        <w:lastRenderedPageBreak/>
        <w:t>afirmarse violación alguna contra la presunción de inocencia, siempre que las pruebas practicadas en el juicio sean las que le proporcionen fundamento para su convicción. Así las cosas no puede hablarse de vulneración de la presunción de inocencia, sino de una discrepancia en la valoración de la prueba hecha por dos órganos judiciales igualmente libres para valorar en conciencia, con el resultado de que entre ambas valoraciones ha de imponerse la del Tribunal de apelación.”</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Es decir, los dos órganos judiciales, el Juez de Noya y el Tribunal de apelación, valoran en conciencia la prueba, de modo subjetivo, y el Tribunal de apelación manda más</w:t>
      </w:r>
      <w:r w:rsidRPr="00E10347">
        <w:rPr>
          <w:rStyle w:val="Refdenotaalpie"/>
          <w:rFonts w:ascii="Palatino Linotype" w:hAnsi="Palatino Linotype"/>
          <w:sz w:val="21"/>
          <w:szCs w:val="21"/>
        </w:rPr>
        <w:footnoteReference w:id="604"/>
      </w:r>
      <w:r w:rsidRPr="00E10347">
        <w:rPr>
          <w:rFonts w:ascii="Palatino Linotype" w:hAnsi="Palatino Linotype"/>
          <w:sz w:val="21"/>
          <w:szCs w:val="21"/>
        </w:rPr>
        <w:t xml:space="preserve">. Lo difícil es entender aquí cuál es la regla de juicio que se impone a los juzgadores y cuál la garantía que se otorga al ciudadano inmerso en un proceso penal. Más recientemente, sin embargo, tanto el Tribunal Supremo como el Constitucional han sostenido que la presunción de inocencia como regla de juicio supone que </w:t>
      </w:r>
      <w:r w:rsidR="002A76CC">
        <w:rPr>
          <w:rFonts w:ascii="Palatino Linotype" w:hAnsi="Palatino Linotype"/>
          <w:sz w:val="21"/>
          <w:szCs w:val="21"/>
        </w:rPr>
        <w:t xml:space="preserve">solo </w:t>
      </w:r>
      <w:r w:rsidRPr="00E10347">
        <w:rPr>
          <w:rFonts w:ascii="Palatino Linotype" w:hAnsi="Palatino Linotype"/>
          <w:sz w:val="21"/>
          <w:szCs w:val="21"/>
        </w:rPr>
        <w:t>puede condenarse si el resultado de las pruebas acredita la culpabilidad del acusado más allá de toda duda razonable, incorporando así el típico estándar de prueba penal anglosajón. Valga un ejemplo por todos:</w:t>
      </w:r>
    </w:p>
    <w:p w:rsidR="00244C82" w:rsidRPr="00E10347" w:rsidRDefault="00244C82" w:rsidP="00E10347">
      <w:pPr>
        <w:ind w:left="540" w:firstLine="709"/>
        <w:jc w:val="both"/>
        <w:rPr>
          <w:rStyle w:val="apple-style-span"/>
          <w:rFonts w:ascii="Palatino Linotype" w:hAnsi="Palatino Linotype" w:cs="Lucida Sans Unicode"/>
          <w:sz w:val="21"/>
          <w:szCs w:val="21"/>
        </w:rPr>
      </w:pPr>
      <w:r w:rsidRPr="00E10347">
        <w:rPr>
          <w:rStyle w:val="apple-style-span"/>
          <w:rFonts w:ascii="Palatino Linotype" w:hAnsi="Palatino Linotype" w:cs="Lucida Sans Unicode"/>
          <w:sz w:val="21"/>
          <w:szCs w:val="21"/>
        </w:rPr>
        <w:t xml:space="preserve">“el derecho a la presunción de inocencia comporta el derecho a no ser condenado sin pruebas de cargo válidas, lo que implica que toda Sentencia condenatoria debe expresar las pruebas en las que sustenta la declaración de responsabilidad penal; además, dichas pruebas han de haber sido obtenidas con las garantías constitucionales, haberse practicado normalmente en el juicio oral y haberse valorado y motivado por los Tribunales con sometimiento a las reglas de la lógica y la experiencia, de tal modo que pueda afirmarse que la declaración de culpabilidad </w:t>
      </w:r>
      <w:r w:rsidRPr="00E10347">
        <w:rPr>
          <w:rStyle w:val="apple-style-span"/>
          <w:rFonts w:ascii="Palatino Linotype" w:hAnsi="Palatino Linotype" w:cs="Lucida Sans Unicode"/>
          <w:i/>
          <w:sz w:val="21"/>
          <w:szCs w:val="21"/>
        </w:rPr>
        <w:t>ha quedado establecida más allá de toda duda razonable</w:t>
      </w:r>
      <w:r w:rsidRPr="00E10347">
        <w:rPr>
          <w:rStyle w:val="apple-style-span"/>
          <w:rFonts w:ascii="Palatino Linotype" w:hAnsi="Palatino Linotype" w:cs="Lucida Sans Unicode"/>
          <w:sz w:val="21"/>
          <w:szCs w:val="21"/>
        </w:rPr>
        <w:t>” (STC 43/2003, F.J. 4º. La cursiva es mía)</w:t>
      </w:r>
      <w:r w:rsidRPr="00E10347">
        <w:rPr>
          <w:rStyle w:val="Refdenotaalpie"/>
          <w:rFonts w:ascii="Palatino Linotype" w:hAnsi="Palatino Linotype" w:cs="Lucida Sans Unicode"/>
          <w:sz w:val="21"/>
          <w:szCs w:val="21"/>
        </w:rPr>
        <w:footnoteReference w:id="605"/>
      </w:r>
      <w:r w:rsidRPr="00E10347">
        <w:rPr>
          <w:rStyle w:val="apple-style-span"/>
          <w:rFonts w:ascii="Palatino Linotype" w:hAnsi="Palatino Linotype" w:cs="Lucida Sans Unicode"/>
          <w:sz w:val="21"/>
          <w:szCs w:val="21"/>
        </w:rPr>
        <w:t xml:space="preserve">. </w:t>
      </w:r>
    </w:p>
    <w:p w:rsidR="00244C82" w:rsidRPr="00E10347" w:rsidRDefault="00244C82" w:rsidP="00E10347">
      <w:pPr>
        <w:ind w:firstLine="709"/>
        <w:jc w:val="both"/>
        <w:rPr>
          <w:rFonts w:ascii="Palatino Linotype" w:hAnsi="Palatino Linotype" w:cs="Lucida Sans Unicode"/>
          <w:sz w:val="21"/>
          <w:szCs w:val="21"/>
        </w:rPr>
      </w:pPr>
      <w:r w:rsidRPr="00E10347">
        <w:rPr>
          <w:rFonts w:ascii="Palatino Linotype" w:hAnsi="Palatino Linotype" w:cs="Lucida Sans Unicode"/>
          <w:sz w:val="21"/>
          <w:szCs w:val="21"/>
        </w:rPr>
        <w:t>Claro que la perplejidad al respecto aumenta más si cabe si se atiende a lo que se dice en la STC 209/2007 (F.J. 6º):</w:t>
      </w:r>
    </w:p>
    <w:p w:rsidR="00244C82" w:rsidRPr="00E10347" w:rsidRDefault="00244C82" w:rsidP="00E10347">
      <w:pPr>
        <w:ind w:left="540" w:firstLine="709"/>
        <w:jc w:val="both"/>
        <w:rPr>
          <w:rStyle w:val="apple-style-span"/>
          <w:rFonts w:ascii="Palatino Linotype" w:hAnsi="Palatino Linotype" w:cs="Lucida Sans Unicode"/>
          <w:sz w:val="21"/>
          <w:szCs w:val="21"/>
        </w:rPr>
      </w:pPr>
      <w:r w:rsidRPr="00E10347">
        <w:rPr>
          <w:rStyle w:val="apple-style-span"/>
          <w:rFonts w:ascii="Palatino Linotype" w:hAnsi="Palatino Linotype" w:cs="Lucida Sans Unicode"/>
          <w:sz w:val="21"/>
          <w:szCs w:val="21"/>
        </w:rPr>
        <w:t xml:space="preserve">“En el análisis de razonabilidad de esa regla que relaciona los indicios y el hecho probado hemos de precisar ahora que </w:t>
      </w:r>
      <w:r w:rsidR="002A76CC">
        <w:rPr>
          <w:rStyle w:val="apple-style-span"/>
          <w:rFonts w:ascii="Palatino Linotype" w:hAnsi="Palatino Linotype" w:cs="Lucida Sans Unicode"/>
          <w:sz w:val="21"/>
          <w:szCs w:val="21"/>
        </w:rPr>
        <w:t xml:space="preserve">solo </w:t>
      </w:r>
      <w:r w:rsidRPr="00E10347">
        <w:rPr>
          <w:rStyle w:val="apple-style-span"/>
          <w:rFonts w:ascii="Palatino Linotype" w:hAnsi="Palatino Linotype" w:cs="Lucida Sans Unicode"/>
          <w:sz w:val="21"/>
          <w:szCs w:val="21"/>
        </w:rPr>
        <w:t xml:space="preserve">podemos considerarla </w:t>
      </w:r>
      <w:r w:rsidRPr="00E10347">
        <w:rPr>
          <w:rStyle w:val="apple-style-span"/>
          <w:rFonts w:ascii="Palatino Linotype" w:hAnsi="Palatino Linotype" w:cs="Lucida Sans Unicode"/>
          <w:sz w:val="21"/>
          <w:szCs w:val="21"/>
        </w:rPr>
        <w:lastRenderedPageBreak/>
        <w:t xml:space="preserve">insuficiente desde las exigencias del derecho a la presunción de inocencia si, a la vista de la motivación judicial de la valoración del conjunto de la prueba, cabe apreciar de un modo indubitado desde una perspectiva objetiva y externa que </w:t>
      </w:r>
      <w:r w:rsidRPr="00E10347">
        <w:rPr>
          <w:rStyle w:val="apple-style-span"/>
          <w:rFonts w:ascii="Palatino Linotype" w:hAnsi="Palatino Linotype" w:cs="Lucida Sans Unicode"/>
          <w:i/>
          <w:sz w:val="21"/>
          <w:szCs w:val="21"/>
        </w:rPr>
        <w:t>la versión judicial de los hechos era más improbable que probable</w:t>
      </w:r>
      <w:r w:rsidRPr="00E10347">
        <w:rPr>
          <w:rStyle w:val="apple-style-span"/>
          <w:rFonts w:ascii="Palatino Linotype" w:hAnsi="Palatino Linotype" w:cs="Lucida Sans Unicode"/>
          <w:sz w:val="21"/>
          <w:szCs w:val="21"/>
        </w:rPr>
        <w:t>. En tales casos ... no cabrá estimar como razonable bien que el órgano judicial actuó con una convicción suficiente ('más allá de toda duda razonable'), bien la convicción en sí" (SSTC 145/2005, de 6 de junio, FJ 5; 70/2007, de 16 de abril, FJ 8).” (La cursiva es mía).</w:t>
      </w:r>
    </w:p>
    <w:p w:rsidR="00244C82" w:rsidRPr="00E10347" w:rsidRDefault="00244C82" w:rsidP="00E10347">
      <w:pPr>
        <w:ind w:firstLine="709"/>
        <w:jc w:val="both"/>
        <w:rPr>
          <w:rFonts w:ascii="Palatino Linotype" w:hAnsi="Palatino Linotype" w:cs="Lucida Sans Unicode"/>
          <w:sz w:val="21"/>
          <w:szCs w:val="21"/>
        </w:rPr>
      </w:pPr>
      <w:r w:rsidRPr="00E10347">
        <w:rPr>
          <w:rFonts w:ascii="Palatino Linotype" w:hAnsi="Palatino Linotype" w:cs="Lucida Sans Unicode"/>
          <w:sz w:val="21"/>
          <w:szCs w:val="21"/>
        </w:rPr>
        <w:t xml:space="preserve">Como puede apreciarse, el nivel de confusión acerca de la relación entre presunción de inocencia y estándar de prueba penal es muy considerable. Urge, pues, clarificar el sentido y el alcance de la presunción de inocencia como regla de juicio del proceso penal. </w:t>
      </w:r>
    </w:p>
    <w:p w:rsidR="00244C82" w:rsidRPr="00E10347" w:rsidRDefault="00244C82" w:rsidP="00E10347">
      <w:pPr>
        <w:ind w:firstLine="709"/>
        <w:jc w:val="both"/>
        <w:rPr>
          <w:rFonts w:ascii="Palatino Linotype" w:hAnsi="Palatino Linotype" w:cs="Lucida Sans Unicode"/>
          <w:sz w:val="21"/>
          <w:szCs w:val="21"/>
        </w:rPr>
      </w:pPr>
      <w:r w:rsidRPr="00E10347">
        <w:rPr>
          <w:rFonts w:ascii="Palatino Linotype" w:hAnsi="Palatino Linotype" w:cs="Lucida Sans Unicode"/>
          <w:sz w:val="21"/>
          <w:szCs w:val="21"/>
        </w:rPr>
        <w:t>Lo primero que debe decirse es que, contra lo que sostiene la jurisprudencia y la mayor parte de la doctrina, el derecho a la presunción de inocencia presupone la vigencia de un estándar de prueba pero no implica estándar de prueba alguno. En efecto, como he señalado al inicio de este apartado, ese derecho, en su faceta de regla de juicio, supone que el acusado debe ser absuelto en caso de duda sobre su culpabilidad. Pero ¿de qué duda estamos hablando? Creo que caben tres posibilidades:</w:t>
      </w:r>
    </w:p>
    <w:p w:rsidR="00244C82" w:rsidRPr="00E10347" w:rsidRDefault="00244C82" w:rsidP="00E83320">
      <w:pPr>
        <w:widowControl/>
        <w:numPr>
          <w:ilvl w:val="0"/>
          <w:numId w:val="34"/>
        </w:numPr>
        <w:tabs>
          <w:tab w:val="clear" w:pos="1743"/>
          <w:tab w:val="num" w:pos="0"/>
        </w:tabs>
        <w:autoSpaceDE/>
        <w:autoSpaceDN/>
        <w:adjustRightInd/>
        <w:ind w:left="0" w:firstLine="709"/>
        <w:jc w:val="both"/>
        <w:rPr>
          <w:rFonts w:ascii="Palatino Linotype" w:hAnsi="Palatino Linotype" w:cs="Lucida Sans Unicode"/>
          <w:sz w:val="21"/>
          <w:szCs w:val="21"/>
        </w:rPr>
      </w:pPr>
      <w:r w:rsidRPr="00E10347">
        <w:rPr>
          <w:rFonts w:ascii="Palatino Linotype" w:hAnsi="Palatino Linotype" w:cs="Lucida Sans Unicode"/>
          <w:sz w:val="21"/>
          <w:szCs w:val="21"/>
        </w:rPr>
        <w:t xml:space="preserve">Del estado psicológico de duda que las pruebas practicadas en el proceso pueden suscitar en el juzgador. Ésta es la respuesta típica de las concepciones subjetivistas de la prueba, que no </w:t>
      </w:r>
      <w:r w:rsidR="002A76CC">
        <w:rPr>
          <w:rFonts w:ascii="Palatino Linotype" w:hAnsi="Palatino Linotype" w:cs="Lucida Sans Unicode"/>
          <w:sz w:val="21"/>
          <w:szCs w:val="21"/>
        </w:rPr>
        <w:t xml:space="preserve">solo </w:t>
      </w:r>
      <w:r w:rsidRPr="00E10347">
        <w:rPr>
          <w:rFonts w:ascii="Palatino Linotype" w:hAnsi="Palatino Linotype" w:cs="Lucida Sans Unicode"/>
          <w:sz w:val="21"/>
          <w:szCs w:val="21"/>
        </w:rPr>
        <w:t>son incompatibles con la valoración racional de la prueba sino también con una concepción garantista de la presunción de inocencia.</w:t>
      </w:r>
    </w:p>
    <w:p w:rsidR="00244C82" w:rsidRPr="00E10347" w:rsidRDefault="00244C82" w:rsidP="00E83320">
      <w:pPr>
        <w:widowControl/>
        <w:numPr>
          <w:ilvl w:val="0"/>
          <w:numId w:val="34"/>
        </w:numPr>
        <w:tabs>
          <w:tab w:val="clear" w:pos="1743"/>
          <w:tab w:val="num" w:pos="0"/>
        </w:tabs>
        <w:autoSpaceDE/>
        <w:autoSpaceDN/>
        <w:adjustRightInd/>
        <w:ind w:left="0" w:firstLine="709"/>
        <w:jc w:val="both"/>
        <w:rPr>
          <w:rFonts w:ascii="Palatino Linotype" w:hAnsi="Palatino Linotype" w:cs="Lucida Sans Unicode"/>
          <w:sz w:val="21"/>
          <w:szCs w:val="21"/>
        </w:rPr>
      </w:pPr>
      <w:r w:rsidRPr="00E10347">
        <w:rPr>
          <w:rFonts w:ascii="Palatino Linotype" w:hAnsi="Palatino Linotype" w:cs="Lucida Sans Unicode"/>
          <w:sz w:val="21"/>
          <w:szCs w:val="21"/>
        </w:rPr>
        <w:t>De la duda como incertidumbre racional. Ésta es la otra cara de la certeza racional sobre los hechos del mundo. Sin embargo, dado que la certeza racional no puede ser nunca alcanzada sobre hecho alguno</w:t>
      </w:r>
      <w:r w:rsidRPr="00E10347">
        <w:rPr>
          <w:rStyle w:val="Refdenotaalpie"/>
          <w:rFonts w:ascii="Palatino Linotype" w:hAnsi="Palatino Linotype" w:cs="Lucida Sans Unicode"/>
          <w:sz w:val="21"/>
          <w:szCs w:val="21"/>
        </w:rPr>
        <w:footnoteReference w:id="606"/>
      </w:r>
      <w:r w:rsidRPr="00E10347">
        <w:rPr>
          <w:rFonts w:ascii="Palatino Linotype" w:hAnsi="Palatino Linotype" w:cs="Lucida Sans Unicode"/>
          <w:sz w:val="21"/>
          <w:szCs w:val="21"/>
        </w:rPr>
        <w:t>, la duda tendría siempre su espacio y, entendida en este sentido, conllevaría siempre la absolución y la inutilidad motivadora del derecho penal.</w:t>
      </w:r>
    </w:p>
    <w:p w:rsidR="00244C82" w:rsidRPr="00E10347" w:rsidRDefault="00244C82" w:rsidP="00E83320">
      <w:pPr>
        <w:widowControl/>
        <w:numPr>
          <w:ilvl w:val="0"/>
          <w:numId w:val="34"/>
        </w:numPr>
        <w:tabs>
          <w:tab w:val="clear" w:pos="1743"/>
          <w:tab w:val="num" w:pos="0"/>
        </w:tabs>
        <w:autoSpaceDE/>
        <w:autoSpaceDN/>
        <w:adjustRightInd/>
        <w:ind w:left="0" w:firstLine="709"/>
        <w:jc w:val="both"/>
        <w:rPr>
          <w:rFonts w:ascii="Palatino Linotype" w:hAnsi="Palatino Linotype" w:cs="Lucida Sans Unicode"/>
          <w:sz w:val="21"/>
          <w:szCs w:val="21"/>
        </w:rPr>
      </w:pPr>
      <w:r w:rsidRPr="00E10347">
        <w:rPr>
          <w:rFonts w:ascii="Palatino Linotype" w:hAnsi="Palatino Linotype" w:cs="Lucida Sans Unicode"/>
          <w:sz w:val="21"/>
          <w:szCs w:val="21"/>
        </w:rPr>
        <w:t xml:space="preserve">De un cierto grado de duda racional sobre la verdad de una hipótesis fáctica, complementario del grado de corroboración de la misma. </w:t>
      </w:r>
    </w:p>
    <w:p w:rsidR="00244C82" w:rsidRPr="00E10347" w:rsidRDefault="00244C82" w:rsidP="00E10347">
      <w:pPr>
        <w:ind w:firstLine="709"/>
        <w:jc w:val="both"/>
        <w:rPr>
          <w:rFonts w:ascii="Palatino Linotype" w:hAnsi="Palatino Linotype" w:cs="Lucida Sans Unicode"/>
          <w:sz w:val="21"/>
          <w:szCs w:val="21"/>
        </w:rPr>
      </w:pPr>
      <w:r w:rsidRPr="00E10347">
        <w:rPr>
          <w:rFonts w:ascii="Palatino Linotype" w:hAnsi="Palatino Linotype" w:cs="Lucida Sans Unicode"/>
          <w:sz w:val="21"/>
          <w:szCs w:val="21"/>
        </w:rPr>
        <w:lastRenderedPageBreak/>
        <w:t xml:space="preserve">Dado que, por distintas razones, las posibilidades 1) y 2) deben ser rechazadas, </w:t>
      </w:r>
      <w:r w:rsidR="002A76CC">
        <w:rPr>
          <w:rFonts w:ascii="Palatino Linotype" w:hAnsi="Palatino Linotype" w:cs="Lucida Sans Unicode"/>
          <w:sz w:val="21"/>
          <w:szCs w:val="21"/>
        </w:rPr>
        <w:t xml:space="preserve">solo </w:t>
      </w:r>
      <w:r w:rsidRPr="00E10347">
        <w:rPr>
          <w:rFonts w:ascii="Palatino Linotype" w:hAnsi="Palatino Linotype" w:cs="Lucida Sans Unicode"/>
          <w:sz w:val="21"/>
          <w:szCs w:val="21"/>
        </w:rPr>
        <w:t xml:space="preserve">queda en pie la posibilidad interpretativa 3). Sin embargo, ésta deja abierta la cuestión de qué grado de duda sobre la hipótesis de la acusación en un proceso penal es compatible con la condena del acusado. Por tanto, la presunción de inocencia como regla de juicio, expresión del </w:t>
      </w:r>
      <w:r w:rsidRPr="00E10347">
        <w:rPr>
          <w:rFonts w:ascii="Palatino Linotype" w:hAnsi="Palatino Linotype" w:cs="Lucida Sans Unicode"/>
          <w:i/>
          <w:sz w:val="21"/>
          <w:szCs w:val="21"/>
        </w:rPr>
        <w:t>in dubio pro reo</w:t>
      </w:r>
      <w:r w:rsidRPr="00E10347">
        <w:rPr>
          <w:rFonts w:ascii="Palatino Linotype" w:hAnsi="Palatino Linotype" w:cs="Lucida Sans Unicode"/>
          <w:sz w:val="21"/>
          <w:szCs w:val="21"/>
        </w:rPr>
        <w:t>, a) nada nos dice sobre el grado de duda racional admisible, esto es, sobre el estándar de prueba que deberá utilizarse en el proceso penal</w:t>
      </w:r>
      <w:r w:rsidRPr="00E10347">
        <w:rPr>
          <w:rStyle w:val="Refdenotaalpie"/>
          <w:rFonts w:ascii="Palatino Linotype" w:hAnsi="Palatino Linotype" w:cs="Lucida Sans Unicode"/>
          <w:sz w:val="21"/>
          <w:szCs w:val="21"/>
        </w:rPr>
        <w:footnoteReference w:id="607"/>
      </w:r>
      <w:r w:rsidRPr="00E10347">
        <w:rPr>
          <w:rFonts w:ascii="Palatino Linotype" w:hAnsi="Palatino Linotype" w:cs="Lucida Sans Unicode"/>
          <w:sz w:val="21"/>
          <w:szCs w:val="21"/>
        </w:rPr>
        <w:t>, pero b) sí presupone que disponemos de un estándar de prueba cuya aplicación sea intersubjetivamente controlable, para hacer viable la función de garantía de la presunción de inocencia. Es por ello que la situación actual en España y en los países de nuestro entorno hace inviable la aplicación de la presunción de inocencia como regla de juicio, esto es, como garantía del ciudadano frente a la valoración de la prueba. Si no se dispone de un estándar de prueba intersubjetivamente controlable la presunción de inocencia como regla de juicio no puede ser operativa puesto que no se sabe frente a qué resultado probatorio el ciudadano tendrá derecho a una declaración de inocencia.</w:t>
      </w:r>
    </w:p>
    <w:p w:rsidR="00244C82" w:rsidRPr="00E10347" w:rsidRDefault="00244C82" w:rsidP="00E10347">
      <w:pPr>
        <w:ind w:firstLine="709"/>
        <w:jc w:val="both"/>
        <w:rPr>
          <w:rFonts w:ascii="Palatino Linotype" w:hAnsi="Palatino Linotype" w:cs="Lucida Sans Unicode"/>
          <w:sz w:val="21"/>
          <w:szCs w:val="21"/>
        </w:rPr>
      </w:pPr>
      <w:r w:rsidRPr="00E10347">
        <w:rPr>
          <w:rFonts w:ascii="Palatino Linotype" w:hAnsi="Palatino Linotype" w:cs="Lucida Sans Unicode"/>
          <w:sz w:val="21"/>
          <w:szCs w:val="21"/>
        </w:rPr>
        <w:t xml:space="preserve">En un trabajo anterior (Ferrer, 2007: 147), propuse un ejemplo de estándar de prueba para la hipótesis acusatoria en un procedimiento penal. No tenía entonces la pretensión de ser una propuesta de </w:t>
      </w:r>
      <w:r w:rsidRPr="00E10347">
        <w:rPr>
          <w:rFonts w:ascii="Palatino Linotype" w:hAnsi="Palatino Linotype" w:cs="Lucida Sans Unicode"/>
          <w:i/>
          <w:sz w:val="21"/>
          <w:szCs w:val="21"/>
        </w:rPr>
        <w:t>lege ferenda</w:t>
      </w:r>
      <w:r w:rsidRPr="00E10347">
        <w:rPr>
          <w:rFonts w:ascii="Palatino Linotype" w:hAnsi="Palatino Linotype" w:cs="Lucida Sans Unicode"/>
          <w:sz w:val="21"/>
          <w:szCs w:val="21"/>
        </w:rPr>
        <w:t xml:space="preserve"> en cuanto a su contenido, pero sí respecto del modo de formular un estándar de ese tipo para que fuera intersubjetivamente controlable. Lo reitero ahora con la misma pretensión: </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Imaginemos que nuestra ley de enjuiciamiento criminal estableciera que para considerar probada la hipótesis de la culpabilidad deben darse conjuntamente las siguientes condiciones:</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1) La hipótesis debe ser capaz de explicar los datos disponibles, integrándolos de forma coherente, y las predicciones de nuevos datos que la hipótesis permita formular deben haber resultado confirmadas.</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 xml:space="preserve">2) Deben haberse refutado todas las demás hipótesis plausibles explicativas de los mismos datos que sean compatibles con la inocencia del acusado, excluidas </w:t>
      </w:r>
      <w:r w:rsidRPr="00E10347">
        <w:rPr>
          <w:rFonts w:ascii="Palatino Linotype" w:hAnsi="Palatino Linotype"/>
          <w:sz w:val="21"/>
          <w:szCs w:val="21"/>
        </w:rPr>
        <w:lastRenderedPageBreak/>
        <w:t xml:space="preserve">las meras hipótesis </w:t>
      </w:r>
      <w:r w:rsidRPr="00E10347">
        <w:rPr>
          <w:rFonts w:ascii="Palatino Linotype" w:hAnsi="Palatino Linotype"/>
          <w:i/>
          <w:iCs/>
          <w:sz w:val="21"/>
          <w:szCs w:val="21"/>
        </w:rPr>
        <w:t>ad hoc</w:t>
      </w:r>
      <w:r w:rsidRPr="00E10347">
        <w:rPr>
          <w:rFonts w:ascii="Palatino Linotype" w:hAnsi="Palatino Linotype"/>
          <w:iCs/>
          <w:sz w:val="21"/>
          <w:szCs w:val="21"/>
        </w:rPr>
        <w:t>.</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 xml:space="preserve">Con una formulación de este tipo, quedarían claras las condiciones para que procediera la condena del acusado y, complementariamente, las condiciones en las que éste tendría derecho a la absolución. La motivación de la sentencia en materia de hechos debería entonces justificar que la resolución adoptada cumple con los requisitos establecidos por el estándar. Ahora bien, se podría pensar que una vez establecido el estándar, cuya determinación está exigida por la presunción de inocencia pero no se deriva de ella en cuanto a su nivel de exigencia probatoria, la presunción de inocencia como regla de juicio ya no tiene otra función. Dicho de otro modo, una vez determinado el nivel de duda racional compatible con la condena del acusado, ya no quedaría espacio para el </w:t>
      </w:r>
      <w:r w:rsidRPr="00E10347">
        <w:rPr>
          <w:rFonts w:ascii="Palatino Linotype" w:hAnsi="Palatino Linotype"/>
          <w:i/>
          <w:sz w:val="21"/>
          <w:szCs w:val="21"/>
        </w:rPr>
        <w:t>in dubio pro reo</w:t>
      </w:r>
      <w:r w:rsidRPr="00E10347">
        <w:rPr>
          <w:rFonts w:ascii="Palatino Linotype" w:hAnsi="Palatino Linotype"/>
          <w:sz w:val="21"/>
          <w:szCs w:val="21"/>
        </w:rPr>
        <w:t xml:space="preserve">. Sin embargo, esta no es exactamente la situación. Por preciso que sea el estándar de prueba que se adopte, siempre quedará un margen de vaguedad sobre el mismo; i.e., sobre el exacto nivel de duda racional compatible con la condena. En estos supuestos, se hace necesaria una regla de segundo orden, que establezca qué debe realizarse en caso de duda sobre el cumplimiento del estándar. Y es aquí donde resultaría aplicable la presunción de inocencia como </w:t>
      </w:r>
      <w:r w:rsidRPr="00E10347">
        <w:rPr>
          <w:rFonts w:ascii="Palatino Linotype" w:hAnsi="Palatino Linotype"/>
          <w:i/>
          <w:sz w:val="21"/>
          <w:szCs w:val="21"/>
        </w:rPr>
        <w:t>in dubio pro reo</w:t>
      </w:r>
      <w:r w:rsidRPr="00E10347">
        <w:rPr>
          <w:rFonts w:ascii="Palatino Linotype" w:hAnsi="Palatino Linotype"/>
          <w:sz w:val="21"/>
          <w:szCs w:val="21"/>
        </w:rPr>
        <w:t>: en caso de duda sobre el cumplimiento del estándar, debería absolverse al acusado.</w:t>
      </w:r>
    </w:p>
    <w:p w:rsidR="00DD5619" w:rsidRDefault="00DD5619" w:rsidP="00E10347">
      <w:pPr>
        <w:widowControl/>
        <w:autoSpaceDE/>
        <w:autoSpaceDN/>
        <w:adjustRightInd/>
        <w:jc w:val="both"/>
        <w:rPr>
          <w:rFonts w:ascii="Palatino Linotype" w:hAnsi="Palatino Linotype"/>
          <w:b/>
          <w:sz w:val="21"/>
          <w:szCs w:val="21"/>
        </w:rPr>
      </w:pPr>
    </w:p>
    <w:p w:rsidR="00244C82" w:rsidRPr="00E10347" w:rsidRDefault="001E59C2" w:rsidP="00E10347">
      <w:pPr>
        <w:widowControl/>
        <w:autoSpaceDE/>
        <w:autoSpaceDN/>
        <w:adjustRightInd/>
        <w:jc w:val="both"/>
        <w:rPr>
          <w:rFonts w:ascii="Palatino Linotype" w:hAnsi="Palatino Linotype"/>
          <w:b/>
          <w:sz w:val="21"/>
          <w:szCs w:val="21"/>
        </w:rPr>
      </w:pPr>
      <w:r w:rsidRPr="00E10347">
        <w:rPr>
          <w:rFonts w:ascii="Palatino Linotype" w:hAnsi="Palatino Linotype"/>
          <w:b/>
          <w:sz w:val="21"/>
          <w:szCs w:val="21"/>
        </w:rPr>
        <w:t xml:space="preserve">2.- </w:t>
      </w:r>
      <w:r w:rsidR="00244C82" w:rsidRPr="00E10347">
        <w:rPr>
          <w:rFonts w:ascii="Palatino Linotype" w:hAnsi="Palatino Linotype"/>
          <w:b/>
          <w:sz w:val="21"/>
          <w:szCs w:val="21"/>
        </w:rPr>
        <w:t>De nuevo sobre la presunción de inocencia como regla sobre la carga de la prueba</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 xml:space="preserve">El análisis de las implicaciones para la carga de la prueba del reconocimiento del derecho de la presunción de inocencia debe ser, en mi opinión, algo más cuidadoso de lo habitual con el concepto de carga de la prueba. En efecto, en mi opinión, conviene incorporar la distinción típicamente anglosajona entre la </w:t>
      </w:r>
      <w:r w:rsidRPr="00E10347">
        <w:rPr>
          <w:rFonts w:ascii="Palatino Linotype" w:hAnsi="Palatino Linotype"/>
          <w:i/>
          <w:sz w:val="21"/>
          <w:szCs w:val="21"/>
        </w:rPr>
        <w:t>burden of proof</w:t>
      </w:r>
      <w:r w:rsidRPr="00E10347">
        <w:rPr>
          <w:rFonts w:ascii="Palatino Linotype" w:hAnsi="Palatino Linotype"/>
          <w:sz w:val="21"/>
          <w:szCs w:val="21"/>
        </w:rPr>
        <w:t xml:space="preserve"> y la </w:t>
      </w:r>
      <w:r w:rsidRPr="00E10347">
        <w:rPr>
          <w:rFonts w:ascii="Palatino Linotype" w:hAnsi="Palatino Linotype"/>
          <w:i/>
          <w:sz w:val="21"/>
          <w:szCs w:val="21"/>
        </w:rPr>
        <w:t>burden of producing evidence</w:t>
      </w:r>
      <w:r w:rsidRPr="00E10347">
        <w:rPr>
          <w:rFonts w:ascii="Palatino Linotype" w:hAnsi="Palatino Linotype"/>
          <w:sz w:val="21"/>
          <w:szCs w:val="21"/>
        </w:rPr>
        <w:t xml:space="preserve">. En el primer sentido, la distribución de la carga de la prueba supone determinar cuál de las partes se verá perjudicada por la falta de prueba, i.e., quien pierde el proceso si no se cumple el estándar de prueba aplicable al mismo. En el segundo sentido, la carga de la prueba rige cuál de las partes debe aportar todas o alguna prueba al proceso. Es importante advertir que, de forma general, los dos sentidos de la carga de la prueba no tienen porqué favorecer a la misma parte. Es perfectamente posible, que una parte tenga sobre sí la carga de la prueba en el primer sentido, de manera que la falta de prueba haga que sea ella quien pierda el proceso y, en cambio, que se haga recaer sobre la contraria la carga de producir o aportar pruebas (o algunas pruebas) al proceso, </w:t>
      </w:r>
      <w:r w:rsidRPr="00E10347">
        <w:rPr>
          <w:rFonts w:ascii="Palatino Linotype" w:hAnsi="Palatino Linotype"/>
          <w:sz w:val="21"/>
          <w:szCs w:val="21"/>
        </w:rPr>
        <w:lastRenderedPageBreak/>
        <w:t>dado que, por ejemplo, a ella le es más fácil aportarlas o bien, lisa y llanamente, se conoce que están en su poder.</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Pues bien, ¿dice algo la presunción de inocencia sobre alguno de los dos sentidos de la carga de la prueba? En mi opinión, la respuesta es no. Evidentemente, se puede decir de forma general que en un proceso penal la carga de la prueba, entendida como regla que determina a quien perjudica la falta de prueba, recae sobre la acusación. Pero ello no es consecuencia de la presunción de inocencia misma, sino del estándar de prueba (que, recordemos, está presupuesto pero no es implicado por la presunción de inocencia). Ahora bien, justificar este punto exige algún argumento adicional: como ha podido verse en el epígrafe anterior, he presentado un estándar de prueba que opera únicamente respecto de la hipótesis de la culpabilidad. Ello es así porque, en mi opinión, no hay razón para que los estándares de prueba aplicables a la hipótesis de la culpabilidad y a la hipótesis de la inocencia sean iguales. En efecto, la razón que tenemos para aplicar un estándar de prueba muy exigente en el proceso penal parece ser que el bien en juego, i.e., la libertad del imputado, es muy valioso y, por tanto, hay que tener un alto grado de probabilidad de acertar para sacrificarlo</w:t>
      </w:r>
      <w:r w:rsidRPr="00E10347">
        <w:rPr>
          <w:rStyle w:val="Refdenotaalpie"/>
          <w:rFonts w:ascii="Palatino Linotype" w:hAnsi="Palatino Linotype"/>
          <w:sz w:val="21"/>
          <w:szCs w:val="21"/>
        </w:rPr>
        <w:footnoteReference w:id="608"/>
      </w:r>
      <w:r w:rsidRPr="00E10347">
        <w:rPr>
          <w:rFonts w:ascii="Palatino Linotype" w:hAnsi="Palatino Linotype"/>
          <w:sz w:val="21"/>
          <w:szCs w:val="21"/>
        </w:rPr>
        <w:t xml:space="preserve">. Pero esta razón no opera, obviamente, para el caso de la o las hipótesis de la defensa. Si aumentamos las exigencias probatorias para disminuir las probabilidades de que un sujeto inocente sea condenado y, por tanto, privado de su libertad, no tiene sentido aplicar las mismas exigencias a las hipótesis de la defensa. Por esta razón, en el proceso penal tendremos estándares de prueba asimétricos para la acusación y la defensa. Siendo así, la falta de cumplimiento de cada uno de los estándares de prueba, de la acusación y la defensa, perjudicará a la parte que no haya conseguido alcanzar el grado de corroboración de sus hipótesis exigido por su respectivo estándar aplicable. Si la hipótesis de la acusación no alcanza el nivel de corroboración requerido por el estándar de prueba que le es aplicable, ésta no podrá considerarse probada y, por tanto, la falta de prueba perjudicará a la acusación. Pero lo mismo podrá decirse de la hipótesis de la inocencia: si la defensa alegó, por ejemplo, una </w:t>
      </w:r>
      <w:r w:rsidRPr="00E10347">
        <w:rPr>
          <w:rFonts w:ascii="Palatino Linotype" w:hAnsi="Palatino Linotype"/>
          <w:sz w:val="21"/>
          <w:szCs w:val="21"/>
        </w:rPr>
        <w:lastRenderedPageBreak/>
        <w:t xml:space="preserve">coartada y no consigue aportar corroboración suficiente para la misma que permita superar el estándar de prueba aplicable a la hipótesis de la inocencia, entonces esta falta de prueba irá en perjuicio de sus pretensiones. La diferencia relevante entre las situaciones de las dos partes, por lo que hace a la falta de prueba suficiente, derivada de la asimetría de los respectivos estándares de prueba, es que si la defensa no consigue superar el estándar de prueba que le resulta aplicable ello conlleva que no podamos considerar probada la inocencia, pero no que la defensa no pueda ganar el caso mediante la absolución del imputado. En cambio, si la acusación no consigue aportar a su hipótesis la corroboración suficiente, ello conllevará la pérdida del caso para esa parte. Esto es consecuencia de la formulación del estándar de prueba que le es aplicable y por ello puede decirse que la carga de la prueba, en el sentido de la </w:t>
      </w:r>
      <w:r w:rsidRPr="00E10347">
        <w:rPr>
          <w:rFonts w:ascii="Palatino Linotype" w:hAnsi="Palatino Linotype"/>
          <w:i/>
          <w:sz w:val="21"/>
          <w:szCs w:val="21"/>
        </w:rPr>
        <w:t>burden of proof</w:t>
      </w:r>
      <w:r w:rsidRPr="00E10347">
        <w:rPr>
          <w:rFonts w:ascii="Palatino Linotype" w:hAnsi="Palatino Linotype"/>
          <w:sz w:val="21"/>
          <w:szCs w:val="21"/>
        </w:rPr>
        <w:t xml:space="preserve"> anglosajona, está de su parte.</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En cambio, las cosas son distintas si ponemos atención a la carga de la prueba en el sentido de a quién corresponde la aportación o producción de las pruebas (</w:t>
      </w:r>
      <w:r w:rsidRPr="00E10347">
        <w:rPr>
          <w:rFonts w:ascii="Palatino Linotype" w:hAnsi="Palatino Linotype"/>
          <w:i/>
          <w:sz w:val="21"/>
          <w:szCs w:val="21"/>
        </w:rPr>
        <w:t>burden of producing evidence</w:t>
      </w:r>
      <w:r w:rsidRPr="00E10347">
        <w:rPr>
          <w:rFonts w:ascii="Palatino Linotype" w:hAnsi="Palatino Linotype"/>
          <w:sz w:val="21"/>
          <w:szCs w:val="21"/>
        </w:rPr>
        <w:t xml:space="preserve">). En efecto, la introducción de la distinción entre los dos sentidos de la carga de la prueba nos permite ver, en mi opinión, que nada excluye en la mayoría de los sistemas jurídicos modernos, que la defensa deba aportar pruebas al proceso si así se ordena, por ejemplo, debido a que a ella resulta más fácil aportarla o porque es ella la que dispone de la prueba que se considera relevante. Por dar </w:t>
      </w:r>
      <w:r w:rsidR="002A76CC">
        <w:rPr>
          <w:rFonts w:ascii="Palatino Linotype" w:hAnsi="Palatino Linotype"/>
          <w:sz w:val="21"/>
          <w:szCs w:val="21"/>
        </w:rPr>
        <w:t xml:space="preserve">solo </w:t>
      </w:r>
      <w:r w:rsidRPr="00E10347">
        <w:rPr>
          <w:rFonts w:ascii="Palatino Linotype" w:hAnsi="Palatino Linotype"/>
          <w:sz w:val="21"/>
          <w:szCs w:val="21"/>
        </w:rPr>
        <w:t>un ejemplo, a un médico acusado de homicidio por negligencia en una intervención quirúrgica es perfectamente posible que se le pida que aporte el expediente clínico del paciente u otras pruebas médicas sobre los antecedentes de la intervención y de la intervención misma.  Evidentemente, la razón de ello es que es él quien dispone de esas pruebas, que no son accesibles a la otra parte. Y esto no se considera en nuestros sistemas atentatorio de la presunción de inocencia. En otros términos: la presunción de inocencia parece ser compatible, en este sentido, con la atribución de cargas probatorias (en el sentido de cargas de aportar pruebas) a la defensa en un proceso penal.</w:t>
      </w:r>
    </w:p>
    <w:p w:rsidR="00DD5619" w:rsidRDefault="00DD5619" w:rsidP="00E10347">
      <w:pPr>
        <w:widowControl/>
        <w:autoSpaceDE/>
        <w:autoSpaceDN/>
        <w:adjustRightInd/>
        <w:jc w:val="both"/>
        <w:rPr>
          <w:rFonts w:ascii="Palatino Linotype" w:hAnsi="Palatino Linotype"/>
          <w:b/>
          <w:sz w:val="21"/>
          <w:szCs w:val="21"/>
        </w:rPr>
      </w:pPr>
    </w:p>
    <w:p w:rsidR="00244C82" w:rsidRPr="00E10347" w:rsidRDefault="00244C82" w:rsidP="00E10347">
      <w:pPr>
        <w:widowControl/>
        <w:autoSpaceDE/>
        <w:autoSpaceDN/>
        <w:adjustRightInd/>
        <w:jc w:val="both"/>
        <w:rPr>
          <w:rFonts w:ascii="Palatino Linotype" w:hAnsi="Palatino Linotype"/>
          <w:b/>
          <w:sz w:val="21"/>
          <w:szCs w:val="21"/>
        </w:rPr>
      </w:pPr>
      <w:r w:rsidRPr="00E10347">
        <w:rPr>
          <w:rFonts w:ascii="Palatino Linotype" w:hAnsi="Palatino Linotype"/>
          <w:b/>
          <w:sz w:val="21"/>
          <w:szCs w:val="21"/>
        </w:rPr>
        <w:t>Conclusión</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t>En el recorrido realizado hasta aquí ha pretendido mostrar:</w:t>
      </w:r>
    </w:p>
    <w:p w:rsidR="00244C82" w:rsidRPr="00E10347" w:rsidRDefault="00244C82" w:rsidP="00E83320">
      <w:pPr>
        <w:widowControl/>
        <w:numPr>
          <w:ilvl w:val="0"/>
          <w:numId w:val="35"/>
        </w:numPr>
        <w:autoSpaceDE/>
        <w:autoSpaceDN/>
        <w:adjustRightInd/>
        <w:ind w:left="1366" w:firstLine="709"/>
        <w:jc w:val="both"/>
        <w:rPr>
          <w:rFonts w:ascii="Palatino Linotype" w:hAnsi="Palatino Linotype"/>
          <w:sz w:val="21"/>
          <w:szCs w:val="21"/>
        </w:rPr>
      </w:pPr>
      <w:r w:rsidRPr="00E10347">
        <w:rPr>
          <w:rFonts w:ascii="Palatino Linotype" w:hAnsi="Palatino Linotype"/>
          <w:sz w:val="21"/>
          <w:szCs w:val="21"/>
        </w:rPr>
        <w:t>Que la presunción de inocencia, en la jurisprudencia y la doctrina española, ha sido tratado como un derecho multifacético con tendencia a la hipertrofia.</w:t>
      </w:r>
    </w:p>
    <w:p w:rsidR="00244C82" w:rsidRPr="00E10347" w:rsidRDefault="00244C82" w:rsidP="00E83320">
      <w:pPr>
        <w:widowControl/>
        <w:numPr>
          <w:ilvl w:val="0"/>
          <w:numId w:val="35"/>
        </w:numPr>
        <w:autoSpaceDE/>
        <w:autoSpaceDN/>
        <w:adjustRightInd/>
        <w:ind w:left="1366" w:firstLine="709"/>
        <w:jc w:val="both"/>
        <w:rPr>
          <w:rFonts w:ascii="Palatino Linotype" w:hAnsi="Palatino Linotype"/>
          <w:sz w:val="21"/>
          <w:szCs w:val="21"/>
        </w:rPr>
      </w:pPr>
      <w:r w:rsidRPr="00E10347">
        <w:rPr>
          <w:rFonts w:ascii="Palatino Linotype" w:hAnsi="Palatino Linotype"/>
          <w:sz w:val="21"/>
          <w:szCs w:val="21"/>
        </w:rPr>
        <w:lastRenderedPageBreak/>
        <w:t>Que buena parte de las facetas que se atribuyen a ese derecho (extraprocesal, con matices, como principio informador y como regla probatoria) son superfluas y, por tanto, podrían ser escindidas de la presunción de inocencia, disminuyendo la hipertrofia de ésta última.</w:t>
      </w:r>
    </w:p>
    <w:p w:rsidR="00244C82" w:rsidRPr="00E10347" w:rsidRDefault="00244C82" w:rsidP="00E83320">
      <w:pPr>
        <w:widowControl/>
        <w:numPr>
          <w:ilvl w:val="0"/>
          <w:numId w:val="35"/>
        </w:numPr>
        <w:autoSpaceDE/>
        <w:autoSpaceDN/>
        <w:adjustRightInd/>
        <w:ind w:left="1366" w:firstLine="709"/>
        <w:jc w:val="both"/>
        <w:rPr>
          <w:rFonts w:ascii="Palatino Linotype" w:hAnsi="Palatino Linotype"/>
          <w:sz w:val="21"/>
          <w:szCs w:val="21"/>
        </w:rPr>
      </w:pPr>
      <w:r w:rsidRPr="00E10347">
        <w:rPr>
          <w:rFonts w:ascii="Palatino Linotype" w:hAnsi="Palatino Linotype"/>
          <w:sz w:val="21"/>
          <w:szCs w:val="21"/>
        </w:rPr>
        <w:t>Que la presunción de inocencia como regla de trato procesal tiene perfecto sentido, pero debe resolverse con mayor claridad conceptual su relación con las medidas cautelares en el proceso penal, en especial, con la prisión preventiva.</w:t>
      </w:r>
    </w:p>
    <w:p w:rsidR="00244C82" w:rsidRPr="00E10347" w:rsidRDefault="00244C82" w:rsidP="00E83320">
      <w:pPr>
        <w:widowControl/>
        <w:numPr>
          <w:ilvl w:val="0"/>
          <w:numId w:val="35"/>
        </w:numPr>
        <w:autoSpaceDE/>
        <w:autoSpaceDN/>
        <w:adjustRightInd/>
        <w:ind w:left="1366" w:firstLine="709"/>
        <w:jc w:val="both"/>
        <w:rPr>
          <w:rFonts w:ascii="Palatino Linotype" w:hAnsi="Palatino Linotype"/>
          <w:sz w:val="21"/>
          <w:szCs w:val="21"/>
        </w:rPr>
      </w:pPr>
      <w:r w:rsidRPr="00E10347">
        <w:rPr>
          <w:rFonts w:ascii="Palatino Linotype" w:hAnsi="Palatino Linotype"/>
          <w:sz w:val="21"/>
          <w:szCs w:val="21"/>
        </w:rPr>
        <w:t>Y, finalmente, que la presunción de inocencia como regla de juicio no es operativa si no se dispone de un estándar de prueba cuya aplicación sea intersubjetivamente controlable. Si se dispone de él, el espacio para la aplicación de la presunción es el de la duda sobre el cumplimiento del estándar.</w:t>
      </w:r>
    </w:p>
    <w:p w:rsidR="00244C82" w:rsidRPr="00E10347" w:rsidRDefault="00244C82" w:rsidP="00E10347">
      <w:pPr>
        <w:ind w:firstLine="709"/>
        <w:jc w:val="both"/>
        <w:rPr>
          <w:rFonts w:ascii="Palatino Linotype" w:hAnsi="Palatino Linotype"/>
          <w:sz w:val="21"/>
          <w:szCs w:val="21"/>
        </w:rPr>
      </w:pPr>
      <w:r w:rsidRPr="00E10347">
        <w:rPr>
          <w:rFonts w:ascii="Palatino Linotype" w:hAnsi="Palatino Linotype"/>
          <w:sz w:val="21"/>
          <w:szCs w:val="21"/>
        </w:rPr>
        <w:br w:type="page"/>
      </w:r>
    </w:p>
    <w:p w:rsidR="00244C82" w:rsidRPr="00E10347" w:rsidRDefault="00244C82" w:rsidP="00E10347">
      <w:pPr>
        <w:ind w:firstLine="709"/>
        <w:jc w:val="center"/>
        <w:rPr>
          <w:rFonts w:ascii="Palatino Linotype" w:hAnsi="Palatino Linotype"/>
          <w:b/>
          <w:sz w:val="21"/>
          <w:szCs w:val="21"/>
        </w:rPr>
      </w:pPr>
      <w:r w:rsidRPr="00E10347">
        <w:rPr>
          <w:rFonts w:ascii="Palatino Linotype" w:hAnsi="Palatino Linotype"/>
          <w:b/>
          <w:sz w:val="21"/>
          <w:szCs w:val="21"/>
        </w:rPr>
        <w:lastRenderedPageBreak/>
        <w:t>Bibliografía citada</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 xml:space="preserve">Alonso Olea, M. y Casas Baamonde, M.E. (1987): </w:t>
      </w:r>
      <w:r w:rsidRPr="00E10347">
        <w:rPr>
          <w:rFonts w:ascii="Palatino Linotype" w:hAnsi="Palatino Linotype"/>
          <w:i/>
          <w:sz w:val="21"/>
          <w:szCs w:val="21"/>
        </w:rPr>
        <w:t>Derecho del trabajo</w:t>
      </w:r>
      <w:r w:rsidRPr="00E10347">
        <w:rPr>
          <w:rFonts w:ascii="Palatino Linotype" w:hAnsi="Palatino Linotype"/>
          <w:sz w:val="21"/>
          <w:szCs w:val="21"/>
        </w:rPr>
        <w:t>, Civitas, Madrid.</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Andrés Ibáñez, P. (1992): “Acerca de la motivación de los hechos en la sentencia penal”, en Doxa, nº 12.</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 xml:space="preserve">(1996): “Presunción de inocencia y prisión sin condena”, en </w:t>
      </w:r>
      <w:r w:rsidRPr="00E10347">
        <w:rPr>
          <w:rFonts w:ascii="Palatino Linotype" w:hAnsi="Palatino Linotype"/>
          <w:i/>
          <w:sz w:val="21"/>
          <w:szCs w:val="21"/>
        </w:rPr>
        <w:t>Detención y prisión provisional. Cuadernos de Derecho Judicial</w:t>
      </w:r>
      <w:r w:rsidRPr="00E10347">
        <w:rPr>
          <w:rFonts w:ascii="Palatino Linotype" w:hAnsi="Palatino Linotype"/>
          <w:sz w:val="21"/>
          <w:szCs w:val="21"/>
        </w:rPr>
        <w:t xml:space="preserve">, CGPJ, Madrid; citado por la reimpresión en Id.: </w:t>
      </w:r>
      <w:r w:rsidRPr="00E10347">
        <w:rPr>
          <w:rFonts w:ascii="Palatino Linotype" w:hAnsi="Palatino Linotype"/>
          <w:i/>
          <w:sz w:val="21"/>
          <w:szCs w:val="21"/>
        </w:rPr>
        <w:t>En torno a la jurisdicción</w:t>
      </w:r>
      <w:r w:rsidRPr="00E10347">
        <w:rPr>
          <w:rFonts w:ascii="Palatino Linotype" w:hAnsi="Palatino Linotype"/>
          <w:sz w:val="21"/>
          <w:szCs w:val="21"/>
        </w:rPr>
        <w:t xml:space="preserve">, Editores del Puerto, Buenos Aires, 2007. </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 xml:space="preserve">Armenta Deu, T. (2009): </w:t>
      </w:r>
      <w:r w:rsidRPr="00E10347">
        <w:rPr>
          <w:rFonts w:ascii="Palatino Linotype" w:hAnsi="Palatino Linotype"/>
          <w:i/>
          <w:sz w:val="21"/>
          <w:szCs w:val="21"/>
        </w:rPr>
        <w:t>La prueba ilícita (un estudio comparado)</w:t>
      </w:r>
      <w:r w:rsidRPr="00E10347">
        <w:rPr>
          <w:rFonts w:ascii="Palatino Linotype" w:hAnsi="Palatino Linotype"/>
          <w:sz w:val="21"/>
          <w:szCs w:val="21"/>
        </w:rPr>
        <w:t>, Marcial Pons, Madrid.</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lang w:val="it-IT"/>
        </w:rPr>
      </w:pPr>
      <w:r w:rsidRPr="00E10347">
        <w:rPr>
          <w:rFonts w:ascii="Palatino Linotype" w:hAnsi="Palatino Linotype"/>
          <w:sz w:val="21"/>
          <w:szCs w:val="21"/>
          <w:lang w:val="it-IT"/>
        </w:rPr>
        <w:t xml:space="preserve">Beccaria, C. (1764): </w:t>
      </w:r>
      <w:r w:rsidRPr="00E10347">
        <w:rPr>
          <w:rFonts w:ascii="Palatino Linotype" w:hAnsi="Palatino Linotype"/>
          <w:i/>
          <w:sz w:val="21"/>
          <w:szCs w:val="21"/>
          <w:lang w:val="it-IT"/>
        </w:rPr>
        <w:t>Dei delitti e delle pene</w:t>
      </w:r>
      <w:r w:rsidRPr="00E10347">
        <w:rPr>
          <w:rFonts w:ascii="Palatino Linotype" w:hAnsi="Palatino Linotype"/>
          <w:sz w:val="21"/>
          <w:szCs w:val="21"/>
          <w:lang w:val="it-IT"/>
        </w:rPr>
        <w:t>, Mondadori, Milano, 1991.</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 xml:space="preserve">Caamaño, F. (2003): </w:t>
      </w:r>
      <w:r w:rsidRPr="00E10347">
        <w:rPr>
          <w:rFonts w:ascii="Palatino Linotype" w:hAnsi="Palatino Linotype"/>
          <w:i/>
          <w:sz w:val="21"/>
          <w:szCs w:val="21"/>
        </w:rPr>
        <w:t>La garantía constitucional de la inocencia</w:t>
      </w:r>
      <w:r w:rsidRPr="00E10347">
        <w:rPr>
          <w:rFonts w:ascii="Palatino Linotype" w:hAnsi="Palatino Linotype"/>
          <w:sz w:val="21"/>
          <w:szCs w:val="21"/>
        </w:rPr>
        <w:t>, Tirant lo Blanch, Valencia.</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 xml:space="preserve">Chiavario, M. (1991): Chiavario, M. (1991): "Presunzione d'innocenza e diritto di difesa nel pensiero di Francesco Carrara", en AA.VV.: </w:t>
      </w:r>
      <w:r w:rsidRPr="00E10347">
        <w:rPr>
          <w:rFonts w:ascii="Palatino Linotype" w:hAnsi="Palatino Linotype"/>
          <w:i/>
          <w:iCs/>
          <w:sz w:val="21"/>
          <w:szCs w:val="21"/>
        </w:rPr>
        <w:t>Francesco Carrara nel primo centenario della morte. Atti del convegno internazionale, Lucca-Pisa, 2-5 giugno 1988, </w:t>
      </w:r>
      <w:r w:rsidRPr="00E10347">
        <w:rPr>
          <w:rFonts w:ascii="Palatino Linotype" w:hAnsi="Palatino Linotype"/>
          <w:sz w:val="21"/>
          <w:szCs w:val="21"/>
        </w:rPr>
        <w:t>Milano: Giuffrè</w:t>
      </w:r>
      <w:r w:rsidRPr="00E10347">
        <w:rPr>
          <w:rFonts w:ascii="Palatino Linotype" w:hAnsi="Palatino Linotype"/>
          <w:i/>
          <w:iCs/>
          <w:sz w:val="21"/>
          <w:szCs w:val="21"/>
        </w:rPr>
        <w:t>.</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 xml:space="preserve">De Aquino, T.: </w:t>
      </w:r>
      <w:r w:rsidRPr="00E10347">
        <w:rPr>
          <w:rFonts w:ascii="Palatino Linotype" w:hAnsi="Palatino Linotype"/>
          <w:i/>
          <w:sz w:val="21"/>
          <w:szCs w:val="21"/>
        </w:rPr>
        <w:t>Summa Theologiae</w:t>
      </w:r>
      <w:r w:rsidRPr="00E10347">
        <w:rPr>
          <w:rFonts w:ascii="Palatino Linotype" w:hAnsi="Palatino Linotype"/>
          <w:sz w:val="21"/>
          <w:szCs w:val="21"/>
        </w:rPr>
        <w:t>, La Editorial Católica, Madrid, 1956.</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 xml:space="preserve">De la Oliva Santos, A. (2003): “Sobre la ineficacia de las pruebas ilícitamente obtenidas”, en </w:t>
      </w:r>
      <w:r w:rsidRPr="00E10347">
        <w:rPr>
          <w:rFonts w:ascii="Palatino Linotype" w:hAnsi="Palatino Linotype"/>
          <w:i/>
          <w:sz w:val="21"/>
          <w:szCs w:val="21"/>
        </w:rPr>
        <w:t>Tribunales de Justicia</w:t>
      </w:r>
      <w:r w:rsidRPr="00E10347">
        <w:rPr>
          <w:rFonts w:ascii="Palatino Linotype" w:hAnsi="Palatino Linotype"/>
          <w:sz w:val="21"/>
          <w:szCs w:val="21"/>
        </w:rPr>
        <w:t>, nº 8-9.</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lang w:val="fr-FR"/>
        </w:rPr>
      </w:pPr>
      <w:r w:rsidRPr="00E10347">
        <w:rPr>
          <w:rFonts w:ascii="Palatino Linotype" w:hAnsi="Palatino Linotype"/>
          <w:sz w:val="21"/>
          <w:szCs w:val="21"/>
        </w:rPr>
        <w:t xml:space="preserve">Esmein, A. (1882): </w:t>
      </w:r>
      <w:r w:rsidRPr="00E10347">
        <w:rPr>
          <w:rFonts w:ascii="Palatino Linotype" w:hAnsi="Palatino Linotype"/>
          <w:i/>
          <w:sz w:val="21"/>
          <w:szCs w:val="21"/>
        </w:rPr>
        <w:t>Histoire d</w:t>
      </w:r>
      <w:r w:rsidRPr="00E10347">
        <w:rPr>
          <w:rFonts w:ascii="Palatino Linotype" w:hAnsi="Palatino Linotype"/>
          <w:i/>
          <w:sz w:val="21"/>
          <w:szCs w:val="21"/>
          <w:lang w:val="it-IT"/>
        </w:rPr>
        <w:t xml:space="preserve">e </w:t>
      </w:r>
      <w:r w:rsidRPr="00E10347">
        <w:rPr>
          <w:rFonts w:ascii="Palatino Linotype" w:hAnsi="Palatino Linotype"/>
          <w:i/>
          <w:sz w:val="21"/>
          <w:szCs w:val="21"/>
          <w:lang w:val="fr-FR"/>
        </w:rPr>
        <w:t>la procédure criminelle en France: et spécialement de la procédure inquisitoire depuis le XIIIe siècle</w:t>
      </w:r>
      <w:r w:rsidRPr="00E10347">
        <w:rPr>
          <w:rFonts w:ascii="Palatino Linotype" w:hAnsi="Palatino Linotype"/>
          <w:sz w:val="21"/>
          <w:szCs w:val="21"/>
          <w:lang w:val="fr-FR"/>
        </w:rPr>
        <w:t>, L. Larose et Forcel, Paris.</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 xml:space="preserve">Fernández López, M. (2005): </w:t>
      </w:r>
      <w:r w:rsidRPr="00E10347">
        <w:rPr>
          <w:rFonts w:ascii="Palatino Linotype" w:hAnsi="Palatino Linotype"/>
          <w:i/>
          <w:sz w:val="21"/>
          <w:szCs w:val="21"/>
        </w:rPr>
        <w:t>Prueba y presunción de inocencia</w:t>
      </w:r>
      <w:r w:rsidRPr="00E10347">
        <w:rPr>
          <w:rFonts w:ascii="Palatino Linotype" w:hAnsi="Palatino Linotype"/>
          <w:sz w:val="21"/>
          <w:szCs w:val="21"/>
        </w:rPr>
        <w:t>, Iustel, Madrid.</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lang w:val="it-IT"/>
        </w:rPr>
      </w:pPr>
      <w:r w:rsidRPr="00E10347">
        <w:rPr>
          <w:rFonts w:ascii="Palatino Linotype" w:hAnsi="Palatino Linotype"/>
          <w:sz w:val="21"/>
          <w:szCs w:val="21"/>
          <w:lang w:val="it-IT"/>
        </w:rPr>
        <w:t xml:space="preserve">Ferrajoli, L. (1998): </w:t>
      </w:r>
      <w:r w:rsidRPr="00E10347">
        <w:rPr>
          <w:rFonts w:ascii="Palatino Linotype" w:hAnsi="Palatino Linotype"/>
          <w:i/>
          <w:sz w:val="21"/>
          <w:szCs w:val="21"/>
          <w:lang w:val="it-IT"/>
        </w:rPr>
        <w:t>Diritto e ragione. Teoria del garantismo penale</w:t>
      </w:r>
      <w:r w:rsidRPr="00E10347">
        <w:rPr>
          <w:rFonts w:ascii="Palatino Linotype" w:hAnsi="Palatino Linotype"/>
          <w:sz w:val="21"/>
          <w:szCs w:val="21"/>
          <w:lang w:val="it-IT"/>
        </w:rPr>
        <w:t>, Laterza, Roma-Bari.</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 xml:space="preserve">Ferrer Beltrán, J. (2003): </w:t>
      </w:r>
      <w:r w:rsidRPr="00E10347">
        <w:rPr>
          <w:rFonts w:ascii="Palatino Linotype" w:hAnsi="Palatino Linotype"/>
          <w:i/>
          <w:sz w:val="21"/>
          <w:szCs w:val="21"/>
        </w:rPr>
        <w:t>Prueba y verdad en el derecho</w:t>
      </w:r>
      <w:r w:rsidRPr="00E10347">
        <w:rPr>
          <w:rFonts w:ascii="Palatino Linotype" w:hAnsi="Palatino Linotype"/>
          <w:sz w:val="21"/>
          <w:szCs w:val="21"/>
        </w:rPr>
        <w:t>, 2ª ed., Marcial Pons, Madrid, 2005.</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 xml:space="preserve">(2007): </w:t>
      </w:r>
      <w:r w:rsidRPr="00E10347">
        <w:rPr>
          <w:rFonts w:ascii="Palatino Linotype" w:hAnsi="Palatino Linotype"/>
          <w:i/>
          <w:sz w:val="21"/>
          <w:szCs w:val="21"/>
        </w:rPr>
        <w:t>La valoración racional de la prueba</w:t>
      </w:r>
      <w:r w:rsidRPr="00E10347">
        <w:rPr>
          <w:rFonts w:ascii="Palatino Linotype" w:hAnsi="Palatino Linotype"/>
          <w:sz w:val="21"/>
          <w:szCs w:val="21"/>
        </w:rPr>
        <w:t>, Marcial Pons, Madrid.</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lastRenderedPageBreak/>
        <w:t xml:space="preserve">Gimeno Sendra, J.V. (1982): “Los derechos de acción penal, al juez legal y de defensa y sus derechos instrumentales”, en Cobo del Rosal (dir.): </w:t>
      </w:r>
      <w:r w:rsidRPr="00E10347">
        <w:rPr>
          <w:rFonts w:ascii="Palatino Linotype" w:hAnsi="Palatino Linotype"/>
          <w:i/>
          <w:sz w:val="21"/>
          <w:szCs w:val="21"/>
        </w:rPr>
        <w:t>Comentarios a la legislación penal</w:t>
      </w:r>
      <w:r w:rsidRPr="00E10347">
        <w:rPr>
          <w:rFonts w:ascii="Palatino Linotype" w:hAnsi="Palatino Linotype"/>
          <w:sz w:val="21"/>
          <w:szCs w:val="21"/>
        </w:rPr>
        <w:t>, tomo I, Edersa, Madrid.</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lang w:val="it-IT"/>
        </w:rPr>
        <w:t xml:space="preserve">Gómez Colomer, J.L. (ed.) </w:t>
      </w:r>
      <w:r w:rsidRPr="00E10347">
        <w:rPr>
          <w:rFonts w:ascii="Palatino Linotype" w:hAnsi="Palatino Linotype"/>
          <w:sz w:val="21"/>
          <w:szCs w:val="21"/>
        </w:rPr>
        <w:t xml:space="preserve">(2008): </w:t>
      </w:r>
      <w:r w:rsidRPr="00E10347">
        <w:rPr>
          <w:rFonts w:ascii="Palatino Linotype" w:hAnsi="Palatino Linotype"/>
          <w:i/>
          <w:sz w:val="21"/>
          <w:szCs w:val="21"/>
        </w:rPr>
        <w:t>Prueba y proceso penal. Análisis especial de la prueba prohibida en el sistema español y en el derecho comparado</w:t>
      </w:r>
      <w:r w:rsidRPr="00E10347">
        <w:rPr>
          <w:rFonts w:ascii="Palatino Linotype" w:hAnsi="Palatino Linotype"/>
          <w:sz w:val="21"/>
          <w:szCs w:val="21"/>
        </w:rPr>
        <w:t>, Valencia: Tirant lo Blanch.</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lang w:val="en-GB"/>
        </w:rPr>
        <w:t xml:space="preserve">Hart, H.L.A. (1958): “Positivism and the Separation of Law and Morals”, en </w:t>
      </w:r>
      <w:r w:rsidRPr="00E10347">
        <w:rPr>
          <w:rFonts w:ascii="Palatino Linotype" w:hAnsi="Palatino Linotype"/>
          <w:i/>
          <w:sz w:val="21"/>
          <w:szCs w:val="21"/>
          <w:lang w:val="en-GB"/>
        </w:rPr>
        <w:t>Harvard Law Review</w:t>
      </w:r>
      <w:r w:rsidRPr="00E10347">
        <w:rPr>
          <w:rFonts w:ascii="Palatino Linotype" w:hAnsi="Palatino Linotype"/>
          <w:sz w:val="21"/>
          <w:szCs w:val="21"/>
          <w:lang w:val="en-GB"/>
        </w:rPr>
        <w:t xml:space="preserve">, vol. 71, nº 4. </w:t>
      </w:r>
      <w:r w:rsidRPr="00E10347">
        <w:rPr>
          <w:rFonts w:ascii="Palatino Linotype" w:hAnsi="Palatino Linotype"/>
          <w:sz w:val="21"/>
          <w:szCs w:val="21"/>
        </w:rPr>
        <w:t xml:space="preserve">Citado por la traducción de Carrió, G.: “El positivismo jurídico y la separación entre el derecho y la moral”, en Hart, H.L.A.: </w:t>
      </w:r>
      <w:r w:rsidRPr="00E10347">
        <w:rPr>
          <w:rFonts w:ascii="Palatino Linotype" w:hAnsi="Palatino Linotype"/>
          <w:i/>
          <w:sz w:val="21"/>
          <w:szCs w:val="21"/>
        </w:rPr>
        <w:t>Derecho y moral. Contribuciones a su análisis</w:t>
      </w:r>
      <w:r w:rsidRPr="00E10347">
        <w:rPr>
          <w:rFonts w:ascii="Palatino Linotype" w:hAnsi="Palatino Linotype"/>
          <w:sz w:val="21"/>
          <w:szCs w:val="21"/>
        </w:rPr>
        <w:t>, Buenos Aires: Depalma, 1962.</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 xml:space="preserve">Hassemer, W. (1984): “Die Voraussetzungen der Untersuchungshaft”, en </w:t>
      </w:r>
      <w:r w:rsidRPr="00E10347">
        <w:rPr>
          <w:rFonts w:ascii="Palatino Linotype" w:hAnsi="Palatino Linotype"/>
          <w:i/>
          <w:sz w:val="21"/>
          <w:szCs w:val="21"/>
        </w:rPr>
        <w:t>Der Strafverteidiger</w:t>
      </w:r>
      <w:r w:rsidRPr="00E10347">
        <w:rPr>
          <w:rFonts w:ascii="Palatino Linotype" w:hAnsi="Palatino Linotype"/>
          <w:sz w:val="21"/>
          <w:szCs w:val="21"/>
        </w:rPr>
        <w:t xml:space="preserve">, nº 1; citado por la traducción castellana de Ziffer, P.: “Los presupuestos de la prisión preventiva”, en Hassemer, W.: </w:t>
      </w:r>
      <w:r w:rsidRPr="00E10347">
        <w:rPr>
          <w:rFonts w:ascii="Palatino Linotype" w:hAnsi="Palatino Linotype"/>
          <w:i/>
          <w:sz w:val="21"/>
          <w:szCs w:val="21"/>
        </w:rPr>
        <w:t>Crítica al derecho penal de hoy</w:t>
      </w:r>
      <w:r w:rsidRPr="00E10347">
        <w:rPr>
          <w:rFonts w:ascii="Palatino Linotype" w:hAnsi="Palatino Linotype"/>
          <w:sz w:val="21"/>
          <w:szCs w:val="21"/>
        </w:rPr>
        <w:t>, Ad Hoc, Buenos Aires, 1995.</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lang w:val="es-CR"/>
        </w:rPr>
        <w:t xml:space="preserve">Hobbes, Th. </w:t>
      </w:r>
      <w:r w:rsidRPr="00E10347">
        <w:rPr>
          <w:rFonts w:ascii="Palatino Linotype" w:hAnsi="Palatino Linotype"/>
          <w:sz w:val="21"/>
          <w:szCs w:val="21"/>
        </w:rPr>
        <w:t xml:space="preserve">(1651): </w:t>
      </w:r>
      <w:r w:rsidRPr="00E10347">
        <w:rPr>
          <w:rFonts w:ascii="Palatino Linotype" w:hAnsi="Palatino Linotype"/>
          <w:i/>
          <w:sz w:val="21"/>
          <w:szCs w:val="21"/>
        </w:rPr>
        <w:t>Leviatán</w:t>
      </w:r>
      <w:r w:rsidRPr="00E10347">
        <w:rPr>
          <w:rFonts w:ascii="Palatino Linotype" w:hAnsi="Palatino Linotype"/>
          <w:sz w:val="21"/>
          <w:szCs w:val="21"/>
        </w:rPr>
        <w:t>, trad. a cargo de Mellizo, C., Alianza Universidad, Madrid, 1989.</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lang w:val="en-GB"/>
        </w:rPr>
        <w:t xml:space="preserve">Hohfeld, W.N. (1913): “Some Fundamental Legal Conceptions as Applied to Judicial Reasoning”, en </w:t>
      </w:r>
      <w:r w:rsidRPr="00E10347">
        <w:rPr>
          <w:rFonts w:ascii="Palatino Linotype" w:hAnsi="Palatino Linotype"/>
          <w:i/>
          <w:sz w:val="21"/>
          <w:szCs w:val="21"/>
          <w:lang w:val="en-GB"/>
        </w:rPr>
        <w:t>Yale Law Journal</w:t>
      </w:r>
      <w:r w:rsidRPr="00E10347">
        <w:rPr>
          <w:rFonts w:ascii="Palatino Linotype" w:hAnsi="Palatino Linotype"/>
          <w:sz w:val="21"/>
          <w:szCs w:val="21"/>
          <w:lang w:val="en-GB"/>
        </w:rPr>
        <w:t xml:space="preserve">, 16, nº 23. </w:t>
      </w:r>
      <w:r w:rsidRPr="00E10347">
        <w:rPr>
          <w:rFonts w:ascii="Palatino Linotype" w:hAnsi="Palatino Linotype"/>
          <w:sz w:val="21"/>
          <w:szCs w:val="21"/>
        </w:rPr>
        <w:t xml:space="preserve">Citado por la traducción castellana de Carrió, G.: </w:t>
      </w:r>
      <w:r w:rsidRPr="00E10347">
        <w:rPr>
          <w:rFonts w:ascii="Palatino Linotype" w:hAnsi="Palatino Linotype"/>
          <w:i/>
          <w:sz w:val="21"/>
          <w:szCs w:val="21"/>
        </w:rPr>
        <w:t>Conceptos jurídicos fundamentals</w:t>
      </w:r>
      <w:r w:rsidRPr="00E10347">
        <w:rPr>
          <w:rFonts w:ascii="Palatino Linotype" w:hAnsi="Palatino Linotype"/>
          <w:sz w:val="21"/>
          <w:szCs w:val="21"/>
        </w:rPr>
        <w:t xml:space="preserve">, Fontamara, México, D.F., 1992. </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lang w:val="it-IT"/>
        </w:rPr>
      </w:pPr>
      <w:r w:rsidRPr="00E10347">
        <w:rPr>
          <w:rFonts w:ascii="Palatino Linotype" w:hAnsi="Palatino Linotype"/>
          <w:sz w:val="21"/>
          <w:szCs w:val="21"/>
          <w:lang w:val="it-IT"/>
        </w:rPr>
        <w:t xml:space="preserve">Illuminati, G. (1979): </w:t>
      </w:r>
      <w:r w:rsidRPr="00E10347">
        <w:rPr>
          <w:rFonts w:ascii="Palatino Linotype" w:hAnsi="Palatino Linotype"/>
          <w:i/>
          <w:sz w:val="21"/>
          <w:szCs w:val="21"/>
          <w:lang w:val="it-IT"/>
        </w:rPr>
        <w:t>La presunzione d’innocenza dell’imputato</w:t>
      </w:r>
      <w:r w:rsidRPr="00E10347">
        <w:rPr>
          <w:rFonts w:ascii="Palatino Linotype" w:hAnsi="Palatino Linotype"/>
          <w:sz w:val="21"/>
          <w:szCs w:val="21"/>
          <w:lang w:val="it-IT"/>
        </w:rPr>
        <w:t>, Zanichelli, Bologna.</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lang w:val="en-GB"/>
        </w:rPr>
      </w:pPr>
      <w:r w:rsidRPr="00E10347">
        <w:rPr>
          <w:rFonts w:ascii="Palatino Linotype" w:hAnsi="Palatino Linotype"/>
          <w:sz w:val="21"/>
          <w:szCs w:val="21"/>
          <w:lang w:val="en-GB"/>
        </w:rPr>
        <w:t xml:space="preserve">Laudan, L. (2006): </w:t>
      </w:r>
      <w:r w:rsidRPr="00E10347">
        <w:rPr>
          <w:rFonts w:ascii="Palatino Linotype" w:hAnsi="Palatino Linotype"/>
          <w:i/>
          <w:iCs/>
          <w:sz w:val="21"/>
          <w:szCs w:val="21"/>
          <w:lang w:val="en-GB"/>
        </w:rPr>
        <w:t>Truth, Error, and Criminal Law. An Essay in Legal Epistemology</w:t>
      </w:r>
      <w:r w:rsidRPr="00E10347">
        <w:rPr>
          <w:rFonts w:ascii="Palatino Linotype" w:hAnsi="Palatino Linotype"/>
          <w:sz w:val="21"/>
          <w:szCs w:val="21"/>
          <w:lang w:val="en-GB"/>
        </w:rPr>
        <w:t>, Cambridge: Cambridge University Press.</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 xml:space="preserve">Luzón Cuesta, J.Mª. (1991): </w:t>
      </w:r>
      <w:r w:rsidRPr="00E10347">
        <w:rPr>
          <w:rFonts w:ascii="Palatino Linotype" w:hAnsi="Palatino Linotype"/>
          <w:i/>
          <w:sz w:val="21"/>
          <w:szCs w:val="21"/>
        </w:rPr>
        <w:t>La presunción de inocencia ante la casación</w:t>
      </w:r>
      <w:r w:rsidRPr="00E10347">
        <w:rPr>
          <w:rFonts w:ascii="Palatino Linotype" w:hAnsi="Palatino Linotype"/>
          <w:sz w:val="21"/>
          <w:szCs w:val="21"/>
        </w:rPr>
        <w:t>, Colex, Madrid.</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 xml:space="preserve">Mendonca, D. (1998): “Presunciones”, en </w:t>
      </w:r>
      <w:r w:rsidRPr="00E10347">
        <w:rPr>
          <w:rFonts w:ascii="Palatino Linotype" w:hAnsi="Palatino Linotype"/>
          <w:i/>
          <w:sz w:val="21"/>
          <w:szCs w:val="21"/>
        </w:rPr>
        <w:t>Doxa</w:t>
      </w:r>
      <w:r w:rsidRPr="00E10347">
        <w:rPr>
          <w:rFonts w:ascii="Palatino Linotype" w:hAnsi="Palatino Linotype"/>
          <w:sz w:val="21"/>
          <w:szCs w:val="21"/>
        </w:rPr>
        <w:t>, nº 21, vol. 1.</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 xml:space="preserve">Miranda Estrampes, M. (1997): </w:t>
      </w:r>
      <w:r w:rsidRPr="00E10347">
        <w:rPr>
          <w:rFonts w:ascii="Palatino Linotype" w:hAnsi="Palatino Linotype"/>
          <w:i/>
          <w:sz w:val="21"/>
          <w:szCs w:val="21"/>
        </w:rPr>
        <w:t>La mínima actividad probatoria en el proceso penal</w:t>
      </w:r>
      <w:r w:rsidRPr="00E10347">
        <w:rPr>
          <w:rFonts w:ascii="Palatino Linotype" w:hAnsi="Palatino Linotype"/>
          <w:sz w:val="21"/>
          <w:szCs w:val="21"/>
        </w:rPr>
        <w:t>, Bosch, Barcelona.</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 xml:space="preserve">(2003): “La regla de exclusión de la prueba ilícita: historia de su nacimiento y de su progresiva limitación”, en </w:t>
      </w:r>
      <w:r w:rsidRPr="00E10347">
        <w:rPr>
          <w:rFonts w:ascii="Palatino Linotype" w:hAnsi="Palatino Linotype"/>
          <w:i/>
          <w:sz w:val="21"/>
          <w:szCs w:val="21"/>
        </w:rPr>
        <w:t>Jueces para la Democracia</w:t>
      </w:r>
      <w:r w:rsidRPr="00E10347">
        <w:rPr>
          <w:rFonts w:ascii="Palatino Linotype" w:hAnsi="Palatino Linotype"/>
          <w:sz w:val="21"/>
          <w:szCs w:val="21"/>
        </w:rPr>
        <w:t>, 47.</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 xml:space="preserve">Montañés Pardo, M.A. (1999): </w:t>
      </w:r>
      <w:r w:rsidRPr="00E10347">
        <w:rPr>
          <w:rFonts w:ascii="Palatino Linotype" w:hAnsi="Palatino Linotype"/>
          <w:i/>
          <w:sz w:val="21"/>
          <w:szCs w:val="21"/>
        </w:rPr>
        <w:t>La presunción de inocencia. Análisis doctrinal y jurisprudencial</w:t>
      </w:r>
      <w:r w:rsidRPr="00E10347">
        <w:rPr>
          <w:rFonts w:ascii="Palatino Linotype" w:hAnsi="Palatino Linotype"/>
          <w:sz w:val="21"/>
          <w:szCs w:val="21"/>
        </w:rPr>
        <w:t>, Aranzadi, Pamplona.</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lang w:val="fr-FR"/>
        </w:rPr>
      </w:pPr>
      <w:r w:rsidRPr="00E10347">
        <w:rPr>
          <w:rFonts w:ascii="Palatino Linotype" w:hAnsi="Palatino Linotype"/>
          <w:sz w:val="21"/>
          <w:szCs w:val="21"/>
          <w:lang w:val="fr-FR"/>
        </w:rPr>
        <w:lastRenderedPageBreak/>
        <w:t xml:space="preserve">Montesquieu (1748): </w:t>
      </w:r>
      <w:r w:rsidRPr="00E10347">
        <w:rPr>
          <w:rFonts w:ascii="Palatino Linotype" w:hAnsi="Palatino Linotype"/>
          <w:i/>
          <w:sz w:val="21"/>
          <w:szCs w:val="21"/>
          <w:lang w:val="fr-FR"/>
        </w:rPr>
        <w:t>De l’esprit des lois</w:t>
      </w:r>
      <w:r w:rsidRPr="00E10347">
        <w:rPr>
          <w:rFonts w:ascii="Palatino Linotype" w:hAnsi="Palatino Linotype"/>
          <w:sz w:val="21"/>
          <w:szCs w:val="21"/>
          <w:lang w:val="fr-FR"/>
        </w:rPr>
        <w:t>, Garnier Frères Libraires-Éditeurs, Paris, 1878.</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 xml:space="preserve">Ovejero Puente, A. Mª (2006): </w:t>
      </w:r>
      <w:r w:rsidRPr="00E10347">
        <w:rPr>
          <w:rFonts w:ascii="Palatino Linotype" w:hAnsi="Palatino Linotype"/>
          <w:i/>
          <w:sz w:val="21"/>
          <w:szCs w:val="21"/>
        </w:rPr>
        <w:t>Constitución y derecho a la presunción de inocencia</w:t>
      </w:r>
      <w:r w:rsidRPr="00E10347">
        <w:rPr>
          <w:rFonts w:ascii="Palatino Linotype" w:hAnsi="Palatino Linotype"/>
          <w:sz w:val="21"/>
          <w:szCs w:val="21"/>
        </w:rPr>
        <w:t>, Tirant lo Blanch, Valencia.</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 xml:space="preserve">Pastor, D. (2010): “Las garantías de libertad del imputado”, en AA.VV.: </w:t>
      </w:r>
      <w:r w:rsidRPr="00E10347">
        <w:rPr>
          <w:rFonts w:ascii="Palatino Linotype" w:hAnsi="Palatino Linotype"/>
          <w:i/>
          <w:sz w:val="21"/>
          <w:szCs w:val="21"/>
        </w:rPr>
        <w:t>Galantismo y crisis de la justicia</w:t>
      </w:r>
      <w:r w:rsidRPr="00E10347">
        <w:rPr>
          <w:rFonts w:ascii="Palatino Linotype" w:hAnsi="Palatino Linotype"/>
          <w:sz w:val="21"/>
          <w:szCs w:val="21"/>
        </w:rPr>
        <w:t>, Universidad de Medellín, Medellín.</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 xml:space="preserve">Pedrajas Moreno, A. (1992): </w:t>
      </w:r>
      <w:r w:rsidRPr="00E10347">
        <w:rPr>
          <w:rFonts w:ascii="Palatino Linotype" w:hAnsi="Palatino Linotype"/>
          <w:i/>
          <w:sz w:val="21"/>
          <w:szCs w:val="21"/>
        </w:rPr>
        <w:t>Despido y derechos fundamentales. Estudio especial de la presunción de inocencia</w:t>
      </w:r>
      <w:r w:rsidRPr="00E10347">
        <w:rPr>
          <w:rFonts w:ascii="Palatino Linotype" w:hAnsi="Palatino Linotype"/>
          <w:sz w:val="21"/>
          <w:szCs w:val="21"/>
        </w:rPr>
        <w:t>, Trotta, Madrid.</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 xml:space="preserve">Ramos Méndez, F. (1988): </w:t>
      </w:r>
      <w:r w:rsidRPr="00E10347">
        <w:rPr>
          <w:rFonts w:ascii="Palatino Linotype" w:hAnsi="Palatino Linotype"/>
          <w:i/>
          <w:sz w:val="21"/>
          <w:szCs w:val="21"/>
        </w:rPr>
        <w:t>El proceso penal. Lectura constitucional</w:t>
      </w:r>
      <w:r w:rsidRPr="00E10347">
        <w:rPr>
          <w:rFonts w:ascii="Palatino Linotype" w:hAnsi="Palatino Linotype"/>
          <w:sz w:val="21"/>
          <w:szCs w:val="21"/>
        </w:rPr>
        <w:t>, Ed. Bosch, Barcelona.</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 xml:space="preserve">Rodríguez-Piñero, M. (1990): “Carga de la prueba y presunción de inocencia en el proceso de despido”, en </w:t>
      </w:r>
      <w:r w:rsidRPr="00E10347">
        <w:rPr>
          <w:rFonts w:ascii="Palatino Linotype" w:hAnsi="Palatino Linotype"/>
          <w:i/>
          <w:sz w:val="21"/>
          <w:szCs w:val="21"/>
        </w:rPr>
        <w:t>Relaciones laborales: revista crítica de teoría y práctica</w:t>
      </w:r>
      <w:r w:rsidRPr="00E10347">
        <w:rPr>
          <w:rFonts w:ascii="Palatino Linotype" w:hAnsi="Palatino Linotype"/>
          <w:sz w:val="21"/>
          <w:szCs w:val="21"/>
        </w:rPr>
        <w:t>, nº 8.</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 xml:space="preserve">Romero Arias, E. (1985): </w:t>
      </w:r>
      <w:r w:rsidRPr="00E10347">
        <w:rPr>
          <w:rFonts w:ascii="Palatino Linotype" w:hAnsi="Palatino Linotype"/>
          <w:i/>
          <w:sz w:val="21"/>
          <w:szCs w:val="21"/>
        </w:rPr>
        <w:t>La presunción de inocencia</w:t>
      </w:r>
      <w:r w:rsidRPr="00E10347">
        <w:rPr>
          <w:rFonts w:ascii="Palatino Linotype" w:hAnsi="Palatino Linotype"/>
          <w:sz w:val="21"/>
          <w:szCs w:val="21"/>
        </w:rPr>
        <w:t xml:space="preserve">, Aranzadi, Pamplona. </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lang w:val="en-GB"/>
        </w:rPr>
      </w:pPr>
      <w:r w:rsidRPr="00E10347">
        <w:rPr>
          <w:rFonts w:ascii="Palatino Linotype" w:hAnsi="Palatino Linotype"/>
          <w:sz w:val="21"/>
          <w:szCs w:val="21"/>
          <w:lang w:val="en-GB"/>
        </w:rPr>
        <w:t xml:space="preserve">Stein, A. (2005): </w:t>
      </w:r>
      <w:r w:rsidRPr="00E10347">
        <w:rPr>
          <w:rFonts w:ascii="Palatino Linotype" w:hAnsi="Palatino Linotype"/>
          <w:i/>
          <w:iCs/>
          <w:sz w:val="21"/>
          <w:szCs w:val="21"/>
          <w:lang w:val="en-GB"/>
        </w:rPr>
        <w:t>Foundations of Evidence Law</w:t>
      </w:r>
      <w:r w:rsidRPr="00E10347">
        <w:rPr>
          <w:rFonts w:ascii="Palatino Linotype" w:hAnsi="Palatino Linotype"/>
          <w:sz w:val="21"/>
          <w:szCs w:val="21"/>
          <w:lang w:val="en-GB"/>
        </w:rPr>
        <w:t>, Oxford: Oxford University Press.</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Tomás y Valiente, F. (1987): “</w:t>
      </w:r>
      <w:r w:rsidRPr="00E10347">
        <w:rPr>
          <w:rFonts w:ascii="Palatino Linotype" w:hAnsi="Palatino Linotype"/>
          <w:i/>
          <w:sz w:val="21"/>
          <w:szCs w:val="21"/>
        </w:rPr>
        <w:t>In dubio pro reo</w:t>
      </w:r>
      <w:r w:rsidRPr="00E10347">
        <w:rPr>
          <w:rFonts w:ascii="Palatino Linotype" w:hAnsi="Palatino Linotype"/>
          <w:sz w:val="21"/>
          <w:szCs w:val="21"/>
        </w:rPr>
        <w:t xml:space="preserve">, libre apreciación de la prueba y presunción de inocencia”, en </w:t>
      </w:r>
      <w:r w:rsidRPr="00E10347">
        <w:rPr>
          <w:rFonts w:ascii="Palatino Linotype" w:hAnsi="Palatino Linotype"/>
          <w:i/>
          <w:sz w:val="21"/>
          <w:szCs w:val="21"/>
        </w:rPr>
        <w:t>Revista Española de Derecho Constitucional</w:t>
      </w:r>
      <w:r w:rsidRPr="00E10347">
        <w:rPr>
          <w:rFonts w:ascii="Palatino Linotype" w:hAnsi="Palatino Linotype"/>
          <w:sz w:val="21"/>
          <w:szCs w:val="21"/>
        </w:rPr>
        <w:t>, nº 20.</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 xml:space="preserve">Vázquez Sotelo, J.L. (1984): </w:t>
      </w:r>
      <w:r w:rsidRPr="00E10347">
        <w:rPr>
          <w:rFonts w:ascii="Palatino Linotype" w:hAnsi="Palatino Linotype"/>
          <w:i/>
          <w:sz w:val="21"/>
          <w:szCs w:val="21"/>
        </w:rPr>
        <w:t>Presunción de inocencia del imputado e íntima convicción del tribunal (Estudio sobre la utilización del imputado como fuente de prueba en el proceso penal español</w:t>
      </w:r>
      <w:r w:rsidRPr="00E10347">
        <w:rPr>
          <w:rFonts w:ascii="Palatino Linotype" w:hAnsi="Palatino Linotype"/>
          <w:sz w:val="21"/>
          <w:szCs w:val="21"/>
        </w:rPr>
        <w:t>), Ed. Bosch, Barcelona.</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 xml:space="preserve">Vegas Torres, J. (1993): </w:t>
      </w:r>
      <w:r w:rsidRPr="00E10347">
        <w:rPr>
          <w:rFonts w:ascii="Palatino Linotype" w:hAnsi="Palatino Linotype"/>
          <w:i/>
          <w:sz w:val="21"/>
          <w:szCs w:val="21"/>
        </w:rPr>
        <w:t>Presunción de inocencia y prueba en el proceso penal</w:t>
      </w:r>
      <w:r w:rsidRPr="00E10347">
        <w:rPr>
          <w:rFonts w:ascii="Palatino Linotype" w:hAnsi="Palatino Linotype"/>
          <w:sz w:val="21"/>
          <w:szCs w:val="21"/>
        </w:rPr>
        <w:t>, La Ley, Madrid.</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lang w:val="fr-FR"/>
        </w:rPr>
      </w:pPr>
      <w:r w:rsidRPr="00E10347">
        <w:rPr>
          <w:rFonts w:ascii="Palatino Linotype" w:hAnsi="Palatino Linotype"/>
          <w:sz w:val="21"/>
          <w:szCs w:val="21"/>
          <w:lang w:val="fr-FR"/>
        </w:rPr>
        <w:t xml:space="preserve">Voltaire, (1766): </w:t>
      </w:r>
      <w:r w:rsidRPr="00E10347">
        <w:rPr>
          <w:rFonts w:ascii="Palatino Linotype" w:hAnsi="Palatino Linotype"/>
          <w:i/>
          <w:sz w:val="21"/>
          <w:szCs w:val="21"/>
          <w:lang w:val="fr-FR"/>
        </w:rPr>
        <w:t>Commentaire sur le livre Des délits et des paines, par un advocat de province</w:t>
      </w:r>
      <w:r w:rsidRPr="00E10347">
        <w:rPr>
          <w:rFonts w:ascii="Palatino Linotype" w:hAnsi="Palatino Linotype"/>
          <w:sz w:val="21"/>
          <w:szCs w:val="21"/>
          <w:lang w:val="fr-FR"/>
        </w:rPr>
        <w:t>, Paris.</w:t>
      </w:r>
    </w:p>
    <w:p w:rsidR="00244C82" w:rsidRPr="00E10347" w:rsidRDefault="00244C82" w:rsidP="00E83320">
      <w:pPr>
        <w:widowControl/>
        <w:numPr>
          <w:ilvl w:val="0"/>
          <w:numId w:val="33"/>
        </w:numPr>
        <w:autoSpaceDE/>
        <w:autoSpaceDN/>
        <w:adjustRightInd/>
        <w:ind w:firstLine="709"/>
        <w:jc w:val="both"/>
        <w:rPr>
          <w:rFonts w:ascii="Palatino Linotype" w:hAnsi="Palatino Linotype"/>
          <w:sz w:val="21"/>
          <w:szCs w:val="21"/>
          <w:lang w:val="fr-FR"/>
        </w:rPr>
      </w:pPr>
      <w:r w:rsidRPr="00E10347">
        <w:rPr>
          <w:rFonts w:ascii="Palatino Linotype" w:hAnsi="Palatino Linotype"/>
          <w:sz w:val="21"/>
          <w:szCs w:val="21"/>
          <w:lang w:val="fr-FR"/>
        </w:rPr>
        <w:t xml:space="preserve">Wróblewski, J. (1974): “Structure et fonctions des présomptions juridiques”, en Perelman, Ch. y Foriers, P. : </w:t>
      </w:r>
      <w:r w:rsidRPr="00E10347">
        <w:rPr>
          <w:rFonts w:ascii="Palatino Linotype" w:hAnsi="Palatino Linotype"/>
          <w:i/>
          <w:sz w:val="21"/>
          <w:szCs w:val="21"/>
          <w:lang w:val="fr-FR"/>
        </w:rPr>
        <w:t>Les présomptions et les fictions en Droit</w:t>
      </w:r>
      <w:r w:rsidRPr="00E10347">
        <w:rPr>
          <w:rFonts w:ascii="Palatino Linotype" w:hAnsi="Palatino Linotype"/>
          <w:sz w:val="21"/>
          <w:szCs w:val="21"/>
          <w:lang w:val="fr-FR"/>
        </w:rPr>
        <w:t>, Bruylant, Bruxelles.</w:t>
      </w:r>
    </w:p>
    <w:p w:rsidR="00244C82" w:rsidRPr="00E10347" w:rsidRDefault="00244C82" w:rsidP="00E10347">
      <w:pPr>
        <w:pStyle w:val="Sinespaciado"/>
        <w:ind w:left="709" w:firstLine="709"/>
        <w:jc w:val="both"/>
        <w:rPr>
          <w:rFonts w:ascii="Palatino Linotype" w:hAnsi="Palatino Linotype"/>
          <w:sz w:val="21"/>
          <w:szCs w:val="21"/>
          <w:lang w:val="fr-FR"/>
        </w:rPr>
      </w:pPr>
    </w:p>
    <w:p w:rsidR="00244C82" w:rsidRPr="00E10347" w:rsidRDefault="00244C82" w:rsidP="00E10347">
      <w:pPr>
        <w:ind w:firstLine="709"/>
        <w:jc w:val="both"/>
        <w:rPr>
          <w:rFonts w:ascii="Palatino Linotype" w:hAnsi="Palatino Linotype"/>
          <w:b/>
          <w:sz w:val="21"/>
          <w:szCs w:val="21"/>
          <w:u w:val="single"/>
          <w:lang w:val="fr-FR"/>
        </w:rPr>
      </w:pPr>
    </w:p>
    <w:p w:rsidR="00244C82" w:rsidRPr="00E10347" w:rsidRDefault="00244C82" w:rsidP="00E10347">
      <w:pPr>
        <w:ind w:firstLine="709"/>
        <w:jc w:val="both"/>
        <w:rPr>
          <w:rFonts w:ascii="Palatino Linotype" w:hAnsi="Palatino Linotype"/>
          <w:b/>
          <w:sz w:val="21"/>
          <w:szCs w:val="21"/>
          <w:u w:val="single"/>
          <w:lang w:val="en-US"/>
        </w:rPr>
        <w:sectPr w:rsidR="00244C82" w:rsidRPr="00E10347" w:rsidSect="00FC1DF6">
          <w:headerReference w:type="even" r:id="rId62"/>
          <w:headerReference w:type="default" r:id="rId63"/>
          <w:type w:val="oddPage"/>
          <w:pgSz w:w="12240" w:h="15840" w:code="1"/>
          <w:pgMar w:top="1667" w:right="851" w:bottom="4253" w:left="3686" w:header="1021" w:footer="3005" w:gutter="0"/>
          <w:cols w:space="708"/>
          <w:titlePg/>
          <w:docGrid w:linePitch="360"/>
        </w:sectPr>
      </w:pPr>
    </w:p>
    <w:p w:rsidR="00E429E2" w:rsidRDefault="00F80BB6" w:rsidP="00E429E2">
      <w:pPr>
        <w:jc w:val="center"/>
        <w:rPr>
          <w:rFonts w:ascii="Palatino Linotype" w:hAnsi="Palatino Linotype"/>
          <w:b/>
          <w:sz w:val="21"/>
          <w:szCs w:val="21"/>
        </w:rPr>
      </w:pPr>
      <w:bookmarkStart w:id="70" w:name="_Hlk479198286"/>
      <w:r w:rsidRPr="00E10347">
        <w:rPr>
          <w:rFonts w:ascii="Palatino Linotype" w:hAnsi="Palatino Linotype"/>
          <w:b/>
          <w:sz w:val="21"/>
          <w:szCs w:val="21"/>
        </w:rPr>
        <w:lastRenderedPageBreak/>
        <w:t xml:space="preserve">NO TODO LO QUE BRILLA ES ORO NI TODO LO QUE CREES ES CIERTO: </w:t>
      </w:r>
    </w:p>
    <w:p w:rsidR="00F80BB6" w:rsidRPr="00E10347" w:rsidRDefault="00F80BB6" w:rsidP="00E429E2">
      <w:pPr>
        <w:jc w:val="center"/>
        <w:rPr>
          <w:rFonts w:ascii="Palatino Linotype" w:hAnsi="Palatino Linotype"/>
          <w:b/>
          <w:sz w:val="21"/>
          <w:szCs w:val="21"/>
        </w:rPr>
      </w:pPr>
      <w:r w:rsidRPr="00E10347">
        <w:rPr>
          <w:rFonts w:ascii="Palatino Linotype" w:hAnsi="Palatino Linotype"/>
          <w:b/>
          <w:sz w:val="21"/>
          <w:szCs w:val="21"/>
        </w:rPr>
        <w:t>TESTI</w:t>
      </w:r>
      <w:r w:rsidR="001E59C2" w:rsidRPr="00E10347">
        <w:rPr>
          <w:rFonts w:ascii="Palatino Linotype" w:hAnsi="Palatino Linotype"/>
          <w:b/>
          <w:sz w:val="21"/>
          <w:szCs w:val="21"/>
        </w:rPr>
        <w:t>GOS Y MEMORIAS FALSAS</w:t>
      </w:r>
    </w:p>
    <w:p w:rsidR="00E429E2" w:rsidRDefault="00E429E2" w:rsidP="00E10347">
      <w:pPr>
        <w:ind w:left="4247" w:firstLine="709"/>
        <w:jc w:val="both"/>
        <w:rPr>
          <w:rFonts w:ascii="Palatino Linotype" w:hAnsi="Palatino Linotype"/>
          <w:b/>
          <w:sz w:val="21"/>
          <w:szCs w:val="21"/>
        </w:rPr>
      </w:pPr>
    </w:p>
    <w:p w:rsidR="00F80BB6" w:rsidRDefault="001E59C2" w:rsidP="00E10347">
      <w:pPr>
        <w:ind w:left="4247" w:firstLine="709"/>
        <w:jc w:val="both"/>
        <w:rPr>
          <w:rFonts w:ascii="Palatino Linotype" w:hAnsi="Palatino Linotype"/>
          <w:b/>
          <w:sz w:val="21"/>
          <w:szCs w:val="21"/>
        </w:rPr>
      </w:pPr>
      <w:r w:rsidRPr="00E10347">
        <w:rPr>
          <w:rFonts w:ascii="Palatino Linotype" w:hAnsi="Palatino Linotype"/>
          <w:b/>
          <w:sz w:val="21"/>
          <w:szCs w:val="21"/>
        </w:rPr>
        <w:t xml:space="preserve">Msc. </w:t>
      </w:r>
      <w:r w:rsidR="00F80BB6" w:rsidRPr="00E10347">
        <w:rPr>
          <w:rFonts w:ascii="Palatino Linotype" w:hAnsi="Palatino Linotype"/>
          <w:b/>
          <w:sz w:val="21"/>
          <w:szCs w:val="21"/>
        </w:rPr>
        <w:t>Herman Duarte</w:t>
      </w:r>
      <w:bookmarkEnd w:id="70"/>
      <w:r w:rsidRPr="00E10347">
        <w:rPr>
          <w:rStyle w:val="Refdenotaalpie"/>
          <w:rFonts w:ascii="Palatino Linotype" w:hAnsi="Palatino Linotype"/>
          <w:b/>
          <w:sz w:val="21"/>
          <w:szCs w:val="21"/>
        </w:rPr>
        <w:footnoteReference w:id="609"/>
      </w:r>
      <w:r w:rsidR="00F80BB6" w:rsidRPr="00E10347">
        <w:rPr>
          <w:rFonts w:ascii="Palatino Linotype" w:hAnsi="Palatino Linotype"/>
          <w:b/>
          <w:sz w:val="21"/>
          <w:szCs w:val="21"/>
        </w:rPr>
        <w:t xml:space="preserve"> </w:t>
      </w:r>
    </w:p>
    <w:p w:rsidR="00A05EF6" w:rsidRDefault="00A05EF6" w:rsidP="00A05EF6">
      <w:pPr>
        <w:jc w:val="both"/>
        <w:rPr>
          <w:rFonts w:ascii="Palatino Linotype" w:hAnsi="Palatino Linotype"/>
          <w:b/>
          <w:sz w:val="21"/>
          <w:szCs w:val="21"/>
        </w:rPr>
      </w:pPr>
    </w:p>
    <w:p w:rsidR="00A05EF6" w:rsidRDefault="00A05EF6" w:rsidP="00A05EF6">
      <w:pPr>
        <w:jc w:val="both"/>
        <w:rPr>
          <w:rFonts w:ascii="Palatino Linotype" w:hAnsi="Palatino Linotype"/>
          <w:sz w:val="21"/>
          <w:szCs w:val="21"/>
        </w:rPr>
      </w:pPr>
      <w:r w:rsidRPr="00D1279A">
        <w:rPr>
          <w:rFonts w:ascii="Palatino Linotype" w:hAnsi="Palatino Linotype" w:cs="Times New Roman"/>
          <w:spacing w:val="-3"/>
          <w:sz w:val="21"/>
          <w:szCs w:val="21"/>
        </w:rPr>
        <w:t xml:space="preserve">SUMARIO:  </w:t>
      </w:r>
      <w:r w:rsidRPr="00D1279A">
        <w:rPr>
          <w:rFonts w:ascii="Palatino Linotype" w:hAnsi="Palatino Linotype"/>
          <w:sz w:val="21"/>
          <w:szCs w:val="21"/>
        </w:rPr>
        <w:t xml:space="preserve">1.- </w:t>
      </w:r>
      <w:r w:rsidRPr="00D1279A">
        <w:rPr>
          <w:rFonts w:ascii="Palatino Linotype" w:hAnsi="Palatino Linotype"/>
          <w:sz w:val="21"/>
          <w:szCs w:val="21"/>
        </w:rPr>
        <w:fldChar w:fldCharType="begin"/>
      </w:r>
      <w:r w:rsidRPr="00D1279A">
        <w:rPr>
          <w:rFonts w:ascii="Palatino Linotype" w:hAnsi="Palatino Linotype"/>
          <w:sz w:val="21"/>
          <w:szCs w:val="21"/>
        </w:rPr>
        <w:instrText xml:space="preserve"> TOC \o "1-5" </w:instrText>
      </w:r>
      <w:r w:rsidRPr="00D1279A">
        <w:rPr>
          <w:rFonts w:ascii="Palatino Linotype" w:hAnsi="Palatino Linotype"/>
          <w:sz w:val="21"/>
          <w:szCs w:val="21"/>
        </w:rPr>
        <w:fldChar w:fldCharType="end"/>
      </w:r>
      <w:r w:rsidRPr="00D1279A">
        <w:rPr>
          <w:rFonts w:ascii="Palatino Linotype" w:hAnsi="Palatino Linotype"/>
          <w:sz w:val="21"/>
          <w:szCs w:val="21"/>
        </w:rPr>
        <w:t>De la realidad a la ciencia ficción: la memoria en diferentes dimensiones.  2.- Sistema cognitivo y memoria.  a.- El director de orquesta: el cerebro.  b.- Almacenar información.  c.- Recuperar información.  3.- ¿Qué tiene en común Wikipedia y la memoria?  4.- Testimoniales.  5.- Reflexiones para una conclusión</w:t>
      </w:r>
    </w:p>
    <w:p w:rsidR="00A05EF6" w:rsidRPr="00E10347" w:rsidRDefault="00A05EF6" w:rsidP="00A05EF6">
      <w:pPr>
        <w:jc w:val="both"/>
        <w:rPr>
          <w:rFonts w:ascii="Palatino Linotype" w:hAnsi="Palatino Linotype"/>
          <w:b/>
          <w:sz w:val="21"/>
          <w:szCs w:val="21"/>
        </w:rPr>
      </w:pP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b/>
          <w:sz w:val="21"/>
          <w:szCs w:val="21"/>
        </w:rPr>
        <w:t>Abstracto</w:t>
      </w:r>
      <w:r w:rsidRPr="00E10347">
        <w:rPr>
          <w:rFonts w:ascii="Palatino Linotype" w:hAnsi="Palatino Linotype"/>
          <w:sz w:val="21"/>
          <w:szCs w:val="21"/>
        </w:rPr>
        <w:t xml:space="preserve">: Pocos elementos del hombre tan maleables como la memoria. En este capítulo, después de una breve reflexión sobre el sistema cognitivo, como operan los sistemas cerebrales y entrar en la forma en cómo funciona la memoria por medio de sus diferentes etapas, se describe el pantanoso y oscuro mundo de las memorias falsas y su relación o implicación en el mundo del derecho procesal, en específico por medio de la prueba testimonial. Desde una perspectiva práctica, se establecen posibles acciones para contrarrestar este fenómeno o bien para evidenciarlo, para cerrar con una reflexión sobre la necesidad de formar a los árbitros y practicantes en la rama de la psicología para evitar los problemas que pueden surgir     </w:t>
      </w:r>
    </w:p>
    <w:p w:rsidR="001E141B" w:rsidRDefault="001E141B" w:rsidP="00E10347">
      <w:pPr>
        <w:pStyle w:val="TDC1"/>
        <w:spacing w:before="0" w:after="0"/>
        <w:rPr>
          <w:sz w:val="21"/>
          <w:szCs w:val="21"/>
        </w:rPr>
      </w:pPr>
    </w:p>
    <w:p w:rsidR="00F80BB6" w:rsidRPr="00E10347" w:rsidRDefault="001E59C2" w:rsidP="00E10347">
      <w:pPr>
        <w:pStyle w:val="TDC1"/>
        <w:spacing w:before="0" w:after="0"/>
        <w:rPr>
          <w:sz w:val="21"/>
          <w:szCs w:val="21"/>
        </w:rPr>
      </w:pPr>
      <w:r w:rsidRPr="00E10347">
        <w:rPr>
          <w:sz w:val="21"/>
          <w:szCs w:val="21"/>
        </w:rPr>
        <w:t xml:space="preserve">1.- </w:t>
      </w:r>
      <w:r w:rsidR="00A22DC1" w:rsidRPr="00E10347">
        <w:rPr>
          <w:sz w:val="21"/>
          <w:szCs w:val="21"/>
        </w:rPr>
        <w:fldChar w:fldCharType="begin"/>
      </w:r>
      <w:r w:rsidR="00A22DC1" w:rsidRPr="00E10347">
        <w:rPr>
          <w:sz w:val="21"/>
          <w:szCs w:val="21"/>
        </w:rPr>
        <w:instrText xml:space="preserve"> TOC \o "1-5" </w:instrText>
      </w:r>
      <w:r w:rsidR="00A22DC1" w:rsidRPr="00E10347">
        <w:rPr>
          <w:sz w:val="21"/>
          <w:szCs w:val="21"/>
        </w:rPr>
        <w:fldChar w:fldCharType="end"/>
      </w:r>
      <w:bookmarkStart w:id="71" w:name="_Toc460951972"/>
      <w:bookmarkStart w:id="72" w:name="_Toc463961774"/>
      <w:bookmarkStart w:id="73" w:name="_Toc463963851"/>
      <w:bookmarkStart w:id="74" w:name="_Toc469486500"/>
      <w:r w:rsidR="00F80BB6" w:rsidRPr="00E10347">
        <w:rPr>
          <w:sz w:val="21"/>
          <w:szCs w:val="21"/>
        </w:rPr>
        <w:t>D</w:t>
      </w:r>
      <w:r w:rsidRPr="00E10347">
        <w:rPr>
          <w:sz w:val="21"/>
          <w:szCs w:val="21"/>
        </w:rPr>
        <w:t>e la realidad a la ciencia ficción: la memoria en diferentes dimensiones</w:t>
      </w:r>
      <w:bookmarkEnd w:id="71"/>
      <w:bookmarkEnd w:id="72"/>
      <w:bookmarkEnd w:id="73"/>
      <w:bookmarkEnd w:id="74"/>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 xml:space="preserve">Al leer la palabra “teoría” inmediatamente intuitivamente la relacionamos con conceptos científicos, de algún  grado de complejidad.  Mientras que al leer “juegos” la memoria lo asocia con aspectos infantiles, triviales y actividades que por lo general no requiere un gran esfuerzo; al juntarlas -“teoría de los juegos”-inicialmente se genera una contradicción (¿un científico infantil?), pero después de unos segundos, el cerebro sale de ese choque conceptual, delibera, llegando a la conclusión que en realidad esa frase se refiere a la invención de John Von </w:t>
      </w:r>
      <w:r w:rsidRPr="00E10347">
        <w:rPr>
          <w:rFonts w:ascii="Palatino Linotype" w:hAnsi="Palatino Linotype"/>
          <w:sz w:val="21"/>
          <w:szCs w:val="21"/>
        </w:rPr>
        <w:lastRenderedPageBreak/>
        <w:t>Neumann</w:t>
      </w:r>
      <w:r w:rsidRPr="00E10347">
        <w:rPr>
          <w:rStyle w:val="Refdenotaalpie"/>
          <w:rFonts w:ascii="Palatino Linotype" w:hAnsi="Palatino Linotype"/>
          <w:sz w:val="21"/>
          <w:szCs w:val="21"/>
        </w:rPr>
        <w:footnoteReference w:id="610"/>
      </w:r>
      <w:r w:rsidRPr="00E10347">
        <w:rPr>
          <w:rFonts w:ascii="Palatino Linotype" w:hAnsi="Palatino Linotype"/>
          <w:sz w:val="21"/>
          <w:szCs w:val="21"/>
        </w:rPr>
        <w:t xml:space="preserve">. Aquel judío húngaro que logró escaparse de las garras de la II Guerra Mundial y se instaló en Universidad de Princeton en los Estados Unidos de América, convirtiéndose en un estratega y asesor militar de la superpotencia americana y en una de las mentes más influyentes de todos los tiempos.  </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 xml:space="preserve">En cuestión de segundos, los procesos mentales del cerebro acceden – en caso de haber adquirido esos conceptos- a los aspectos generales sobre tales eventos y personajes históricos, llegando al punto de profundizar para alcanzar detalles de aspectos particulares – </w:t>
      </w:r>
      <w:r w:rsidRPr="00E10347">
        <w:rPr>
          <w:rFonts w:ascii="Palatino Linotype" w:hAnsi="Palatino Linotype"/>
          <w:i/>
          <w:sz w:val="21"/>
          <w:szCs w:val="21"/>
        </w:rPr>
        <w:t>zoom in</w:t>
      </w:r>
      <w:r w:rsidRPr="00E10347">
        <w:rPr>
          <w:rFonts w:ascii="Palatino Linotype" w:hAnsi="Palatino Linotype"/>
          <w:sz w:val="21"/>
          <w:szCs w:val="21"/>
        </w:rPr>
        <w:t>- de esos vagos recuerdos. Destacando entre las remembranzas, las anécdotas de Von Neumann y su prodigiosa  capacidad para navegar en el misterioso mundo de las matemáticas, su afabilidad por las bromas y su memoria prodigiosa</w:t>
      </w:r>
      <w:r w:rsidRPr="00E10347">
        <w:rPr>
          <w:rStyle w:val="Refdenotaalpie"/>
          <w:rFonts w:ascii="Palatino Linotype" w:hAnsi="Palatino Linotype"/>
          <w:sz w:val="21"/>
          <w:szCs w:val="21"/>
        </w:rPr>
        <w:footnoteReference w:id="611"/>
      </w:r>
      <w:r w:rsidRPr="00E10347">
        <w:rPr>
          <w:rFonts w:ascii="Palatino Linotype" w:hAnsi="Palatino Linotype"/>
          <w:sz w:val="21"/>
          <w:szCs w:val="21"/>
        </w:rPr>
        <w:t>.</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Lastimosamente no todos tenemos una memoria prodigiosa como la de Von Neumann o la de Mike Ross de la serie americana “Suits”</w:t>
      </w:r>
      <w:r w:rsidRPr="00E10347">
        <w:rPr>
          <w:rStyle w:val="Refdenotaalpie"/>
          <w:rFonts w:ascii="Palatino Linotype" w:hAnsi="Palatino Linotype"/>
          <w:sz w:val="21"/>
          <w:szCs w:val="21"/>
        </w:rPr>
        <w:footnoteReference w:id="612"/>
      </w:r>
      <w:r w:rsidRPr="00E10347">
        <w:rPr>
          <w:rFonts w:ascii="Palatino Linotype" w:hAnsi="Palatino Linotype"/>
          <w:sz w:val="21"/>
          <w:szCs w:val="21"/>
        </w:rPr>
        <w:t xml:space="preserve">. Pero aún y cuando la mayoría no cuenta con una memoria extraordinaria, sí es posible indicar que las funciones que la memoria estándar cumple, son esenciales para la vida cotidiana ya que nos ayuda a recordar quienes somos, ejecutar acciones cotidianas como </w:t>
      </w:r>
      <w:r w:rsidRPr="00E10347">
        <w:rPr>
          <w:rFonts w:ascii="Palatino Linotype" w:hAnsi="Palatino Linotype"/>
          <w:sz w:val="21"/>
          <w:szCs w:val="21"/>
        </w:rPr>
        <w:lastRenderedPageBreak/>
        <w:t>caminar, hablar, comportarnos ante determinadas hasta qué cosas olvidar.  Esas dos personas – uno que existió y otro que no- nos permiten tomar consciencia de las falencias</w:t>
      </w:r>
      <w:r w:rsidRPr="00E10347">
        <w:rPr>
          <w:rStyle w:val="Refdenotaalpie"/>
          <w:rFonts w:ascii="Palatino Linotype" w:hAnsi="Palatino Linotype"/>
          <w:sz w:val="21"/>
          <w:szCs w:val="21"/>
        </w:rPr>
        <w:footnoteReference w:id="613"/>
      </w:r>
      <w:r w:rsidRPr="00E10347">
        <w:rPr>
          <w:rFonts w:ascii="Palatino Linotype" w:hAnsi="Palatino Linotype"/>
          <w:sz w:val="21"/>
          <w:szCs w:val="21"/>
        </w:rPr>
        <w:t xml:space="preserve"> de nuestra propia memoria: como a veces no logramos recordar conceptos o situaciones; como en otras, la confusión nos impide distinguir y separar dos hechos</w:t>
      </w:r>
      <w:r w:rsidRPr="00E10347">
        <w:rPr>
          <w:rStyle w:val="Refdenotaalpie"/>
          <w:rFonts w:ascii="Palatino Linotype" w:hAnsi="Palatino Linotype"/>
          <w:sz w:val="21"/>
          <w:szCs w:val="21"/>
        </w:rPr>
        <w:footnoteReference w:id="614"/>
      </w:r>
      <w:r w:rsidRPr="00E10347">
        <w:rPr>
          <w:rFonts w:ascii="Palatino Linotype" w:hAnsi="Palatino Linotype"/>
          <w:sz w:val="21"/>
          <w:szCs w:val="21"/>
        </w:rPr>
        <w:t>, llegando hasta mezclar realidad y ficción; mientras que en otras, cómo experiencias ajenas al recuerdo pueden llegar a influenciar el recuerdo mismo, al punto de llegar a creer como cierto algo que en realidad no ha ocurrido, o al extremo de llegar a implantar- en esencia como ocurre en Inception</w:t>
      </w:r>
      <w:r w:rsidRPr="00E10347">
        <w:rPr>
          <w:rStyle w:val="Refdenotaalpie"/>
          <w:rFonts w:ascii="Palatino Linotype" w:hAnsi="Palatino Linotype"/>
          <w:sz w:val="21"/>
          <w:szCs w:val="21"/>
        </w:rPr>
        <w:footnoteReference w:id="615"/>
      </w:r>
      <w:r w:rsidRPr="00E10347">
        <w:rPr>
          <w:rFonts w:ascii="Palatino Linotype" w:hAnsi="Palatino Linotype"/>
          <w:sz w:val="21"/>
          <w:szCs w:val="21"/>
        </w:rPr>
        <w:t xml:space="preserve">- recuerdos falsos. </w:t>
      </w:r>
    </w:p>
    <w:p w:rsidR="001E141B" w:rsidRDefault="001E141B" w:rsidP="00E10347">
      <w:pPr>
        <w:pStyle w:val="Ttulo1"/>
        <w:widowControl/>
        <w:autoSpaceDE/>
        <w:autoSpaceDN/>
        <w:adjustRightInd/>
        <w:spacing w:before="0"/>
        <w:jc w:val="both"/>
        <w:rPr>
          <w:rFonts w:ascii="Palatino Linotype" w:hAnsi="Palatino Linotype" w:cs="Arial"/>
          <w:color w:val="auto"/>
          <w:sz w:val="21"/>
          <w:szCs w:val="21"/>
        </w:rPr>
      </w:pPr>
      <w:bookmarkStart w:id="75" w:name="_Toc469486501"/>
    </w:p>
    <w:p w:rsidR="00F80BB6" w:rsidRPr="00E10347" w:rsidRDefault="00DB45D2" w:rsidP="00E10347">
      <w:pPr>
        <w:pStyle w:val="Ttulo1"/>
        <w:widowControl/>
        <w:autoSpaceDE/>
        <w:autoSpaceDN/>
        <w:adjustRightInd/>
        <w:spacing w:before="0"/>
        <w:jc w:val="both"/>
        <w:rPr>
          <w:rFonts w:ascii="Palatino Linotype" w:hAnsi="Palatino Linotype" w:cs="Arial"/>
          <w:b w:val="0"/>
          <w:color w:val="auto"/>
          <w:sz w:val="21"/>
          <w:szCs w:val="21"/>
        </w:rPr>
      </w:pPr>
      <w:r w:rsidRPr="00E10347">
        <w:rPr>
          <w:rFonts w:ascii="Palatino Linotype" w:hAnsi="Palatino Linotype" w:cs="Arial"/>
          <w:color w:val="auto"/>
          <w:sz w:val="21"/>
          <w:szCs w:val="21"/>
        </w:rPr>
        <w:t xml:space="preserve">2.- </w:t>
      </w:r>
      <w:r w:rsidR="00F80BB6" w:rsidRPr="00E10347">
        <w:rPr>
          <w:rFonts w:ascii="Palatino Linotype" w:hAnsi="Palatino Linotype" w:cs="Arial"/>
          <w:color w:val="auto"/>
          <w:sz w:val="21"/>
          <w:szCs w:val="21"/>
        </w:rPr>
        <w:t>S</w:t>
      </w:r>
      <w:r w:rsidRPr="00E10347">
        <w:rPr>
          <w:rFonts w:ascii="Palatino Linotype" w:hAnsi="Palatino Linotype" w:cs="Arial"/>
          <w:color w:val="auto"/>
          <w:sz w:val="21"/>
          <w:szCs w:val="21"/>
        </w:rPr>
        <w:t>istema cognitivo y memoria</w:t>
      </w:r>
      <w:bookmarkEnd w:id="75"/>
    </w:p>
    <w:p w:rsidR="00F80BB6" w:rsidRPr="00E10347" w:rsidRDefault="00DB45D2" w:rsidP="00E10347">
      <w:pPr>
        <w:pStyle w:val="Ttulo2"/>
        <w:widowControl/>
        <w:autoSpaceDE/>
        <w:autoSpaceDN/>
        <w:adjustRightInd/>
        <w:spacing w:before="0"/>
        <w:jc w:val="both"/>
        <w:rPr>
          <w:rFonts w:ascii="Palatino Linotype" w:hAnsi="Palatino Linotype" w:cs="Arial"/>
          <w:color w:val="auto"/>
          <w:sz w:val="21"/>
          <w:szCs w:val="21"/>
        </w:rPr>
      </w:pPr>
      <w:bookmarkStart w:id="76" w:name="_Toc469486502"/>
      <w:r w:rsidRPr="00E10347">
        <w:rPr>
          <w:rFonts w:ascii="Palatino Linotype" w:hAnsi="Palatino Linotype" w:cs="Arial"/>
          <w:color w:val="auto"/>
          <w:sz w:val="21"/>
          <w:szCs w:val="21"/>
        </w:rPr>
        <w:t xml:space="preserve">a.- </w:t>
      </w:r>
      <w:r w:rsidR="00F80BB6" w:rsidRPr="00E10347">
        <w:rPr>
          <w:rFonts w:ascii="Palatino Linotype" w:hAnsi="Palatino Linotype" w:cs="Arial"/>
          <w:color w:val="auto"/>
          <w:sz w:val="21"/>
          <w:szCs w:val="21"/>
        </w:rPr>
        <w:t>El director de orquesta: el cerebro.</w:t>
      </w:r>
      <w:bookmarkEnd w:id="76"/>
      <w:r w:rsidR="00F80BB6" w:rsidRPr="00E10347">
        <w:rPr>
          <w:rFonts w:ascii="Palatino Linotype" w:hAnsi="Palatino Linotype" w:cs="Arial"/>
          <w:color w:val="auto"/>
          <w:sz w:val="21"/>
          <w:szCs w:val="21"/>
        </w:rPr>
        <w:t xml:space="preserve"> </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Para hablar de memoria- capacidad de los organismos de adquirir, retener y utilizar conocimiento o información</w:t>
      </w:r>
      <w:r w:rsidRPr="00E10347">
        <w:rPr>
          <w:rStyle w:val="Refdenotaalpie"/>
          <w:rFonts w:ascii="Palatino Linotype" w:hAnsi="Palatino Linotype"/>
          <w:sz w:val="21"/>
          <w:szCs w:val="21"/>
        </w:rPr>
        <w:footnoteReference w:id="616"/>
      </w:r>
      <w:r w:rsidRPr="00E10347">
        <w:rPr>
          <w:rFonts w:ascii="Palatino Linotype" w:hAnsi="Palatino Linotype"/>
          <w:sz w:val="21"/>
          <w:szCs w:val="21"/>
        </w:rPr>
        <w:t xml:space="preserve">- necesariamente tenemos que hablar del </w:t>
      </w:r>
      <w:r w:rsidRPr="00E10347">
        <w:rPr>
          <w:rFonts w:ascii="Palatino Linotype" w:hAnsi="Palatino Linotype"/>
          <w:sz w:val="21"/>
          <w:szCs w:val="21"/>
        </w:rPr>
        <w:lastRenderedPageBreak/>
        <w:t>sistema cognitivo. Es decir que es se debe tomar en cuenta los procesos mentales con los que el cerebro simplifica la comprensión de lo que ocurre alrededor, así como los análisis intuitivos y deliberativos que ocurren al momento de la toma de decisiones. Ello por cuanto estos factores inciden directamente en la percepción que tiene una persona sobre la ocurrencia de un evento.</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Kahneman</w:t>
      </w:r>
      <w:r w:rsidRPr="00E10347">
        <w:rPr>
          <w:rStyle w:val="Refdenotaalpie"/>
          <w:rFonts w:ascii="Palatino Linotype" w:hAnsi="Palatino Linotype"/>
          <w:sz w:val="21"/>
          <w:szCs w:val="21"/>
        </w:rPr>
        <w:footnoteReference w:id="617"/>
      </w:r>
      <w:r w:rsidRPr="00E10347">
        <w:rPr>
          <w:rFonts w:ascii="Palatino Linotype" w:hAnsi="Palatino Linotype"/>
          <w:sz w:val="21"/>
          <w:szCs w:val="21"/>
        </w:rPr>
        <w:t xml:space="preserve"> explica que el cerebro tiene un principio básico para su funcionamiento: consumir la menor cantidad de energía posible para efectuar todas las funciones que desempeña como director de orquesta del cuerpo humano. Para efectuar dicha labor, cuenta con dos segmentaciones del cerebro:  una intuitivo, el cual denomina S1 y uno deliberativo el cual denomina S2. Estos sistemas interactúan entre ellos para procesar los eventos que el sistema sensorial (los 5 sentidos) perciben. El Sistema intuitivo se encuentra siempre alerta, listo para saltar con una respuesta, la cual podrá ser o no certera dependiendo de la habilidad o </w:t>
      </w:r>
      <w:r w:rsidRPr="00E10347">
        <w:rPr>
          <w:rFonts w:ascii="Palatino Linotype" w:hAnsi="Palatino Linotype"/>
          <w:i/>
          <w:sz w:val="21"/>
          <w:szCs w:val="21"/>
        </w:rPr>
        <w:t>expertise</w:t>
      </w:r>
      <w:r w:rsidRPr="00E10347">
        <w:rPr>
          <w:rFonts w:ascii="Palatino Linotype" w:hAnsi="Palatino Linotype"/>
          <w:sz w:val="21"/>
          <w:szCs w:val="21"/>
        </w:rPr>
        <w:t xml:space="preserve"> del individuo que responde. El S1 estará disponible para responder problemas simples (como detectar hostilidad en una conversación, deslizar a la izquierda o derecha en Tinder, determinar la procedencia de un sonido, hacer una mueca de desprecio ante algo incómodo, etc.). </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 xml:space="preserve">De tal manera que entre mayor práctica se tenga sobre una habilidad determinada, como por ejemplo jugar ajedrez, las habilidades migrarán del S2 al S1, ya que el cerebro habrá adquirido la capacidad para efectuarlas de forma automática sin mayor desgaste de energía. El S1 se auxilia de herramientas denominadas heurísticas, habilidades expertas adquiridas así como de procesos mentales como la percepción y memoria. El S1 ayuda a asociar ideas, movimientos motores, habilidades adquiridas y entender las dinámicas de las circunstancias sociales; acceder a estos conocimientos – que se encuentran en la memoria- se hace sin intención (como ocurre al leer) y sin esfuerzo. </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 xml:space="preserve">Cuando el S1 falla en encontrar una respuesta ante una situación, entra a </w:t>
      </w:r>
      <w:r w:rsidRPr="00E10347">
        <w:rPr>
          <w:rFonts w:ascii="Palatino Linotype" w:hAnsi="Palatino Linotype"/>
          <w:sz w:val="21"/>
          <w:szCs w:val="21"/>
        </w:rPr>
        <w:lastRenderedPageBreak/>
        <w:t xml:space="preserve">escena el S2, el cual es más lento y tiene un consumo energético mayor, por cuanto requiere de la concentración del individuo, algunos ejemplos de actividades que efectúa el S2 se encuentran concentrarse en una persona en un ambiente ruidoso, comparar dos situaciones determinadas, efectuar una declaración de impuestos, responder un problema de matemáticas, analizar dar una segunda oportunidad a tu ex, encontrar a “Waldo”, entre otras. De esta manera, el S2 tiene la habilidad para influir en el funcionamiento del S1. </w:t>
      </w:r>
    </w:p>
    <w:p w:rsidR="001E141B"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La interacción entre ambos sistemas es bastante curiosa, por cuanto siempre están encendidos y alerta a los eventos que los sentidos perciben, siendo que el S1 está constantemente enviando al S2 mensajes de los eventos que ocurren, los cuales a su vez se pueden transformar en creencias y posteriormente en impulsos que quedan registrados en el cerebro para próximas actuaciones. El problema ocurre, cuando el S1 envía impulsos al S2, basados en sesgos, prejuicios y heurísticas –atajos mentales- que mueven a errores sistemáticos</w:t>
      </w:r>
      <w:r w:rsidRPr="00E10347">
        <w:rPr>
          <w:rStyle w:val="Refdenotaalpie"/>
          <w:rFonts w:ascii="Palatino Linotype" w:hAnsi="Palatino Linotype"/>
          <w:sz w:val="21"/>
          <w:szCs w:val="21"/>
        </w:rPr>
        <w:footnoteReference w:id="618"/>
      </w:r>
      <w:r w:rsidRPr="00E10347">
        <w:rPr>
          <w:rFonts w:ascii="Palatino Linotype" w:hAnsi="Palatino Linotype"/>
          <w:sz w:val="21"/>
          <w:szCs w:val="21"/>
        </w:rPr>
        <w:t xml:space="preserve">. </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 xml:space="preserve">Imaginen al cerebro como el director de orquestas con múltiples funciones, conscientes e inconscientes, que debe coordinar para el buen funcionamiento de los músicos – el cuerpo humano-. En este sentido, uno de los principales objetivos de ese director es consumir la menor cantidad de energía posible para tomar las decisiones, para ello, se basa en una serie de artilugios para lograrlo: </w:t>
      </w:r>
    </w:p>
    <w:p w:rsidR="00F80BB6" w:rsidRPr="00E10347" w:rsidRDefault="00F80BB6" w:rsidP="00E83320">
      <w:pPr>
        <w:pStyle w:val="Prrafodelista"/>
        <w:widowControl/>
        <w:numPr>
          <w:ilvl w:val="0"/>
          <w:numId w:val="12"/>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sesgos</w:t>
      </w:r>
      <w:r w:rsidRPr="00E10347">
        <w:rPr>
          <w:rStyle w:val="Refdenotaalpie"/>
          <w:rFonts w:ascii="Palatino Linotype" w:hAnsi="Palatino Linotype"/>
          <w:sz w:val="21"/>
          <w:szCs w:val="21"/>
        </w:rPr>
        <w:footnoteReference w:id="619"/>
      </w:r>
      <w:r w:rsidRPr="00E10347">
        <w:rPr>
          <w:rFonts w:ascii="Palatino Linotype" w:hAnsi="Palatino Linotype"/>
          <w:sz w:val="21"/>
          <w:szCs w:val="21"/>
        </w:rPr>
        <w:t xml:space="preserve">, </w:t>
      </w:r>
    </w:p>
    <w:p w:rsidR="00F80BB6" w:rsidRPr="00E10347" w:rsidRDefault="00F80BB6" w:rsidP="00E83320">
      <w:pPr>
        <w:pStyle w:val="Prrafodelista"/>
        <w:widowControl/>
        <w:numPr>
          <w:ilvl w:val="0"/>
          <w:numId w:val="12"/>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preconcepciones</w:t>
      </w:r>
      <w:r w:rsidRPr="00E10347">
        <w:rPr>
          <w:rStyle w:val="Refdenotaalpie"/>
          <w:rFonts w:ascii="Palatino Linotype" w:hAnsi="Palatino Linotype"/>
          <w:sz w:val="21"/>
          <w:szCs w:val="21"/>
        </w:rPr>
        <w:footnoteReference w:id="620"/>
      </w:r>
      <w:r w:rsidRPr="00E10347">
        <w:rPr>
          <w:rFonts w:ascii="Palatino Linotype" w:hAnsi="Palatino Linotype"/>
          <w:sz w:val="21"/>
          <w:szCs w:val="21"/>
        </w:rPr>
        <w:t xml:space="preserve">, </w:t>
      </w:r>
    </w:p>
    <w:p w:rsidR="00F80BB6" w:rsidRPr="00E10347" w:rsidRDefault="00F80BB6" w:rsidP="00E83320">
      <w:pPr>
        <w:pStyle w:val="Prrafodelista"/>
        <w:widowControl/>
        <w:numPr>
          <w:ilvl w:val="0"/>
          <w:numId w:val="12"/>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expectativas</w:t>
      </w:r>
      <w:r w:rsidRPr="00E10347">
        <w:rPr>
          <w:rStyle w:val="Refdenotaalpie"/>
          <w:rFonts w:ascii="Palatino Linotype" w:hAnsi="Palatino Linotype"/>
          <w:sz w:val="21"/>
          <w:szCs w:val="21"/>
        </w:rPr>
        <w:footnoteReference w:id="621"/>
      </w:r>
      <w:r w:rsidRPr="00E10347">
        <w:rPr>
          <w:rFonts w:ascii="Palatino Linotype" w:hAnsi="Palatino Linotype"/>
          <w:sz w:val="21"/>
          <w:szCs w:val="21"/>
        </w:rPr>
        <w:t xml:space="preserve">,  </w:t>
      </w:r>
    </w:p>
    <w:p w:rsidR="00F80BB6" w:rsidRPr="00E10347" w:rsidRDefault="00F80BB6" w:rsidP="00E83320">
      <w:pPr>
        <w:pStyle w:val="Prrafodelista"/>
        <w:widowControl/>
        <w:numPr>
          <w:ilvl w:val="0"/>
          <w:numId w:val="12"/>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lastRenderedPageBreak/>
        <w:t>estereotipos</w:t>
      </w:r>
      <w:r w:rsidRPr="00E10347">
        <w:rPr>
          <w:rStyle w:val="Refdenotaalpie"/>
          <w:rFonts w:ascii="Palatino Linotype" w:hAnsi="Palatino Linotype"/>
          <w:sz w:val="21"/>
          <w:szCs w:val="21"/>
        </w:rPr>
        <w:footnoteReference w:id="622"/>
      </w:r>
      <w:r w:rsidRPr="00E10347">
        <w:rPr>
          <w:rFonts w:ascii="Palatino Linotype" w:hAnsi="Palatino Linotype"/>
          <w:sz w:val="21"/>
          <w:szCs w:val="21"/>
        </w:rPr>
        <w:t xml:space="preserve">, </w:t>
      </w:r>
    </w:p>
    <w:p w:rsidR="00F80BB6" w:rsidRPr="00E10347" w:rsidRDefault="00F80BB6" w:rsidP="00E83320">
      <w:pPr>
        <w:pStyle w:val="Prrafodelista"/>
        <w:widowControl/>
        <w:numPr>
          <w:ilvl w:val="0"/>
          <w:numId w:val="12"/>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esquemas mentales</w:t>
      </w:r>
      <w:r w:rsidRPr="00E10347">
        <w:rPr>
          <w:rStyle w:val="Refdenotaalpie"/>
          <w:rFonts w:ascii="Palatino Linotype" w:hAnsi="Palatino Linotype"/>
          <w:sz w:val="21"/>
          <w:szCs w:val="21"/>
        </w:rPr>
        <w:footnoteReference w:id="623"/>
      </w:r>
      <w:r w:rsidRPr="00E10347">
        <w:rPr>
          <w:rFonts w:ascii="Palatino Linotype" w:hAnsi="Palatino Linotype"/>
          <w:sz w:val="21"/>
          <w:szCs w:val="21"/>
        </w:rPr>
        <w:t>,</w:t>
      </w:r>
    </w:p>
    <w:p w:rsidR="00F80BB6" w:rsidRPr="00E10347" w:rsidRDefault="00F80BB6" w:rsidP="00E83320">
      <w:pPr>
        <w:pStyle w:val="Prrafodelista"/>
        <w:widowControl/>
        <w:numPr>
          <w:ilvl w:val="0"/>
          <w:numId w:val="12"/>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decisiones por medio de heurísticas cognitivas</w:t>
      </w:r>
      <w:r w:rsidRPr="00E10347">
        <w:rPr>
          <w:rStyle w:val="Refdenotaalpie"/>
          <w:rFonts w:ascii="Palatino Linotype" w:hAnsi="Palatino Linotype"/>
          <w:sz w:val="21"/>
          <w:szCs w:val="21"/>
        </w:rPr>
        <w:footnoteReference w:id="624"/>
      </w:r>
      <w:r w:rsidRPr="00E10347">
        <w:rPr>
          <w:rFonts w:ascii="Palatino Linotype" w:hAnsi="Palatino Linotype"/>
          <w:sz w:val="21"/>
          <w:szCs w:val="21"/>
        </w:rPr>
        <w:t xml:space="preserve">, </w:t>
      </w:r>
    </w:p>
    <w:p w:rsidR="00F80BB6" w:rsidRPr="00E10347" w:rsidRDefault="00F80BB6" w:rsidP="00E83320">
      <w:pPr>
        <w:pStyle w:val="Prrafodelista"/>
        <w:widowControl/>
        <w:numPr>
          <w:ilvl w:val="0"/>
          <w:numId w:val="12"/>
        </w:numPr>
        <w:autoSpaceDE/>
        <w:autoSpaceDN/>
        <w:adjustRightInd/>
        <w:ind w:firstLine="709"/>
        <w:jc w:val="both"/>
        <w:rPr>
          <w:rFonts w:ascii="Palatino Linotype" w:hAnsi="Palatino Linotype"/>
          <w:sz w:val="21"/>
          <w:szCs w:val="21"/>
        </w:rPr>
      </w:pPr>
      <w:r w:rsidRPr="00E10347">
        <w:rPr>
          <w:rFonts w:ascii="Palatino Linotype" w:hAnsi="Palatino Linotype"/>
          <w:sz w:val="21"/>
          <w:szCs w:val="21"/>
        </w:rPr>
        <w:t>entre otros</w:t>
      </w:r>
      <w:r w:rsidRPr="00E10347">
        <w:rPr>
          <w:rStyle w:val="Refdenotaalpie"/>
          <w:rFonts w:ascii="Palatino Linotype" w:hAnsi="Palatino Linotype"/>
          <w:sz w:val="21"/>
          <w:szCs w:val="21"/>
        </w:rPr>
        <w:footnoteReference w:id="625"/>
      </w:r>
      <w:r w:rsidRPr="00E10347">
        <w:rPr>
          <w:rFonts w:ascii="Palatino Linotype" w:hAnsi="Palatino Linotype"/>
          <w:sz w:val="21"/>
          <w:szCs w:val="21"/>
        </w:rPr>
        <w:t xml:space="preserve">. </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lastRenderedPageBreak/>
        <w:t>De esta manera, con base a toda esa serie de complejos procesos mentales, es que el cerebro logra procesar la información con la que interactúa, almacenando la información que más valiosa se considera.</w:t>
      </w:r>
    </w:p>
    <w:p w:rsidR="001E141B" w:rsidRDefault="001E141B" w:rsidP="00E10347">
      <w:pPr>
        <w:pStyle w:val="Ttulo2"/>
        <w:widowControl/>
        <w:autoSpaceDE/>
        <w:autoSpaceDN/>
        <w:adjustRightInd/>
        <w:spacing w:before="0"/>
        <w:jc w:val="both"/>
        <w:rPr>
          <w:rFonts w:ascii="Palatino Linotype" w:hAnsi="Palatino Linotype" w:cs="Arial"/>
          <w:color w:val="auto"/>
          <w:sz w:val="21"/>
          <w:szCs w:val="21"/>
        </w:rPr>
      </w:pPr>
      <w:bookmarkStart w:id="77" w:name="_Toc469486503"/>
    </w:p>
    <w:p w:rsidR="00F80BB6" w:rsidRPr="00E10347" w:rsidRDefault="00DB45D2" w:rsidP="00E10347">
      <w:pPr>
        <w:pStyle w:val="Ttulo2"/>
        <w:widowControl/>
        <w:autoSpaceDE/>
        <w:autoSpaceDN/>
        <w:adjustRightInd/>
        <w:spacing w:before="0"/>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a.- </w:t>
      </w:r>
      <w:r w:rsidR="00F80BB6" w:rsidRPr="00E10347">
        <w:rPr>
          <w:rFonts w:ascii="Palatino Linotype" w:hAnsi="Palatino Linotype" w:cs="Arial"/>
          <w:color w:val="auto"/>
          <w:sz w:val="21"/>
          <w:szCs w:val="21"/>
        </w:rPr>
        <w:t>Almacenar información.</w:t>
      </w:r>
      <w:bookmarkEnd w:id="77"/>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El proceso de recordar, requiere necesariamente que se haya efectuado un proceso de codificación de la información, con el fin de almacenar el contenido en nuestro cerebro. Para ese proceso inicial, el cerebro utiliza uno de los recursos más limitados</w:t>
      </w:r>
      <w:r w:rsidRPr="00E10347">
        <w:rPr>
          <w:rStyle w:val="Refdenotaalpie"/>
          <w:rFonts w:ascii="Palatino Linotype" w:hAnsi="Palatino Linotype"/>
          <w:sz w:val="21"/>
          <w:szCs w:val="21"/>
        </w:rPr>
        <w:footnoteReference w:id="626"/>
      </w:r>
      <w:r w:rsidRPr="00E10347">
        <w:rPr>
          <w:rFonts w:ascii="Palatino Linotype" w:hAnsi="Palatino Linotype"/>
          <w:sz w:val="21"/>
          <w:szCs w:val="21"/>
        </w:rPr>
        <w:t xml:space="preserve"> que posee: la atención.  </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 xml:space="preserve">Christopher Chabris and Daniel Simons, propusieron un experimento en la Universidad de Harvard, el cual evidencia la limitada capacidad de la atención. El ejercicio consiste en contar la cantidad de pases que hacen 6 jugadores de un equipo de </w:t>
      </w:r>
      <w:r w:rsidRPr="00E10347">
        <w:rPr>
          <w:rFonts w:ascii="Palatino Linotype" w:hAnsi="Palatino Linotype"/>
          <w:i/>
          <w:sz w:val="21"/>
          <w:szCs w:val="21"/>
        </w:rPr>
        <w:t>basketball</w:t>
      </w:r>
      <w:r w:rsidRPr="00E10347">
        <w:rPr>
          <w:rFonts w:ascii="Palatino Linotype" w:hAnsi="Palatino Linotype"/>
          <w:sz w:val="21"/>
          <w:szCs w:val="21"/>
        </w:rPr>
        <w:t xml:space="preserve"> en un período de 60 segundos. Transcurridos unos segundos, en la escena entra un gorila que baila en medio de la escena y hasta participa haciendo pases. En muchos casos este gorila no es identificado por los participantes ya que se encuentran totalmente concentrados en contar los pases.</w:t>
      </w:r>
      <w:r w:rsidRPr="00E10347">
        <w:rPr>
          <w:rStyle w:val="Refdenotaalpie"/>
          <w:rFonts w:ascii="Palatino Linotype" w:hAnsi="Palatino Linotype"/>
          <w:sz w:val="21"/>
          <w:szCs w:val="21"/>
        </w:rPr>
        <w:footnoteReference w:id="627"/>
      </w:r>
      <w:r w:rsidRPr="00E10347">
        <w:rPr>
          <w:rFonts w:ascii="Palatino Linotype" w:hAnsi="Palatino Linotype"/>
          <w:sz w:val="21"/>
          <w:szCs w:val="21"/>
        </w:rPr>
        <w:t xml:space="preserve">   </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 xml:space="preserve">Cuando experimentamos un evento en el cual nuestra atención se enfoca, no lo grabamos en la memoria como lo haría una cámara de video. La situación es mucho más compleja. Primero estamos en una etapa denominada de adquisición, o </w:t>
      </w:r>
      <w:r w:rsidRPr="00E10347">
        <w:rPr>
          <w:rFonts w:ascii="Palatino Linotype" w:hAnsi="Palatino Linotype"/>
          <w:i/>
          <w:sz w:val="21"/>
          <w:szCs w:val="21"/>
        </w:rPr>
        <w:t>percepción</w:t>
      </w:r>
      <w:r w:rsidRPr="00E10347">
        <w:rPr>
          <w:rStyle w:val="Refdenotaalpie"/>
          <w:rFonts w:ascii="Palatino Linotype" w:hAnsi="Palatino Linotype"/>
          <w:sz w:val="21"/>
          <w:szCs w:val="21"/>
        </w:rPr>
        <w:footnoteReference w:id="628"/>
      </w:r>
      <w:r w:rsidRPr="00E10347">
        <w:rPr>
          <w:rFonts w:ascii="Palatino Linotype" w:hAnsi="Palatino Linotype"/>
          <w:sz w:val="21"/>
          <w:szCs w:val="21"/>
        </w:rPr>
        <w:t xml:space="preserve"> del evento original, en el cual  una situación es codificada e ingresa en </w:t>
      </w:r>
      <w:r w:rsidRPr="00E10347">
        <w:rPr>
          <w:rFonts w:ascii="Palatino Linotype" w:hAnsi="Palatino Linotype"/>
          <w:sz w:val="21"/>
          <w:szCs w:val="21"/>
        </w:rPr>
        <w:lastRenderedPageBreak/>
        <w:t>el sistema de memoria, siempre y cuando se considere  como relevante</w:t>
      </w:r>
      <w:r w:rsidRPr="00E10347">
        <w:rPr>
          <w:rStyle w:val="Refdenotaalpie"/>
          <w:rFonts w:ascii="Palatino Linotype" w:hAnsi="Palatino Linotype"/>
          <w:sz w:val="21"/>
          <w:szCs w:val="21"/>
        </w:rPr>
        <w:footnoteReference w:id="629"/>
      </w:r>
      <w:r w:rsidRPr="00E10347">
        <w:rPr>
          <w:rFonts w:ascii="Palatino Linotype" w:hAnsi="Palatino Linotype"/>
          <w:sz w:val="21"/>
          <w:szCs w:val="21"/>
        </w:rPr>
        <w:t xml:space="preserve">. En una segunda etapa, hablamos de una </w:t>
      </w:r>
      <w:r w:rsidRPr="00E10347">
        <w:rPr>
          <w:rFonts w:ascii="Palatino Linotype" w:hAnsi="Palatino Linotype"/>
          <w:i/>
          <w:sz w:val="21"/>
          <w:szCs w:val="21"/>
        </w:rPr>
        <w:t xml:space="preserve">retención, </w:t>
      </w:r>
      <w:r w:rsidRPr="00E10347">
        <w:rPr>
          <w:rFonts w:ascii="Palatino Linotype" w:hAnsi="Palatino Linotype"/>
          <w:sz w:val="21"/>
          <w:szCs w:val="21"/>
        </w:rPr>
        <w:t xml:space="preserve"> que corresponde al período que pasa entre la ocurrencia del evento y la eventual recolección de la información. Mientras que la tercera etapa es la de recuperación, que es cuando una persona recuerda información almacenada</w:t>
      </w:r>
      <w:r w:rsidRPr="00E10347">
        <w:rPr>
          <w:rStyle w:val="Refdenotaalpie"/>
          <w:rFonts w:ascii="Palatino Linotype" w:hAnsi="Palatino Linotype"/>
          <w:sz w:val="21"/>
          <w:szCs w:val="21"/>
        </w:rPr>
        <w:footnoteReference w:id="630"/>
      </w:r>
      <w:r w:rsidRPr="00E10347">
        <w:rPr>
          <w:rFonts w:ascii="Palatino Linotype" w:hAnsi="Palatino Linotype"/>
          <w:sz w:val="21"/>
          <w:szCs w:val="21"/>
        </w:rPr>
        <w:t xml:space="preserve">.    </w:t>
      </w:r>
    </w:p>
    <w:p w:rsidR="00F80BB6" w:rsidRPr="00E10347" w:rsidRDefault="00F80BB6" w:rsidP="00E10347">
      <w:pPr>
        <w:ind w:firstLine="709"/>
        <w:jc w:val="both"/>
        <w:rPr>
          <w:rFonts w:ascii="Palatino Linotype" w:hAnsi="Palatino Linotype"/>
          <w:b/>
          <w:sz w:val="21"/>
          <w:szCs w:val="21"/>
          <w:u w:val="single"/>
        </w:rPr>
      </w:pPr>
      <w:r w:rsidRPr="00E10347">
        <w:rPr>
          <w:rFonts w:ascii="Palatino Linotype" w:hAnsi="Palatino Linotype"/>
          <w:b/>
          <w:noProof/>
          <w:sz w:val="21"/>
          <w:szCs w:val="21"/>
          <w:u w:val="single"/>
          <w:lang w:val="es-CR" w:eastAsia="es-CR"/>
        </w:rPr>
        <w:drawing>
          <wp:inline distT="0" distB="0" distL="0" distR="0" wp14:anchorId="13BF6C18" wp14:editId="31A29323">
            <wp:extent cx="4368800" cy="1568369"/>
            <wp:effectExtent l="0" t="0" r="0" b="0"/>
            <wp:docPr id="3" name="Imagen 3" descr="../../../../../../../../Desktop/Captura%20de%20pantalla%202016-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Captura%20de%20pantalla%202016-09-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522434" cy="1623522"/>
                    </a:xfrm>
                    <a:prstGeom prst="rect">
                      <a:avLst/>
                    </a:prstGeom>
                    <a:noFill/>
                    <a:ln>
                      <a:noFill/>
                    </a:ln>
                  </pic:spPr>
                </pic:pic>
              </a:graphicData>
            </a:graphic>
          </wp:inline>
        </w:drawing>
      </w:r>
    </w:p>
    <w:p w:rsidR="00F80BB6" w:rsidRPr="00E10347" w:rsidRDefault="00F80BB6" w:rsidP="00E10347">
      <w:pPr>
        <w:ind w:firstLine="709"/>
        <w:jc w:val="both"/>
        <w:rPr>
          <w:rFonts w:ascii="Palatino Linotype" w:hAnsi="Palatino Linotype"/>
          <w:b/>
          <w:sz w:val="21"/>
          <w:szCs w:val="21"/>
          <w:u w:val="single"/>
        </w:rPr>
      </w:pPr>
      <w:r w:rsidRPr="00E10347">
        <w:rPr>
          <w:rFonts w:ascii="Palatino Linotype" w:hAnsi="Palatino Linotype"/>
          <w:b/>
          <w:sz w:val="21"/>
          <w:szCs w:val="21"/>
          <w:u w:val="single"/>
        </w:rPr>
        <w:t xml:space="preserve">Figura 1. </w:t>
      </w:r>
      <w:r w:rsidRPr="00E10347">
        <w:rPr>
          <w:rFonts w:ascii="Palatino Linotype" w:hAnsi="Palatino Linotype"/>
          <w:sz w:val="21"/>
          <w:szCs w:val="21"/>
        </w:rPr>
        <w:t>Modelo de Atkinson y Shiffin</w:t>
      </w:r>
      <w:r w:rsidRPr="00E10347">
        <w:rPr>
          <w:rStyle w:val="Refdenotaalpie"/>
          <w:rFonts w:ascii="Palatino Linotype" w:hAnsi="Palatino Linotype"/>
          <w:sz w:val="21"/>
          <w:szCs w:val="21"/>
        </w:rPr>
        <w:footnoteReference w:id="631"/>
      </w:r>
      <w:r w:rsidRPr="00E10347">
        <w:rPr>
          <w:rFonts w:ascii="Palatino Linotype" w:hAnsi="Palatino Linotype"/>
          <w:sz w:val="21"/>
          <w:szCs w:val="21"/>
        </w:rPr>
        <w:t xml:space="preserve">. </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En la Figura 1 se presenta el flujo de cómo los estímulos pueden llegar a memorial sensorial</w:t>
      </w:r>
      <w:r w:rsidRPr="00E10347">
        <w:rPr>
          <w:rStyle w:val="Refdenotaalpie"/>
          <w:rFonts w:ascii="Palatino Linotype" w:hAnsi="Palatino Linotype"/>
          <w:sz w:val="21"/>
          <w:szCs w:val="21"/>
        </w:rPr>
        <w:footnoteReference w:id="632"/>
      </w:r>
      <w:r w:rsidRPr="00E10347">
        <w:rPr>
          <w:rFonts w:ascii="Palatino Linotype" w:hAnsi="Palatino Linotype"/>
          <w:sz w:val="21"/>
          <w:szCs w:val="21"/>
        </w:rPr>
        <w:t xml:space="preserve"> y entrar al campo de la memoria a corto plazo</w:t>
      </w:r>
      <w:r w:rsidRPr="00E10347">
        <w:rPr>
          <w:rStyle w:val="Refdenotaalpie"/>
          <w:rFonts w:ascii="Palatino Linotype" w:hAnsi="Palatino Linotype"/>
          <w:sz w:val="21"/>
          <w:szCs w:val="21"/>
        </w:rPr>
        <w:footnoteReference w:id="633"/>
      </w:r>
      <w:r w:rsidRPr="00E10347">
        <w:rPr>
          <w:rFonts w:ascii="Palatino Linotype" w:hAnsi="Palatino Linotype"/>
          <w:sz w:val="21"/>
          <w:szCs w:val="21"/>
        </w:rPr>
        <w:t xml:space="preserve"> y la memoria de largo plazo</w:t>
      </w:r>
      <w:r w:rsidRPr="00E10347">
        <w:rPr>
          <w:rStyle w:val="Refdenotaalpie"/>
          <w:rFonts w:ascii="Palatino Linotype" w:hAnsi="Palatino Linotype"/>
          <w:sz w:val="21"/>
          <w:szCs w:val="21"/>
        </w:rPr>
        <w:footnoteReference w:id="634"/>
      </w:r>
      <w:r w:rsidRPr="00E10347">
        <w:rPr>
          <w:rFonts w:ascii="Palatino Linotype" w:hAnsi="Palatino Linotype"/>
          <w:sz w:val="21"/>
          <w:szCs w:val="21"/>
        </w:rPr>
        <w:t xml:space="preserve">. Por supuesto que el gráfico solamente viene a ser una </w:t>
      </w:r>
      <w:r w:rsidRPr="00E10347">
        <w:rPr>
          <w:rFonts w:ascii="Palatino Linotype" w:hAnsi="Palatino Linotype"/>
          <w:sz w:val="21"/>
          <w:szCs w:val="21"/>
        </w:rPr>
        <w:lastRenderedPageBreak/>
        <w:t>simplificación del proceso de almacenar una memoria, por cuanto existen factores internos y externos que influyen</w:t>
      </w:r>
      <w:r w:rsidRPr="00E10347">
        <w:rPr>
          <w:rStyle w:val="Refdenotaalpie"/>
          <w:rFonts w:ascii="Palatino Linotype" w:hAnsi="Palatino Linotype"/>
          <w:sz w:val="21"/>
          <w:szCs w:val="21"/>
        </w:rPr>
        <w:footnoteReference w:id="635"/>
      </w:r>
      <w:r w:rsidRPr="00E10347">
        <w:rPr>
          <w:rFonts w:ascii="Palatino Linotype" w:hAnsi="Palatino Linotype"/>
          <w:sz w:val="21"/>
          <w:szCs w:val="21"/>
        </w:rPr>
        <w:t xml:space="preserve"> la percepción</w:t>
      </w:r>
      <w:r w:rsidRPr="00E10347">
        <w:rPr>
          <w:rStyle w:val="Refdenotaalpie"/>
          <w:rFonts w:ascii="Palatino Linotype" w:hAnsi="Palatino Linotype"/>
          <w:sz w:val="21"/>
          <w:szCs w:val="21"/>
        </w:rPr>
        <w:footnoteReference w:id="636"/>
      </w:r>
      <w:r w:rsidRPr="00E10347">
        <w:rPr>
          <w:rFonts w:ascii="Palatino Linotype" w:hAnsi="Palatino Linotype"/>
          <w:sz w:val="21"/>
          <w:szCs w:val="21"/>
        </w:rPr>
        <w:t xml:space="preserve"> del suceso y su eventual codificación y almacenamiento en la memoria. </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De tal manera que previo a codificar y almacenar la experiencia o concepto, una situación pasará por el filtro de los procesos mentales indicados, incluidas las expectativas temporales</w:t>
      </w:r>
      <w:r w:rsidRPr="00E10347">
        <w:rPr>
          <w:rStyle w:val="Refdenotaalpie"/>
          <w:rFonts w:ascii="Palatino Linotype" w:hAnsi="Palatino Linotype"/>
          <w:sz w:val="21"/>
          <w:szCs w:val="21"/>
        </w:rPr>
        <w:footnoteReference w:id="637"/>
      </w:r>
      <w:r w:rsidRPr="00E10347">
        <w:rPr>
          <w:rFonts w:ascii="Palatino Linotype" w:hAnsi="Palatino Linotype"/>
          <w:sz w:val="21"/>
          <w:szCs w:val="21"/>
        </w:rPr>
        <w:t xml:space="preserve"> que pueden estar presente en el momento de la </w:t>
      </w:r>
      <w:r w:rsidRPr="00E10347">
        <w:rPr>
          <w:rFonts w:ascii="Palatino Linotype" w:hAnsi="Palatino Linotype"/>
          <w:sz w:val="21"/>
          <w:szCs w:val="21"/>
        </w:rPr>
        <w:lastRenderedPageBreak/>
        <w:t xml:space="preserve">ocurrencia del evento. Una vez el cerebro almacena un acontecimiento- episódico o semántico- estará disponible para ser recuperado cuantas veces sea requerido, existiendo una relación que entre más sea utilizado dicho recuerdo, menor será la probabilidad que sea olvidado, aunque corre el riesgo que por cada recuperación, se cambien algunos acontecimientos de cada evento, o bien pueda ser influenciado por factores externos que hagan cambiar la recolección original. Esto nos lleva a los problemas que ocurren en esta tercera y crucial etapa. </w:t>
      </w:r>
    </w:p>
    <w:p w:rsidR="001E141B" w:rsidRDefault="001E141B" w:rsidP="00E10347">
      <w:pPr>
        <w:pStyle w:val="Ttulo2"/>
        <w:widowControl/>
        <w:autoSpaceDE/>
        <w:autoSpaceDN/>
        <w:adjustRightInd/>
        <w:spacing w:before="0"/>
        <w:jc w:val="both"/>
        <w:rPr>
          <w:rFonts w:ascii="Palatino Linotype" w:hAnsi="Palatino Linotype" w:cs="Arial"/>
          <w:color w:val="auto"/>
          <w:sz w:val="21"/>
          <w:szCs w:val="21"/>
        </w:rPr>
      </w:pPr>
      <w:bookmarkStart w:id="78" w:name="_Toc469486504"/>
    </w:p>
    <w:p w:rsidR="00F80BB6" w:rsidRPr="00E10347" w:rsidRDefault="00DB45D2" w:rsidP="00E10347">
      <w:pPr>
        <w:pStyle w:val="Ttulo2"/>
        <w:widowControl/>
        <w:autoSpaceDE/>
        <w:autoSpaceDN/>
        <w:adjustRightInd/>
        <w:spacing w:before="0"/>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b.- </w:t>
      </w:r>
      <w:r w:rsidR="00F80BB6" w:rsidRPr="00E10347">
        <w:rPr>
          <w:rFonts w:ascii="Palatino Linotype" w:hAnsi="Palatino Linotype" w:cs="Arial"/>
          <w:color w:val="auto"/>
          <w:sz w:val="21"/>
          <w:szCs w:val="21"/>
        </w:rPr>
        <w:t>Recuperar información</w:t>
      </w:r>
      <w:bookmarkEnd w:id="78"/>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Por si los problemas de filtración mental y codificación no fueran suficientes, los inconvenientes en acceder a la información almacenada también se suman para mermar la reputación de la memoria</w:t>
      </w:r>
      <w:r w:rsidRPr="00E10347">
        <w:rPr>
          <w:rStyle w:val="Refdenotaalpie"/>
          <w:rFonts w:ascii="Palatino Linotype" w:hAnsi="Palatino Linotype"/>
          <w:sz w:val="21"/>
          <w:szCs w:val="21"/>
        </w:rPr>
        <w:footnoteReference w:id="638"/>
      </w:r>
      <w:r w:rsidRPr="00E10347">
        <w:rPr>
          <w:rFonts w:ascii="Palatino Linotype" w:hAnsi="Palatino Linotype"/>
          <w:sz w:val="21"/>
          <w:szCs w:val="21"/>
        </w:rPr>
        <w:t>. Cuantas veces alguien no ha experimentado el efecto de “punta de la lengua” o sensación de tener conocer que se tiene cierta información, pero que no ha podido acceder a ella; pero también existen otras situaciones de memorias distorsionadas, incompletas</w:t>
      </w:r>
      <w:r w:rsidRPr="00E10347">
        <w:rPr>
          <w:rStyle w:val="Refdenotaalpie"/>
          <w:rFonts w:ascii="Palatino Linotype" w:hAnsi="Palatino Linotype"/>
          <w:sz w:val="21"/>
          <w:szCs w:val="21"/>
        </w:rPr>
        <w:footnoteReference w:id="639"/>
      </w:r>
      <w:r w:rsidRPr="00E10347">
        <w:rPr>
          <w:rFonts w:ascii="Palatino Linotype" w:hAnsi="Palatino Linotype"/>
          <w:sz w:val="21"/>
          <w:szCs w:val="21"/>
        </w:rPr>
        <w:t>; combinación de múltiples recuerdos en un simple evento; múltiples fuentes del origen de una información</w:t>
      </w:r>
      <w:r w:rsidRPr="00E10347">
        <w:rPr>
          <w:rStyle w:val="Refdenotaalpie"/>
          <w:rFonts w:ascii="Palatino Linotype" w:hAnsi="Palatino Linotype"/>
          <w:sz w:val="21"/>
          <w:szCs w:val="21"/>
        </w:rPr>
        <w:footnoteReference w:id="640"/>
      </w:r>
      <w:r w:rsidRPr="00E10347">
        <w:rPr>
          <w:rFonts w:ascii="Palatino Linotype" w:hAnsi="Palatino Linotype"/>
          <w:sz w:val="21"/>
          <w:szCs w:val="21"/>
        </w:rPr>
        <w:t xml:space="preserve">; </w:t>
      </w:r>
      <w:r w:rsidRPr="00E10347">
        <w:rPr>
          <w:rFonts w:ascii="Palatino Linotype" w:hAnsi="Palatino Linotype"/>
          <w:sz w:val="21"/>
          <w:szCs w:val="21"/>
        </w:rPr>
        <w:lastRenderedPageBreak/>
        <w:t xml:space="preserve">así como situaciones en las que se recuerdan cosas que en realidad no han ocurrido.  </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Esto último puede ocurrir por factores relacionados con el paso del tiempo</w:t>
      </w:r>
      <w:r w:rsidRPr="00E10347">
        <w:rPr>
          <w:rStyle w:val="Refdenotaalpie"/>
          <w:rFonts w:ascii="Palatino Linotype" w:hAnsi="Palatino Linotype"/>
          <w:sz w:val="21"/>
          <w:szCs w:val="21"/>
        </w:rPr>
        <w:footnoteReference w:id="641"/>
      </w:r>
      <w:r w:rsidRPr="00E10347">
        <w:rPr>
          <w:rFonts w:ascii="Palatino Linotype" w:hAnsi="Palatino Linotype"/>
          <w:sz w:val="21"/>
          <w:szCs w:val="21"/>
        </w:rPr>
        <w:t xml:space="preserve"> o bien por verse influenciado por factores post-evento, tal y como explica Loftus: “</w:t>
      </w:r>
      <w:r w:rsidRPr="00E10347">
        <w:rPr>
          <w:rFonts w:ascii="Palatino Linotype" w:hAnsi="Palatino Linotype"/>
          <w:i/>
          <w:sz w:val="21"/>
          <w:szCs w:val="21"/>
        </w:rPr>
        <w:t>Muchas cosas pueden ocurrir a un testigo durante la etapa de retención y la de recuperación, entre lo que se encuentra la interacción de factores externos, en las cuales un testigo puede verse involucrado con conversaciones del evento, leer noticias del mismo o escuchar comentario al respeto, etc – que pueden tener efectos poderosos en la memoria de un testigo, llegando al extremo de modificar la memoria del incidente…La información postevento no solo puede mejorar las memorias ya existentes sino que también puede hacer un cambio en la memoria de un testigo e incluso causar que detalles no existentes se incorporen a una memoria ya adquirida</w:t>
      </w:r>
      <w:r w:rsidRPr="00E10347">
        <w:rPr>
          <w:rStyle w:val="Refdenotaalpie"/>
          <w:rFonts w:ascii="Palatino Linotype" w:hAnsi="Palatino Linotype"/>
          <w:sz w:val="21"/>
          <w:szCs w:val="21"/>
        </w:rPr>
        <w:footnoteReference w:id="642"/>
      </w:r>
      <w:r w:rsidRPr="00E10347">
        <w:rPr>
          <w:rFonts w:ascii="Palatino Linotype" w:hAnsi="Palatino Linotype"/>
          <w:i/>
          <w:sz w:val="21"/>
          <w:szCs w:val="21"/>
        </w:rPr>
        <w:t>.</w:t>
      </w:r>
      <w:r w:rsidRPr="00E10347">
        <w:rPr>
          <w:rFonts w:ascii="Palatino Linotype" w:hAnsi="Palatino Linotype"/>
          <w:sz w:val="21"/>
          <w:szCs w:val="21"/>
        </w:rPr>
        <w:t>”</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En el mismo sentido: “</w:t>
      </w:r>
      <w:r w:rsidRPr="00E10347">
        <w:rPr>
          <w:rFonts w:ascii="Palatino Linotype" w:hAnsi="Palatino Linotype"/>
          <w:i/>
          <w:sz w:val="21"/>
          <w:szCs w:val="21"/>
        </w:rPr>
        <w:t>Proporcionar información engañosa después de haber presenciado un hecho, y bajo determinadas condiciones, pueden influir en las respuestas a cuestiones realizadas considerablemente más tarde. Esta nueva información reconstruirá o alterará la memoria original, dando origen a una memoria mezcla entre la información original y la información engañosa.”</w:t>
      </w:r>
      <w:r w:rsidRPr="00E10347">
        <w:rPr>
          <w:rFonts w:ascii="Palatino Linotype" w:hAnsi="Palatino Linotype"/>
          <w:sz w:val="21"/>
          <w:szCs w:val="21"/>
          <w:lang w:val="es-AR"/>
        </w:rPr>
        <w:t xml:space="preserve"> </w:t>
      </w:r>
      <w:r w:rsidRPr="00E10347">
        <w:rPr>
          <w:rStyle w:val="Refdenotaalpie"/>
          <w:rFonts w:ascii="Palatino Linotype" w:hAnsi="Palatino Linotype"/>
          <w:sz w:val="21"/>
          <w:szCs w:val="21"/>
          <w:lang w:val="es-AR"/>
        </w:rPr>
        <w:footnoteReference w:id="643"/>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Un ejemplo de esto último fue se dio con el experimento en el cual se mostró a un grupo de 45 estudiantes una breve película del choque de dos carros. Posterior al video se pidió a todos que estimaran la velocidad a la que circulaba el carro que causo el accidente. Para ello ,dividió el grupo en 5 y se utilizaron diferentes verbos para efectuar la pregunta para cada uno de estos, así vemos que se utilizó: en un caso el carro se había “estrellado” (</w:t>
      </w:r>
      <w:r w:rsidRPr="00E10347">
        <w:rPr>
          <w:rFonts w:ascii="Palatino Linotype" w:hAnsi="Palatino Linotype"/>
          <w:i/>
          <w:sz w:val="21"/>
          <w:szCs w:val="21"/>
        </w:rPr>
        <w:t>smashed</w:t>
      </w:r>
      <w:r w:rsidRPr="00E10347">
        <w:rPr>
          <w:rFonts w:ascii="Palatino Linotype" w:hAnsi="Palatino Linotype"/>
          <w:sz w:val="21"/>
          <w:szCs w:val="21"/>
        </w:rPr>
        <w:t>), pero en otros había “colisionado” (</w:t>
      </w:r>
      <w:r w:rsidRPr="00E10347">
        <w:rPr>
          <w:rFonts w:ascii="Palatino Linotype" w:hAnsi="Palatino Linotype"/>
          <w:i/>
          <w:sz w:val="21"/>
          <w:szCs w:val="21"/>
        </w:rPr>
        <w:t>collided</w:t>
      </w:r>
      <w:r w:rsidRPr="00E10347">
        <w:rPr>
          <w:rFonts w:ascii="Palatino Linotype" w:hAnsi="Palatino Linotype"/>
          <w:sz w:val="21"/>
          <w:szCs w:val="21"/>
        </w:rPr>
        <w:t>), “chocado” (</w:t>
      </w:r>
      <w:r w:rsidRPr="00E10347">
        <w:rPr>
          <w:rFonts w:ascii="Palatino Linotype" w:hAnsi="Palatino Linotype"/>
          <w:i/>
          <w:sz w:val="21"/>
          <w:szCs w:val="21"/>
        </w:rPr>
        <w:t>bumped</w:t>
      </w:r>
      <w:r w:rsidRPr="00E10347">
        <w:rPr>
          <w:rFonts w:ascii="Palatino Linotype" w:hAnsi="Palatino Linotype"/>
          <w:sz w:val="21"/>
          <w:szCs w:val="21"/>
        </w:rPr>
        <w:t>), “golpeado” (hit) o “contactado” (</w:t>
      </w:r>
      <w:r w:rsidRPr="00E10347">
        <w:rPr>
          <w:rFonts w:ascii="Palatino Linotype" w:hAnsi="Palatino Linotype"/>
          <w:i/>
          <w:sz w:val="21"/>
          <w:szCs w:val="21"/>
        </w:rPr>
        <w:t>contacted</w:t>
      </w:r>
      <w:r w:rsidRPr="00E10347">
        <w:rPr>
          <w:rFonts w:ascii="Palatino Linotype" w:hAnsi="Palatino Linotype"/>
          <w:sz w:val="21"/>
          <w:szCs w:val="21"/>
        </w:rPr>
        <w:t xml:space="preserve">) con el otro carro. El resultado del experimento se resume en que dependiendo el verbo </w:t>
      </w:r>
      <w:r w:rsidRPr="00E10347">
        <w:rPr>
          <w:rFonts w:ascii="Palatino Linotype" w:hAnsi="Palatino Linotype"/>
          <w:sz w:val="21"/>
          <w:szCs w:val="21"/>
        </w:rPr>
        <w:lastRenderedPageBreak/>
        <w:t>utilizado en la pregunta, así se estimó la velocidad. Otra variante del mismo experimento dio como resultados que entre más violento el verbo, más detalles – que incluso no ocurrieron- los participantes indicaban, pasando de vidrios quebrados hasta personas que salen del carro</w:t>
      </w:r>
      <w:r w:rsidRPr="00E10347">
        <w:rPr>
          <w:rStyle w:val="Refdenotaalpie"/>
          <w:rFonts w:ascii="Palatino Linotype" w:hAnsi="Palatino Linotype"/>
          <w:sz w:val="21"/>
          <w:szCs w:val="21"/>
        </w:rPr>
        <w:footnoteReference w:id="644"/>
      </w:r>
      <w:r w:rsidRPr="00E10347">
        <w:rPr>
          <w:rFonts w:ascii="Palatino Linotype" w:hAnsi="Palatino Linotype"/>
          <w:sz w:val="21"/>
          <w:szCs w:val="21"/>
        </w:rPr>
        <w:t xml:space="preserve">. </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El estudio expuesto pone sobre la mesa una primera alarma para el abogado litigante a la vez que le da una fundamento científico a la objeción a las preguntas sugestivas. Pero esto no termina acá, pues existen otras investigaciones</w:t>
      </w:r>
      <w:r w:rsidRPr="00E10347">
        <w:rPr>
          <w:rStyle w:val="Refdenotaalpie"/>
          <w:rFonts w:ascii="Palatino Linotype" w:hAnsi="Palatino Linotype"/>
          <w:sz w:val="21"/>
          <w:szCs w:val="21"/>
        </w:rPr>
        <w:footnoteReference w:id="645"/>
      </w:r>
      <w:r w:rsidRPr="00E10347">
        <w:rPr>
          <w:rFonts w:ascii="Palatino Linotype" w:hAnsi="Palatino Linotype"/>
          <w:sz w:val="21"/>
          <w:szCs w:val="21"/>
        </w:rPr>
        <w:t xml:space="preserve"> que han concluido que los sujetos cuando son interrogados con preguntas con contenido emocional y agresivas tienden de alguna u  otra forma a magnificar el evento, reportando el incidente como más ruidoso y violento, en contraste a las respuestas que se obtenían cuando las preguntas eran elaboradas de forma neutral y pasiva.  </w:t>
      </w:r>
    </w:p>
    <w:p w:rsidR="001E141B" w:rsidRDefault="001E141B" w:rsidP="00E10347">
      <w:pPr>
        <w:pStyle w:val="Ttulo2"/>
        <w:widowControl/>
        <w:autoSpaceDE/>
        <w:autoSpaceDN/>
        <w:adjustRightInd/>
        <w:spacing w:before="0"/>
        <w:jc w:val="both"/>
        <w:rPr>
          <w:rFonts w:ascii="Palatino Linotype" w:hAnsi="Palatino Linotype" w:cs="Arial"/>
          <w:color w:val="auto"/>
          <w:sz w:val="21"/>
          <w:szCs w:val="21"/>
        </w:rPr>
      </w:pPr>
      <w:bookmarkStart w:id="79" w:name="_Toc469486505"/>
    </w:p>
    <w:p w:rsidR="00F80BB6" w:rsidRPr="00E10347" w:rsidRDefault="00DB45D2" w:rsidP="00E10347">
      <w:pPr>
        <w:pStyle w:val="Ttulo2"/>
        <w:widowControl/>
        <w:autoSpaceDE/>
        <w:autoSpaceDN/>
        <w:adjustRightInd/>
        <w:spacing w:before="0"/>
        <w:jc w:val="both"/>
        <w:rPr>
          <w:rFonts w:ascii="Palatino Linotype" w:hAnsi="Palatino Linotype" w:cs="Arial"/>
          <w:color w:val="auto"/>
          <w:sz w:val="21"/>
          <w:szCs w:val="21"/>
        </w:rPr>
      </w:pPr>
      <w:r w:rsidRPr="00E10347">
        <w:rPr>
          <w:rFonts w:ascii="Palatino Linotype" w:hAnsi="Palatino Linotype" w:cs="Arial"/>
          <w:color w:val="auto"/>
          <w:sz w:val="21"/>
          <w:szCs w:val="21"/>
        </w:rPr>
        <w:t xml:space="preserve">3.- </w:t>
      </w:r>
      <w:r w:rsidR="00F80BB6" w:rsidRPr="00E10347">
        <w:rPr>
          <w:rFonts w:ascii="Palatino Linotype" w:hAnsi="Palatino Linotype" w:cs="Arial"/>
          <w:color w:val="auto"/>
          <w:sz w:val="21"/>
          <w:szCs w:val="21"/>
        </w:rPr>
        <w:t>¿Qué tiene en común Wikipedia y la memoria?</w:t>
      </w:r>
      <w:bookmarkEnd w:id="79"/>
      <w:r w:rsidR="00F80BB6" w:rsidRPr="00E10347">
        <w:rPr>
          <w:rFonts w:ascii="Palatino Linotype" w:hAnsi="Palatino Linotype" w:cs="Arial"/>
          <w:color w:val="auto"/>
          <w:sz w:val="21"/>
          <w:szCs w:val="21"/>
        </w:rPr>
        <w:t xml:space="preserve"> </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Como se ha expuesto una memoria puede ser modificada de muy diversas formas: información post suceso, simple imaginación, reconstrucción del suceso, recuperaciones múltiples, diferentes tipos de terapia</w:t>
      </w:r>
      <w:r w:rsidRPr="00E10347">
        <w:rPr>
          <w:rStyle w:val="Refdenotaalpie"/>
          <w:rFonts w:ascii="Palatino Linotype" w:hAnsi="Palatino Linotype"/>
          <w:sz w:val="21"/>
          <w:szCs w:val="21"/>
        </w:rPr>
        <w:footnoteReference w:id="646"/>
      </w:r>
      <w:r w:rsidRPr="00E10347">
        <w:rPr>
          <w:rFonts w:ascii="Palatino Linotype" w:hAnsi="Palatino Linotype"/>
          <w:sz w:val="21"/>
          <w:szCs w:val="21"/>
        </w:rPr>
        <w:t xml:space="preserve">, y distintos métodos de </w:t>
      </w:r>
      <w:r w:rsidRPr="00E10347">
        <w:rPr>
          <w:rFonts w:ascii="Palatino Linotype" w:hAnsi="Palatino Linotype"/>
          <w:sz w:val="21"/>
          <w:szCs w:val="21"/>
        </w:rPr>
        <w:lastRenderedPageBreak/>
        <w:t>obtenciones de las declaraciones. Es por ello que dos personas pueden ser testigos de un mismo evento, pero lo pueden describir de forma diferente. La influencia de estos procesos mentales cuenta con una gran cantidad de respaldos científicos</w:t>
      </w:r>
      <w:r w:rsidRPr="00E10347">
        <w:rPr>
          <w:rStyle w:val="Refdenotaalpie"/>
          <w:rFonts w:ascii="Palatino Linotype" w:hAnsi="Palatino Linotype"/>
          <w:sz w:val="21"/>
          <w:szCs w:val="21"/>
        </w:rPr>
        <w:footnoteReference w:id="647"/>
      </w:r>
      <w:r w:rsidRPr="00E10347">
        <w:rPr>
          <w:rFonts w:ascii="Palatino Linotype" w:hAnsi="Palatino Linotype"/>
          <w:sz w:val="21"/>
          <w:szCs w:val="21"/>
        </w:rPr>
        <w:t xml:space="preserve"> que hasta han sido claves en decisiones históricas de la Corte Suprema de los Estados Unidos de América</w:t>
      </w:r>
      <w:r w:rsidRPr="00E10347">
        <w:rPr>
          <w:rStyle w:val="Refdenotaalpie"/>
          <w:rFonts w:ascii="Palatino Linotype" w:hAnsi="Palatino Linotype"/>
          <w:sz w:val="21"/>
          <w:szCs w:val="21"/>
        </w:rPr>
        <w:footnoteReference w:id="648"/>
      </w:r>
      <w:r w:rsidRPr="00E10347">
        <w:rPr>
          <w:rFonts w:ascii="Palatino Linotype" w:hAnsi="Palatino Linotype"/>
          <w:sz w:val="21"/>
          <w:szCs w:val="21"/>
        </w:rPr>
        <w:t>.</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lastRenderedPageBreak/>
        <w:t>Esas situaciones pueden llegar a cambiar detalles accidentales o estructurales de una historia, pero también se puede presentar la situación que se cree una memoria de un evento que nunca ocurrió, pero que el cerebro lo tome como que si ese evento en realidad si ocurrió, eso es lo que se define como una memoria falsa</w:t>
      </w:r>
      <w:r w:rsidRPr="00E10347">
        <w:rPr>
          <w:rStyle w:val="Refdenotaalpie"/>
          <w:rFonts w:ascii="Palatino Linotype" w:hAnsi="Palatino Linotype"/>
          <w:sz w:val="21"/>
          <w:szCs w:val="21"/>
        </w:rPr>
        <w:footnoteReference w:id="649"/>
      </w:r>
      <w:r w:rsidRPr="00E10347">
        <w:rPr>
          <w:rFonts w:ascii="Palatino Linotype" w:hAnsi="Palatino Linotype"/>
          <w:sz w:val="21"/>
          <w:szCs w:val="21"/>
        </w:rPr>
        <w:t>.</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Un ejemplo de esto lo encontramos con la inducción de memorias falsas que expone Davies y Loftus con su “teoría del mísil”</w:t>
      </w:r>
      <w:r w:rsidRPr="00E10347">
        <w:rPr>
          <w:rFonts w:ascii="Palatino Linotype" w:hAnsi="Palatino Linotype"/>
          <w:sz w:val="21"/>
          <w:szCs w:val="21"/>
          <w:lang w:val="es-AR"/>
        </w:rPr>
        <w:t>, en la que una serie de participantes confirman que el accidente aéreo que ocurrió en 1996 en el cual se estrelló el vuelo 800 de la TWA en los Estados Unidos de América fue causa de un un misil que impactó a la aeronave, cuando en realidad ocurrió por una falla electríca</w:t>
      </w:r>
      <w:r w:rsidRPr="00E10347">
        <w:rPr>
          <w:rStyle w:val="Refdenotaalpie"/>
          <w:rFonts w:ascii="Palatino Linotype" w:hAnsi="Palatino Linotype"/>
          <w:sz w:val="21"/>
          <w:szCs w:val="21"/>
          <w:lang w:val="es-AR"/>
        </w:rPr>
        <w:footnoteReference w:id="650"/>
      </w:r>
      <w:r w:rsidRPr="00E10347">
        <w:rPr>
          <w:rFonts w:ascii="Palatino Linotype" w:hAnsi="Palatino Linotype"/>
          <w:sz w:val="21"/>
          <w:szCs w:val="21"/>
          <w:lang w:val="es-AR"/>
        </w:rPr>
        <w:t xml:space="preserve">.  </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Otro experimento</w:t>
      </w:r>
      <w:r w:rsidRPr="00E10347">
        <w:rPr>
          <w:rStyle w:val="Refdenotaalpie"/>
          <w:rFonts w:ascii="Palatino Linotype" w:hAnsi="Palatino Linotype"/>
          <w:sz w:val="21"/>
          <w:szCs w:val="21"/>
        </w:rPr>
        <w:footnoteReference w:id="651"/>
      </w:r>
      <w:r w:rsidRPr="00E10347">
        <w:rPr>
          <w:rFonts w:ascii="Palatino Linotype" w:hAnsi="Palatino Linotype"/>
          <w:sz w:val="21"/>
          <w:szCs w:val="21"/>
        </w:rPr>
        <w:t xml:space="preserve"> de implantación de memorias falsas se evidenció en el siguiente experimento en la que dos muchachas entran a un estación de tren, dejan sus bolsos a un lado de sus asientos, mientras otra persona abre el bolso y hace un gesto como si sustrajo algo del mismo. Ante ello, las muchachas reacción gritando que habían sido víctimas de un hurto de su grabadora, pese a que no existía tal </w:t>
      </w:r>
      <w:r w:rsidRPr="00E10347">
        <w:rPr>
          <w:rFonts w:ascii="Palatino Linotype" w:hAnsi="Palatino Linotype"/>
          <w:sz w:val="21"/>
          <w:szCs w:val="21"/>
        </w:rPr>
        <w:lastRenderedPageBreak/>
        <w:t>aparato. Ante ello, los testigos colaboraron entregando sus números de teléfonos a los cuales una semana después del incidente un “agente de seguros” les llamó preguntando si recordaban el incidente, a lo que se llevaron la sorpresa de una gran cantidad de descripciones de la –inexistente- grabadora evidenciando que la implantación puede abarcar también a los testigos de un evento, haciéndoles creer que presenciaron el hurto de una grabadora.</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Otro caso que involucra memorias falsas, bastante más extremo que los estudios anteriores</w:t>
      </w:r>
      <w:r w:rsidRPr="00E10347">
        <w:rPr>
          <w:rStyle w:val="Refdenotaalpie"/>
          <w:rFonts w:ascii="Palatino Linotype" w:hAnsi="Palatino Linotype"/>
          <w:sz w:val="21"/>
          <w:szCs w:val="21"/>
        </w:rPr>
        <w:footnoteReference w:id="652"/>
      </w:r>
      <w:r w:rsidRPr="00E10347">
        <w:rPr>
          <w:rFonts w:ascii="Palatino Linotype" w:hAnsi="Palatino Linotype"/>
          <w:sz w:val="21"/>
          <w:szCs w:val="21"/>
        </w:rPr>
        <w:t>, se encuentra en la vida de Steve Titus, quién perdió todas las expectativas de su vida, su futuro matrimonio, trabajo a raíz de una acusación que se basó en una memoria falsa, en donde él, supuestamente violó a una persona</w:t>
      </w:r>
      <w:r w:rsidRPr="00E10347">
        <w:rPr>
          <w:rStyle w:val="Refdenotaalpie"/>
          <w:rFonts w:ascii="Palatino Linotype" w:hAnsi="Palatino Linotype"/>
          <w:sz w:val="21"/>
          <w:szCs w:val="21"/>
        </w:rPr>
        <w:footnoteReference w:id="653"/>
      </w:r>
      <w:r w:rsidRPr="00E10347">
        <w:rPr>
          <w:rFonts w:ascii="Palatino Linotype" w:hAnsi="Palatino Linotype"/>
          <w:sz w:val="21"/>
          <w:szCs w:val="21"/>
        </w:rPr>
        <w:t xml:space="preserve">.  Es decir, que las memorias falsas están presentes en nuestra realidad, que no son casos que se dan únicamente en los laboratorios y que pueden llegar a ser tan costosas, al punto que destruyen vidas. </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De tal forma que no resulta descabellado que también pueden presentarse en casos que recaen en materias arbitrables, ya que al fin y al cabo, la memoria está en el centro de la prueba testimonial, la prueba por excelencia en el arbitraje. En este sentir, cabe la pena preguntarse si existe alguna manera para determinar la probabilidad – menor o mayor – que una declaración sea con base a memorias o recolecciones falsas.</w:t>
      </w:r>
      <w:r w:rsidRPr="00E10347">
        <w:rPr>
          <w:rStyle w:val="Refdenotaalpie"/>
          <w:rFonts w:ascii="Palatino Linotype" w:hAnsi="Palatino Linotype"/>
          <w:sz w:val="21"/>
          <w:szCs w:val="21"/>
        </w:rPr>
        <w:t xml:space="preserve"> </w:t>
      </w:r>
      <w:r w:rsidRPr="00E10347">
        <w:rPr>
          <w:rFonts w:ascii="Palatino Linotype" w:hAnsi="Palatino Linotype"/>
          <w:sz w:val="21"/>
          <w:szCs w:val="21"/>
        </w:rPr>
        <w:t xml:space="preserve"> </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Lastimosamente, no existe a la fecha algún método</w:t>
      </w:r>
      <w:r w:rsidRPr="00E10347">
        <w:rPr>
          <w:rStyle w:val="Refdenotaalpie"/>
          <w:rFonts w:ascii="Palatino Linotype" w:hAnsi="Palatino Linotype"/>
          <w:sz w:val="21"/>
          <w:szCs w:val="21"/>
        </w:rPr>
        <w:footnoteReference w:id="654"/>
      </w:r>
      <w:r w:rsidRPr="00E10347">
        <w:rPr>
          <w:rFonts w:ascii="Palatino Linotype" w:hAnsi="Palatino Linotype"/>
          <w:sz w:val="21"/>
          <w:szCs w:val="21"/>
        </w:rPr>
        <w:t xml:space="preserve"> que con ciencia cierta </w:t>
      </w:r>
      <w:r w:rsidRPr="00E10347">
        <w:rPr>
          <w:rFonts w:ascii="Palatino Linotype" w:hAnsi="Palatino Linotype"/>
          <w:sz w:val="21"/>
          <w:szCs w:val="21"/>
        </w:rPr>
        <w:lastRenderedPageBreak/>
        <w:t xml:space="preserve">pueda negar la presencia de una memoria inexistente, pero si existen algunos elementos de juicios que pueden ayudar al discernimiento de estar o no ante la presencia de una memoria falsa, tales como: </w:t>
      </w:r>
    </w:p>
    <w:p w:rsidR="00F80BB6" w:rsidRPr="00E10347" w:rsidRDefault="00F80BB6" w:rsidP="00E83320">
      <w:pPr>
        <w:pStyle w:val="Prrafodelista"/>
        <w:widowControl/>
        <w:numPr>
          <w:ilvl w:val="0"/>
          <w:numId w:val="13"/>
        </w:numPr>
        <w:autoSpaceDE/>
        <w:autoSpaceDN/>
        <w:adjustRightInd/>
        <w:ind w:firstLine="709"/>
        <w:jc w:val="both"/>
        <w:rPr>
          <w:rFonts w:ascii="Palatino Linotype" w:hAnsi="Palatino Linotype"/>
          <w:sz w:val="21"/>
          <w:szCs w:val="21"/>
          <w:lang w:val="es-AR"/>
        </w:rPr>
      </w:pPr>
      <w:r w:rsidRPr="00E10347">
        <w:rPr>
          <w:rFonts w:ascii="Palatino Linotype" w:hAnsi="Palatino Linotype"/>
          <w:sz w:val="21"/>
          <w:szCs w:val="21"/>
        </w:rPr>
        <w:t xml:space="preserve">Para que una memoria falsa pueda ser efectivamente implantada, es necesario que el intervalo de tiempo entre el suceso y la presentación de la información engañosa sea largo. </w:t>
      </w:r>
      <w:r w:rsidRPr="00E10347">
        <w:rPr>
          <w:rFonts w:ascii="Palatino Linotype" w:hAnsi="Palatino Linotype"/>
          <w:sz w:val="21"/>
          <w:szCs w:val="21"/>
          <w:lang w:val="es-AR"/>
        </w:rPr>
        <w:t>El paso de tiempo afecta las huellas de la memoria lo cual lleva a los individuos a que tengan una capacidad menor para discernir entre lo ocurrido realmente y lo falso</w:t>
      </w:r>
      <w:r w:rsidRPr="00E10347">
        <w:rPr>
          <w:rStyle w:val="Refdenotaalpie"/>
          <w:rFonts w:ascii="Palatino Linotype" w:hAnsi="Palatino Linotype"/>
          <w:sz w:val="21"/>
          <w:szCs w:val="21"/>
          <w:lang w:val="es-AR"/>
        </w:rPr>
        <w:footnoteReference w:id="655"/>
      </w:r>
      <w:r w:rsidRPr="00E10347">
        <w:rPr>
          <w:rFonts w:ascii="Palatino Linotype" w:hAnsi="Palatino Linotype"/>
          <w:sz w:val="21"/>
          <w:szCs w:val="21"/>
          <w:lang w:val="es-AR"/>
        </w:rPr>
        <w:t xml:space="preserve">. </w:t>
      </w:r>
    </w:p>
    <w:p w:rsidR="00F80BB6" w:rsidRPr="00E10347" w:rsidRDefault="00F80BB6" w:rsidP="00E83320">
      <w:pPr>
        <w:pStyle w:val="Prrafodelista"/>
        <w:widowControl/>
        <w:numPr>
          <w:ilvl w:val="0"/>
          <w:numId w:val="13"/>
        </w:numPr>
        <w:autoSpaceDE/>
        <w:autoSpaceDN/>
        <w:adjustRightInd/>
        <w:ind w:firstLine="709"/>
        <w:jc w:val="both"/>
        <w:rPr>
          <w:rFonts w:ascii="Palatino Linotype" w:hAnsi="Palatino Linotype"/>
          <w:sz w:val="21"/>
          <w:szCs w:val="21"/>
          <w:lang w:val="es-AR"/>
        </w:rPr>
      </w:pPr>
      <w:r w:rsidRPr="00E10347">
        <w:rPr>
          <w:rFonts w:ascii="Palatino Linotype" w:hAnsi="Palatino Linotype"/>
          <w:sz w:val="21"/>
          <w:szCs w:val="21"/>
        </w:rPr>
        <w:t>Las memorias falsas son más susceptibles de ser implantadas en información periférica que la central</w:t>
      </w:r>
      <w:r w:rsidRPr="00E10347">
        <w:rPr>
          <w:rStyle w:val="Refdenotaalpie"/>
          <w:rFonts w:ascii="Palatino Linotype" w:hAnsi="Palatino Linotype"/>
          <w:sz w:val="21"/>
          <w:szCs w:val="21"/>
        </w:rPr>
        <w:footnoteReference w:id="656"/>
      </w:r>
      <w:r w:rsidRPr="00E10347">
        <w:rPr>
          <w:rFonts w:ascii="Palatino Linotype" w:hAnsi="Palatino Linotype"/>
          <w:sz w:val="21"/>
          <w:szCs w:val="21"/>
        </w:rPr>
        <w:t>, lo cual se comprueba que no toda información puede afectar la huella de la memoria.</w:t>
      </w:r>
    </w:p>
    <w:p w:rsidR="00F80BB6" w:rsidRPr="00E10347" w:rsidRDefault="00F80BB6" w:rsidP="00E83320">
      <w:pPr>
        <w:pStyle w:val="Prrafodelista"/>
        <w:widowControl/>
        <w:numPr>
          <w:ilvl w:val="0"/>
          <w:numId w:val="13"/>
        </w:numPr>
        <w:autoSpaceDE/>
        <w:autoSpaceDN/>
        <w:adjustRightInd/>
        <w:ind w:firstLine="709"/>
        <w:jc w:val="both"/>
        <w:rPr>
          <w:rFonts w:ascii="Palatino Linotype" w:hAnsi="Palatino Linotype"/>
          <w:sz w:val="21"/>
          <w:szCs w:val="21"/>
          <w:lang w:val="es-AR"/>
        </w:rPr>
      </w:pPr>
      <w:r w:rsidRPr="00E10347">
        <w:rPr>
          <w:rFonts w:ascii="Palatino Linotype" w:hAnsi="Palatino Linotype"/>
          <w:sz w:val="21"/>
          <w:szCs w:val="21"/>
        </w:rPr>
        <w:t>Las memorias falsas son encuentran una mayor probabilidad de ser inducidas en aquellos casos en que el individuo objeto de la memoria falsa no ha sido advertido de la posibilidad que sea inducido a error.</w:t>
      </w:r>
      <w:r w:rsidRPr="00E10347">
        <w:rPr>
          <w:rStyle w:val="Refdenotaalpie"/>
          <w:rFonts w:ascii="Palatino Linotype" w:hAnsi="Palatino Linotype"/>
          <w:sz w:val="21"/>
          <w:szCs w:val="21"/>
        </w:rPr>
        <w:footnoteReference w:id="657"/>
      </w:r>
      <w:r w:rsidRPr="00E10347">
        <w:rPr>
          <w:rFonts w:ascii="Palatino Linotype" w:hAnsi="Palatino Linotype"/>
          <w:sz w:val="21"/>
          <w:szCs w:val="21"/>
        </w:rPr>
        <w:t xml:space="preserve"> </w:t>
      </w:r>
    </w:p>
    <w:p w:rsidR="00F80BB6" w:rsidRPr="00E10347" w:rsidRDefault="00F80BB6" w:rsidP="00E83320">
      <w:pPr>
        <w:pStyle w:val="Prrafodelista"/>
        <w:widowControl/>
        <w:numPr>
          <w:ilvl w:val="0"/>
          <w:numId w:val="13"/>
        </w:numPr>
        <w:autoSpaceDE/>
        <w:autoSpaceDN/>
        <w:adjustRightInd/>
        <w:ind w:firstLine="709"/>
        <w:jc w:val="both"/>
        <w:rPr>
          <w:rFonts w:ascii="Palatino Linotype" w:hAnsi="Palatino Linotype"/>
          <w:sz w:val="21"/>
          <w:szCs w:val="21"/>
          <w:lang w:val="es-AR"/>
        </w:rPr>
      </w:pPr>
      <w:r w:rsidRPr="00E10347">
        <w:rPr>
          <w:rFonts w:ascii="Palatino Linotype" w:hAnsi="Palatino Linotype"/>
          <w:sz w:val="21"/>
          <w:szCs w:val="21"/>
        </w:rPr>
        <w:t xml:space="preserve">La fuente de la información falsa también resulta un factor determinante, así vemos que </w:t>
      </w:r>
      <w:r w:rsidRPr="00E10347">
        <w:rPr>
          <w:rFonts w:ascii="Palatino Linotype" w:hAnsi="Palatino Linotype"/>
          <w:sz w:val="21"/>
          <w:szCs w:val="21"/>
          <w:lang w:val="es-AR"/>
        </w:rPr>
        <w:t xml:space="preserve">una figura de autoridad (padres, jueces, abogados, etc) puede tener una influencia mayor en un individuo y generar una puerta de entrada para la memoria falsa.  </w:t>
      </w:r>
    </w:p>
    <w:p w:rsidR="00F80BB6" w:rsidRPr="00E10347" w:rsidRDefault="00F80BB6" w:rsidP="00E83320">
      <w:pPr>
        <w:pStyle w:val="Prrafodelista"/>
        <w:numPr>
          <w:ilvl w:val="0"/>
          <w:numId w:val="13"/>
        </w:numPr>
        <w:ind w:firstLine="709"/>
        <w:jc w:val="both"/>
        <w:rPr>
          <w:rFonts w:ascii="Palatino Linotype" w:hAnsi="Palatino Linotype"/>
          <w:sz w:val="21"/>
          <w:szCs w:val="21"/>
        </w:rPr>
      </w:pPr>
      <w:r w:rsidRPr="00E10347">
        <w:rPr>
          <w:rFonts w:ascii="Palatino Linotype" w:hAnsi="Palatino Linotype"/>
          <w:sz w:val="21"/>
          <w:szCs w:val="21"/>
        </w:rPr>
        <w:t>También debe tomarse en cuenta que una emoción fuerte – llanto, enojo- no garantiza la realidad del recuerdo, haciendo un llamado a reflexionar sobre estos aspectos</w:t>
      </w:r>
      <w:r w:rsidRPr="00E10347">
        <w:rPr>
          <w:rStyle w:val="Refdenotaalpie"/>
          <w:rFonts w:ascii="Palatino Linotype" w:hAnsi="Palatino Linotype"/>
          <w:sz w:val="21"/>
          <w:szCs w:val="21"/>
        </w:rPr>
        <w:footnoteReference w:id="658"/>
      </w:r>
      <w:r w:rsidRPr="00E10347">
        <w:rPr>
          <w:rFonts w:ascii="Palatino Linotype" w:hAnsi="Palatino Linotype"/>
          <w:sz w:val="21"/>
          <w:szCs w:val="21"/>
        </w:rPr>
        <w:t xml:space="preserve">. </w:t>
      </w:r>
    </w:p>
    <w:p w:rsidR="001E141B" w:rsidRDefault="001E141B" w:rsidP="00E10347">
      <w:pPr>
        <w:pStyle w:val="Ttulo1"/>
        <w:widowControl/>
        <w:autoSpaceDE/>
        <w:autoSpaceDN/>
        <w:adjustRightInd/>
        <w:spacing w:before="0"/>
        <w:jc w:val="both"/>
        <w:rPr>
          <w:rFonts w:ascii="Palatino Linotype" w:hAnsi="Palatino Linotype" w:cs="Arial"/>
          <w:color w:val="auto"/>
          <w:sz w:val="21"/>
          <w:szCs w:val="21"/>
        </w:rPr>
      </w:pPr>
      <w:bookmarkStart w:id="80" w:name="_Toc469486506"/>
    </w:p>
    <w:p w:rsidR="00F80BB6" w:rsidRPr="00E10347" w:rsidRDefault="00DB45D2" w:rsidP="00E10347">
      <w:pPr>
        <w:pStyle w:val="Ttulo1"/>
        <w:widowControl/>
        <w:autoSpaceDE/>
        <w:autoSpaceDN/>
        <w:adjustRightInd/>
        <w:spacing w:before="0"/>
        <w:jc w:val="both"/>
        <w:rPr>
          <w:rFonts w:ascii="Palatino Linotype" w:hAnsi="Palatino Linotype" w:cs="Arial"/>
          <w:b w:val="0"/>
          <w:color w:val="auto"/>
          <w:sz w:val="21"/>
          <w:szCs w:val="21"/>
        </w:rPr>
      </w:pPr>
      <w:r w:rsidRPr="00E10347">
        <w:rPr>
          <w:rFonts w:ascii="Palatino Linotype" w:hAnsi="Palatino Linotype" w:cs="Arial"/>
          <w:color w:val="auto"/>
          <w:sz w:val="21"/>
          <w:szCs w:val="21"/>
        </w:rPr>
        <w:t xml:space="preserve">4.- </w:t>
      </w:r>
      <w:r w:rsidR="00F80BB6" w:rsidRPr="00E10347">
        <w:rPr>
          <w:rFonts w:ascii="Palatino Linotype" w:hAnsi="Palatino Linotype" w:cs="Arial"/>
          <w:color w:val="auto"/>
          <w:sz w:val="21"/>
          <w:szCs w:val="21"/>
        </w:rPr>
        <w:t>T</w:t>
      </w:r>
      <w:r w:rsidRPr="00E10347">
        <w:rPr>
          <w:rFonts w:ascii="Palatino Linotype" w:hAnsi="Palatino Linotype" w:cs="Arial"/>
          <w:color w:val="auto"/>
          <w:sz w:val="21"/>
          <w:szCs w:val="21"/>
        </w:rPr>
        <w:t>estimoniales</w:t>
      </w:r>
      <w:bookmarkEnd w:id="80"/>
      <w:r w:rsidR="00F80BB6" w:rsidRPr="00E10347">
        <w:rPr>
          <w:rFonts w:ascii="Palatino Linotype" w:hAnsi="Palatino Linotype" w:cs="Arial"/>
          <w:color w:val="auto"/>
          <w:sz w:val="21"/>
          <w:szCs w:val="21"/>
        </w:rPr>
        <w:t xml:space="preserve"> </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Lo anterior, en el campo procesal, significa que la prueba testimonial se encuentra impregnada de un alto nivel de riesgo a: (i) que la persona que tome el estrado sea coaccionado a contar una historia que favorezca la teoría del caso de la contraparte (lo cual podría devenir en responsabilidad penal); (ii) que la persona sin ser coaccionada, mienta</w:t>
      </w:r>
      <w:r w:rsidRPr="00E10347">
        <w:rPr>
          <w:rStyle w:val="Refdenotaalpie"/>
          <w:rFonts w:ascii="Palatino Linotype" w:hAnsi="Palatino Linotype"/>
          <w:sz w:val="21"/>
          <w:szCs w:val="21"/>
        </w:rPr>
        <w:footnoteReference w:id="659"/>
      </w:r>
      <w:r w:rsidRPr="00E10347">
        <w:rPr>
          <w:rFonts w:ascii="Palatino Linotype" w:hAnsi="Palatino Linotype"/>
          <w:sz w:val="21"/>
          <w:szCs w:val="21"/>
        </w:rPr>
        <w:t xml:space="preserve"> intencionalmente; (iii) que lo que declare el testigo no sea un reflejo exacto con lo que realmente ocurrió; (iv) que las memorias del testigo lleguen a ser modificadas por eventos externos como noticias, declaraciones de otras personas o preguntas sugestivas</w:t>
      </w:r>
      <w:r w:rsidRPr="00E10347">
        <w:rPr>
          <w:rStyle w:val="Refdenotaalpie"/>
          <w:rFonts w:ascii="Palatino Linotype" w:hAnsi="Palatino Linotype"/>
          <w:sz w:val="21"/>
          <w:szCs w:val="21"/>
        </w:rPr>
        <w:footnoteReference w:id="660"/>
      </w:r>
      <w:r w:rsidRPr="00E10347">
        <w:rPr>
          <w:rFonts w:ascii="Palatino Linotype" w:hAnsi="Palatino Linotype"/>
          <w:sz w:val="21"/>
          <w:szCs w:val="21"/>
        </w:rPr>
        <w:t>; o bien, (v) que declare algo que pese a no ser cierto, lo afirme bajo la convicción que indica la verdad, es decir que declare una memoria falsa</w:t>
      </w:r>
      <w:r w:rsidRPr="00E10347">
        <w:rPr>
          <w:rStyle w:val="Refdenotaalpie"/>
          <w:rFonts w:ascii="Palatino Linotype" w:hAnsi="Palatino Linotype"/>
          <w:sz w:val="21"/>
          <w:szCs w:val="21"/>
        </w:rPr>
        <w:footnoteReference w:id="661"/>
      </w:r>
      <w:r w:rsidRPr="00E10347">
        <w:rPr>
          <w:rFonts w:ascii="Palatino Linotype" w:hAnsi="Palatino Linotype"/>
          <w:sz w:val="21"/>
          <w:szCs w:val="21"/>
        </w:rPr>
        <w:t xml:space="preserve">.  </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lastRenderedPageBreak/>
        <w:t xml:space="preserve">La doctrina clasifica esos riesgos en dos grandes campos errores por omisión o comisión, y los explica de la siguiente manera:  </w:t>
      </w:r>
      <w:r w:rsidRPr="00E10347">
        <w:rPr>
          <w:rFonts w:ascii="Palatino Linotype" w:hAnsi="Palatino Linotype"/>
          <w:i/>
          <w:sz w:val="21"/>
          <w:szCs w:val="21"/>
        </w:rPr>
        <w:t xml:space="preserve">“Al realizar una tarea de memoria, pueden cometerse dos diferentes tipos de errores: errores de omisión y errores de comisión. Los errores de omisión se dan cuando en lo que cuentan los testigos de un hecho faltan detalles importantes, bien por olvido o por ocultación; y los errores de comisión son aquellos en los que los testigos introducen información falsa deliberamente – mentira- o debido a inducción autogenerada o generada por otros- efecto de la información post suceso, fallos en la distinción entre realidad y fantasía, transferencia inconsciente.” </w:t>
      </w:r>
      <w:r w:rsidRPr="00E10347">
        <w:rPr>
          <w:rStyle w:val="Refdenotaalpie"/>
          <w:rFonts w:ascii="Palatino Linotype" w:hAnsi="Palatino Linotype"/>
          <w:i/>
          <w:sz w:val="21"/>
          <w:szCs w:val="21"/>
        </w:rPr>
        <w:footnoteReference w:id="662"/>
      </w:r>
    </w:p>
    <w:p w:rsidR="00F80BB6" w:rsidRPr="00E10347" w:rsidRDefault="00F80BB6" w:rsidP="00E10347">
      <w:pPr>
        <w:ind w:firstLine="709"/>
        <w:jc w:val="both"/>
        <w:rPr>
          <w:rFonts w:ascii="Palatino Linotype" w:hAnsi="Palatino Linotype"/>
          <w:i/>
          <w:sz w:val="21"/>
          <w:szCs w:val="21"/>
        </w:rPr>
      </w:pPr>
      <w:r w:rsidRPr="00E10347">
        <w:rPr>
          <w:rFonts w:ascii="Palatino Linotype" w:hAnsi="Palatino Linotype"/>
          <w:sz w:val="21"/>
          <w:szCs w:val="21"/>
        </w:rPr>
        <w:t>Los riesgos inherentes a la fragilidad de la prueba testimonial</w:t>
      </w:r>
      <w:r w:rsidRPr="00E10347">
        <w:rPr>
          <w:rStyle w:val="Refdenotaalpie"/>
          <w:rFonts w:ascii="Palatino Linotype" w:hAnsi="Palatino Linotype"/>
          <w:sz w:val="21"/>
          <w:szCs w:val="21"/>
        </w:rPr>
        <w:footnoteReference w:id="663"/>
      </w:r>
      <w:r w:rsidRPr="00E10347">
        <w:rPr>
          <w:rFonts w:ascii="Palatino Linotype" w:hAnsi="Palatino Linotype"/>
          <w:sz w:val="21"/>
          <w:szCs w:val="21"/>
        </w:rPr>
        <w:t>, han sido principalmente expuestos en el campo del derecho criminal</w:t>
      </w:r>
      <w:r w:rsidRPr="00E10347">
        <w:rPr>
          <w:rStyle w:val="Refdenotaalpie"/>
          <w:rFonts w:ascii="Palatino Linotype" w:hAnsi="Palatino Linotype"/>
          <w:sz w:val="21"/>
          <w:szCs w:val="21"/>
        </w:rPr>
        <w:footnoteReference w:id="664"/>
      </w:r>
      <w:r w:rsidRPr="00E10347">
        <w:rPr>
          <w:rFonts w:ascii="Palatino Linotype" w:hAnsi="Palatino Linotype"/>
          <w:sz w:val="21"/>
          <w:szCs w:val="21"/>
        </w:rPr>
        <w:t xml:space="preserve">, dado que es en esa rama donde la injusticia se manifiesta de una forma más dramática por cuanto se ha </w:t>
      </w:r>
      <w:r w:rsidRPr="00E10347">
        <w:rPr>
          <w:rFonts w:ascii="Palatino Linotype" w:hAnsi="Palatino Linotype"/>
          <w:sz w:val="21"/>
          <w:szCs w:val="21"/>
        </w:rPr>
        <w:lastRenderedPageBreak/>
        <w:t>llegado a extremos de privar a libertad-convicciones erradas</w:t>
      </w:r>
      <w:r w:rsidRPr="00E10347">
        <w:rPr>
          <w:rStyle w:val="Refdenotaalpie"/>
          <w:rFonts w:ascii="Palatino Linotype" w:hAnsi="Palatino Linotype"/>
          <w:sz w:val="21"/>
          <w:szCs w:val="21"/>
        </w:rPr>
        <w:footnoteReference w:id="665"/>
      </w:r>
      <w:r w:rsidRPr="00E10347">
        <w:rPr>
          <w:rFonts w:ascii="Palatino Linotype" w:hAnsi="Palatino Linotype"/>
          <w:sz w:val="21"/>
          <w:szCs w:val="21"/>
        </w:rPr>
        <w:t>- a personas inocentes con base a prueba testimonial. Las imperfecciones de la prueba testimonial han sido inmortalizadas por un caso americano en los siguientes términos: “</w:t>
      </w:r>
      <w:r w:rsidRPr="00E10347">
        <w:rPr>
          <w:rFonts w:ascii="Palatino Linotype" w:hAnsi="Palatino Linotype"/>
          <w:i/>
          <w:sz w:val="21"/>
          <w:szCs w:val="21"/>
        </w:rPr>
        <w:t xml:space="preserve">la exactitud de la recolección decrece de forma geométrica en lugar de forma aritmética (el paso de tiempo tiene un efecto distorsivo enorme en la recolección); la exactitud de la recolección no esta altamente correlacionada con la confianza de la confianza del declarante; la memoria es altamente sugestiva, las personas son fácilmente recordadas de eventos que nunca ocurrieron, y una vez se les ha recordado pueden aferrrase  la falsa recolección de una forma tan tenaz como si se tratase de un hecho verdadero.” </w:t>
      </w:r>
      <w:r w:rsidRPr="00E10347">
        <w:rPr>
          <w:rStyle w:val="Refdenotaalpie"/>
          <w:rFonts w:ascii="Palatino Linotype" w:hAnsi="Palatino Linotype"/>
          <w:i/>
          <w:sz w:val="21"/>
          <w:szCs w:val="21"/>
        </w:rPr>
        <w:footnoteReference w:id="666"/>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Pese a ello, el protagonismo</w:t>
      </w:r>
      <w:r w:rsidRPr="00E10347">
        <w:rPr>
          <w:rStyle w:val="Refdenotaalpie"/>
          <w:rFonts w:ascii="Palatino Linotype" w:hAnsi="Palatino Linotype"/>
          <w:sz w:val="21"/>
          <w:szCs w:val="21"/>
        </w:rPr>
        <w:footnoteReference w:id="667"/>
      </w:r>
      <w:r w:rsidRPr="00E10347">
        <w:rPr>
          <w:rFonts w:ascii="Palatino Linotype" w:hAnsi="Palatino Linotype"/>
          <w:sz w:val="21"/>
          <w:szCs w:val="21"/>
        </w:rPr>
        <w:t xml:space="preserve"> de la prueba testimonial</w:t>
      </w:r>
      <w:r w:rsidRPr="00E10347">
        <w:rPr>
          <w:rStyle w:val="Refdenotaalpie"/>
          <w:rFonts w:ascii="Palatino Linotype" w:hAnsi="Palatino Linotype"/>
          <w:sz w:val="21"/>
          <w:szCs w:val="21"/>
        </w:rPr>
        <w:footnoteReference w:id="668"/>
      </w:r>
      <w:r w:rsidRPr="00E10347">
        <w:rPr>
          <w:rFonts w:ascii="Palatino Linotype" w:hAnsi="Palatino Linotype"/>
          <w:sz w:val="21"/>
          <w:szCs w:val="21"/>
        </w:rPr>
        <w:t xml:space="preserve"> en el proceso </w:t>
      </w:r>
      <w:r w:rsidRPr="00E10347">
        <w:rPr>
          <w:rFonts w:ascii="Palatino Linotype" w:hAnsi="Palatino Linotype"/>
          <w:sz w:val="21"/>
          <w:szCs w:val="21"/>
        </w:rPr>
        <w:lastRenderedPageBreak/>
        <w:t>arbitral no se ha visto afectado pese a que el riesgo que exista una declaración en la que se introduzcan hechos inciertos, inexactos, distorsionados como consecuencia de preguntas sugestivas</w:t>
      </w:r>
      <w:r w:rsidRPr="00E10347">
        <w:rPr>
          <w:rStyle w:val="Refdenotaalpie"/>
          <w:rFonts w:ascii="Palatino Linotype" w:hAnsi="Palatino Linotype"/>
          <w:sz w:val="21"/>
          <w:szCs w:val="21"/>
        </w:rPr>
        <w:footnoteReference w:id="669"/>
      </w:r>
      <w:r w:rsidRPr="00E10347">
        <w:rPr>
          <w:rFonts w:ascii="Palatino Linotype" w:hAnsi="Palatino Linotype"/>
          <w:sz w:val="21"/>
          <w:szCs w:val="21"/>
        </w:rPr>
        <w:t>, mentiras deliberadas o bien por medio de la inducción de memorias falsas también están presentes en el arbitraje. Máxime cuando la regla general en los arbitrajes indica que no habrá otra instancia que pueda entrar a valorar el fondo</w:t>
      </w:r>
      <w:r w:rsidRPr="00E10347">
        <w:rPr>
          <w:rStyle w:val="Refdenotaalpie"/>
          <w:rFonts w:ascii="Palatino Linotype" w:hAnsi="Palatino Linotype"/>
          <w:sz w:val="21"/>
          <w:szCs w:val="21"/>
        </w:rPr>
        <w:footnoteReference w:id="670"/>
      </w:r>
      <w:r w:rsidRPr="00E10347">
        <w:rPr>
          <w:rFonts w:ascii="Palatino Linotype" w:hAnsi="Palatino Linotype"/>
          <w:sz w:val="21"/>
          <w:szCs w:val="21"/>
        </w:rPr>
        <w:t xml:space="preserve">, hace que la </w:t>
      </w:r>
      <w:r w:rsidRPr="00E10347">
        <w:rPr>
          <w:rFonts w:ascii="Palatino Linotype" w:hAnsi="Palatino Linotype"/>
          <w:i/>
          <w:sz w:val="21"/>
          <w:szCs w:val="21"/>
        </w:rPr>
        <w:t xml:space="preserve">psicología del testimonio </w:t>
      </w:r>
      <w:r w:rsidRPr="00E10347">
        <w:rPr>
          <w:rFonts w:ascii="Palatino Linotype" w:hAnsi="Palatino Linotype"/>
          <w:sz w:val="21"/>
          <w:szCs w:val="21"/>
        </w:rPr>
        <w:t>no puede ignorarse.</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Sin dejar a un lado el protagónico papel que tiene un contrainterrogatorio</w:t>
      </w:r>
      <w:r w:rsidRPr="00E10347">
        <w:rPr>
          <w:rStyle w:val="Refdenotaalpie"/>
          <w:rFonts w:ascii="Palatino Linotype" w:hAnsi="Palatino Linotype"/>
          <w:sz w:val="21"/>
          <w:szCs w:val="21"/>
        </w:rPr>
        <w:footnoteReference w:id="671"/>
      </w:r>
      <w:r w:rsidRPr="00E10347">
        <w:rPr>
          <w:rFonts w:ascii="Palatino Linotype" w:hAnsi="Palatino Linotype"/>
          <w:sz w:val="21"/>
          <w:szCs w:val="21"/>
        </w:rPr>
        <w:t xml:space="preserve">, la psicología da herramientas que pueden ser de gran utilidad en un proceso contradictorio. Una aplicación de algunos de tales factores, puede visualizarse en la sentencia </w:t>
      </w:r>
      <w:r w:rsidRPr="00E10347">
        <w:rPr>
          <w:rFonts w:ascii="Palatino Linotype" w:hAnsi="Palatino Linotype"/>
          <w:bCs/>
          <w:sz w:val="21"/>
          <w:szCs w:val="21"/>
        </w:rPr>
        <w:t>se enfoca en factores de credibilidad</w:t>
      </w:r>
      <w:r w:rsidRPr="00E10347">
        <w:rPr>
          <w:rStyle w:val="Refdenotaalpie"/>
          <w:rFonts w:ascii="Palatino Linotype" w:hAnsi="Palatino Linotype"/>
          <w:bCs/>
          <w:sz w:val="21"/>
          <w:szCs w:val="21"/>
        </w:rPr>
        <w:footnoteReference w:id="672"/>
      </w:r>
      <w:r w:rsidRPr="00E10347">
        <w:rPr>
          <w:rFonts w:ascii="Palatino Linotype" w:hAnsi="Palatino Linotype"/>
          <w:bCs/>
          <w:sz w:val="21"/>
          <w:szCs w:val="21"/>
        </w:rPr>
        <w:t xml:space="preserve"> de testigos desde una perspectiva </w:t>
      </w:r>
      <w:r w:rsidRPr="00E10347">
        <w:rPr>
          <w:rFonts w:ascii="Palatino Linotype" w:hAnsi="Palatino Linotype"/>
          <w:bCs/>
          <w:sz w:val="21"/>
          <w:szCs w:val="21"/>
        </w:rPr>
        <w:lastRenderedPageBreak/>
        <w:t>moderna:</w:t>
      </w:r>
      <w:r w:rsidRPr="00E10347">
        <w:rPr>
          <w:rFonts w:ascii="Palatino Linotype" w:hAnsi="Palatino Linotype"/>
          <w:sz w:val="21"/>
          <w:szCs w:val="21"/>
        </w:rPr>
        <w:t xml:space="preserve"> </w:t>
      </w:r>
    </w:p>
    <w:p w:rsidR="00F80BB6" w:rsidRPr="00E10347" w:rsidRDefault="0087536A" w:rsidP="00E10347">
      <w:pPr>
        <w:ind w:firstLine="709"/>
        <w:jc w:val="both"/>
        <w:rPr>
          <w:rFonts w:ascii="Palatino Linotype" w:hAnsi="Palatino Linotype"/>
          <w:sz w:val="21"/>
          <w:szCs w:val="21"/>
        </w:rPr>
      </w:pPr>
      <w:r w:rsidRPr="00E10347">
        <w:rPr>
          <w:rFonts w:ascii="Palatino Linotype" w:hAnsi="Palatino Linotype"/>
          <w:sz w:val="21"/>
          <w:szCs w:val="21"/>
        </w:rPr>
        <w:t xml:space="preserve"> </w:t>
      </w:r>
      <w:r w:rsidR="00F80BB6" w:rsidRPr="00E10347">
        <w:rPr>
          <w:rFonts w:ascii="Palatino Linotype" w:hAnsi="Palatino Linotype"/>
          <w:sz w:val="21"/>
          <w:szCs w:val="21"/>
        </w:rPr>
        <w:t>“</w:t>
      </w:r>
      <w:r w:rsidR="00F80BB6" w:rsidRPr="00E10347">
        <w:rPr>
          <w:rFonts w:ascii="Palatino Linotype" w:hAnsi="Palatino Linotype"/>
          <w:i/>
          <w:sz w:val="21"/>
          <w:szCs w:val="21"/>
        </w:rPr>
        <w:t xml:space="preserve">El problema que aquí se presenta -si nos atenemos únicamente a la conducta del testigo y sus gestos como "parámetro infalible" para valorar su testimonio- tiene que ver con el hecho de que el lenguaje gestual no necesariamente tiene un carácter unívoco, siendo factible que puedan presentarse distintas situaciones -y de hecho se presentan en la praxis judicial- en que un testigo sea del todo inexpresivo, muestre gestos distintos de los que se esperan según el contenido emotivo de su declaración, realice gestos de inseguridad o nerviosismo, etc. y, aún así, esté diciendo la verdad. Lo contrario también es posible…"[...] esos factores no son, en realidad, controlables para un juez, básicamente porque pueden estar basados en mera retórica, es decir, en una actuación fenomenal del declarante que consiga engañar a todos. Por otra parte, no todas las personas son igual de expresivas. Hay sujetos con dificultades gestuales importantes que involuntariamente no «actúan» en coherencia con lo que están diciendo, y por ello no resultan creíbles a ojos de la sociedad por muy veraz y coherente que sea lo que están afirmando. No son buenos actores, y si tenemos que juzgarles por su conducta, nadie les creerá. De ahí lo sumamente peligroso de guiarse por criterios como la «firmeza» de la declaración, o si el testigo perdía la fijeza de la mirada, o sudaba, o suspiraba o gesticulaba mucho, o titubeaba, o miraba hacia aquí o hacia allá, etc. Todo ello puede ser absolutamente desorientador y, por ello, es mejor no tenerlo en cuenta en un examen plenamente objetivo. (Nieva Fenoll, Jordi; op.cit., pp. 202-221. En sentido contrario Taruffo considera que la conducta del testigo es relevante. Cfr. Taruffo, Michele. "La prueba". Traducción de Laura Manríquez y Jordi Ferrer Beltrán. Editorial Marcial Pons, Barcelona, 2008, parágrafos 49 y 97, pp. 64-65 y 139-140 respectivamente). </w:t>
      </w:r>
      <w:r w:rsidR="00F80BB6" w:rsidRPr="00E10347">
        <w:rPr>
          <w:rFonts w:ascii="Palatino Linotype" w:hAnsi="Palatino Linotype"/>
          <w:sz w:val="21"/>
          <w:szCs w:val="21"/>
        </w:rPr>
        <w:t>En cuanto al testimonio periférico: “</w:t>
      </w:r>
      <w:r w:rsidR="00F80BB6" w:rsidRPr="00E10347">
        <w:rPr>
          <w:rFonts w:ascii="Palatino Linotype" w:hAnsi="Palatino Linotype"/>
          <w:i/>
          <w:sz w:val="21"/>
          <w:szCs w:val="21"/>
        </w:rPr>
        <w:t>En estos casos es usual que las partes recurran al interrogatorio periférico para valorar si el testigo está o no en capacidad de brindar detalles al respecto. Nuevamente habría que decir aquí que tampoco se trata de un criterio que por si solo permita discernir entre la veracidad o mendacidad de un determinado relato, ya que no se puede dejar de lado que un testigo podría no estar en capacidad de brindar una descripción del contexto y, sin embargo, ser veraz en su declaración.</w:t>
      </w:r>
      <w:r w:rsidR="00F80BB6" w:rsidRPr="00E10347">
        <w:rPr>
          <w:rFonts w:ascii="Palatino Linotype" w:hAnsi="Palatino Linotype"/>
          <w:sz w:val="21"/>
          <w:szCs w:val="21"/>
        </w:rPr>
        <w:t xml:space="preserve">”. </w:t>
      </w:r>
      <w:r w:rsidR="00F80BB6" w:rsidRPr="00E10347">
        <w:rPr>
          <w:rStyle w:val="Refdenotaalpie"/>
          <w:rFonts w:ascii="Palatino Linotype" w:hAnsi="Palatino Linotype"/>
          <w:sz w:val="21"/>
          <w:szCs w:val="21"/>
        </w:rPr>
        <w:footnoteReference w:id="673"/>
      </w:r>
    </w:p>
    <w:p w:rsidR="00F80BB6" w:rsidRPr="00E10347" w:rsidRDefault="00F80BB6" w:rsidP="00E10347">
      <w:pPr>
        <w:ind w:firstLine="709"/>
        <w:jc w:val="both"/>
        <w:rPr>
          <w:rFonts w:ascii="Palatino Linotype" w:hAnsi="Palatino Linotype"/>
          <w:sz w:val="21"/>
          <w:szCs w:val="21"/>
          <w:lang w:val="en-US"/>
        </w:rPr>
      </w:pPr>
      <w:r w:rsidRPr="00E10347">
        <w:rPr>
          <w:rFonts w:ascii="Palatino Linotype" w:hAnsi="Palatino Linotype"/>
          <w:sz w:val="21"/>
          <w:szCs w:val="21"/>
          <w:lang w:val="en-US"/>
        </w:rPr>
        <w:lastRenderedPageBreak/>
        <w:t>La Suprema Corte del Estado de Nueva Jersey ha reconocido el rol protagónico de la psicología aplicada al derecho en los siguientes términos:  “</w:t>
      </w:r>
      <w:r w:rsidRPr="00E10347">
        <w:rPr>
          <w:rFonts w:ascii="Palatino Linotype" w:hAnsi="Palatino Linotype"/>
          <w:i/>
          <w:sz w:val="21"/>
          <w:szCs w:val="21"/>
          <w:lang w:val="en-US"/>
        </w:rPr>
        <w:t>In the context of eyewitness identification evidence, that means that courts must carefully consider identification evidence before it is admitted to weed out unreliable identifications, and that juries must receive thorough instructions tailored to the facts of the case to be able to evaluate the identification evidence they hear... As a result, we believe that it is essential to educate jurors about factors that can lead to misidentifications, which in and of itself will promote deterrence. To that end, we have reviewed various system and estimator variables in detail, which should assist in the development of enhanced model jury charges. Using those charges in future criminal trials is a critical step in the overall scheme.</w:t>
      </w:r>
      <w:r w:rsidRPr="00E10347">
        <w:rPr>
          <w:rFonts w:ascii="Palatino Linotype" w:hAnsi="Palatino Linotype"/>
          <w:sz w:val="21"/>
          <w:szCs w:val="21"/>
          <w:lang w:val="en-US"/>
        </w:rPr>
        <w:t>”</w:t>
      </w:r>
      <w:r w:rsidRPr="00E10347">
        <w:rPr>
          <w:rStyle w:val="Refdenotaalpie"/>
          <w:rFonts w:ascii="Palatino Linotype" w:hAnsi="Palatino Linotype"/>
          <w:sz w:val="21"/>
          <w:szCs w:val="21"/>
        </w:rPr>
        <w:footnoteReference w:id="674"/>
      </w:r>
      <w:r w:rsidRPr="00E10347">
        <w:rPr>
          <w:rFonts w:ascii="Palatino Linotype" w:hAnsi="Palatino Linotype"/>
          <w:sz w:val="21"/>
          <w:szCs w:val="21"/>
          <w:lang w:val="en-US"/>
        </w:rPr>
        <w:t xml:space="preserve">  </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 xml:space="preserve">Por lo que si en otras jurisdicciones se ha reconocido la importancia de la psicología, algunos elementos psicológicos que los practicantes pueden tomar en cuenta para los interrogatorios – y contrainterrogatorios- que tengan que protagonizar son los siguientes: </w:t>
      </w:r>
    </w:p>
    <w:p w:rsidR="00F80BB6" w:rsidRPr="00E10347" w:rsidRDefault="00F80BB6" w:rsidP="00E83320">
      <w:pPr>
        <w:pStyle w:val="Prrafodelista"/>
        <w:numPr>
          <w:ilvl w:val="0"/>
          <w:numId w:val="14"/>
        </w:numPr>
        <w:ind w:firstLine="709"/>
        <w:jc w:val="both"/>
        <w:rPr>
          <w:rFonts w:ascii="Palatino Linotype" w:hAnsi="Palatino Linotype"/>
          <w:sz w:val="21"/>
          <w:szCs w:val="21"/>
        </w:rPr>
      </w:pPr>
      <w:r w:rsidRPr="00E10347">
        <w:rPr>
          <w:rFonts w:ascii="Palatino Linotype" w:hAnsi="Palatino Linotype"/>
          <w:sz w:val="21"/>
          <w:szCs w:val="21"/>
        </w:rPr>
        <w:t>Cuando se está en presencia de una persona que miente cada pregunta, la persona que miente debe básicamente: (i) recordar su historia; (ii) recordar lo que dijo previamente; (iii) verificar si la nueva información que es brindada puede ser contradicha; y, (iv) ante la evidencia que lo contradice, crear una nueva historia. Por lo que resulta valioso llevar un detalle de las respuesta que se obtienen para repreguntar y dejar evidencias de las contradicciones.</w:t>
      </w:r>
    </w:p>
    <w:p w:rsidR="00F80BB6" w:rsidRPr="00E10347" w:rsidRDefault="00F80BB6" w:rsidP="00E83320">
      <w:pPr>
        <w:pStyle w:val="Prrafodelista"/>
        <w:numPr>
          <w:ilvl w:val="0"/>
          <w:numId w:val="14"/>
        </w:numPr>
        <w:ind w:firstLine="709"/>
        <w:jc w:val="both"/>
        <w:rPr>
          <w:rFonts w:ascii="Palatino Linotype" w:hAnsi="Palatino Linotype"/>
          <w:sz w:val="21"/>
          <w:szCs w:val="21"/>
        </w:rPr>
      </w:pPr>
      <w:r w:rsidRPr="00E10347">
        <w:rPr>
          <w:rFonts w:ascii="Palatino Linotype" w:hAnsi="Palatino Linotype"/>
          <w:sz w:val="21"/>
          <w:szCs w:val="21"/>
        </w:rPr>
        <w:t>Aunado a lo anterior, una buena técnica consiste en evitar preguntas de forma cronológica, haciendo preguntas sencillas para que no tenga espacio para recordar.</w:t>
      </w:r>
    </w:p>
    <w:p w:rsidR="00F80BB6" w:rsidRPr="00E10347" w:rsidRDefault="00F80BB6" w:rsidP="00E83320">
      <w:pPr>
        <w:pStyle w:val="Prrafodelista"/>
        <w:numPr>
          <w:ilvl w:val="0"/>
          <w:numId w:val="14"/>
        </w:numPr>
        <w:ind w:firstLine="709"/>
        <w:jc w:val="both"/>
        <w:rPr>
          <w:rFonts w:ascii="Palatino Linotype" w:hAnsi="Palatino Linotype"/>
          <w:sz w:val="21"/>
          <w:szCs w:val="21"/>
        </w:rPr>
      </w:pPr>
      <w:r w:rsidRPr="00E10347">
        <w:rPr>
          <w:rFonts w:ascii="Palatino Linotype" w:hAnsi="Palatino Linotype"/>
          <w:sz w:val="21"/>
          <w:szCs w:val="21"/>
        </w:rPr>
        <w:lastRenderedPageBreak/>
        <w:t xml:space="preserve">También tomar en cuenta que las preguntas abiertas dan espacio a que el testigo pueda elaborar más sus respuestas y por ende, abre la ventana para que pueda recuperar (en terminología del proceso de la codificación y recuperación de una memoria) la memoria. En las áreas que se requiere más detalles se pueden hacer preguntas más detalladas para hacer un efecto de “zoom” en el guion general de la película que está transmitiendo el testigo. </w:t>
      </w:r>
    </w:p>
    <w:p w:rsidR="00F80BB6" w:rsidRPr="00E10347" w:rsidRDefault="00F80BB6" w:rsidP="00E83320">
      <w:pPr>
        <w:pStyle w:val="Prrafodelista"/>
        <w:numPr>
          <w:ilvl w:val="0"/>
          <w:numId w:val="14"/>
        </w:numPr>
        <w:ind w:firstLine="709"/>
        <w:jc w:val="both"/>
        <w:rPr>
          <w:rFonts w:ascii="Palatino Linotype" w:hAnsi="Palatino Linotype"/>
          <w:sz w:val="21"/>
          <w:szCs w:val="21"/>
        </w:rPr>
      </w:pPr>
      <w:r w:rsidRPr="00E10347">
        <w:rPr>
          <w:rFonts w:ascii="Palatino Linotype" w:hAnsi="Palatino Linotype"/>
          <w:sz w:val="21"/>
          <w:szCs w:val="21"/>
        </w:rPr>
        <w:t xml:space="preserve">El uso de evidencia documental puede ser gran importancia, bien para refrescar la memoria a los testigos y darles confianzas para declarar algunos aspectos, o para minar de forma definitiva la credibilidad de un testigo por medio de contradicciones entre el testimonio verbal y la evidencia por escrito. </w:t>
      </w:r>
    </w:p>
    <w:p w:rsidR="00F80BB6" w:rsidRPr="00E10347" w:rsidRDefault="00F80BB6" w:rsidP="00E83320">
      <w:pPr>
        <w:pStyle w:val="Prrafodelista"/>
        <w:numPr>
          <w:ilvl w:val="0"/>
          <w:numId w:val="14"/>
        </w:numPr>
        <w:ind w:firstLine="709"/>
        <w:jc w:val="both"/>
        <w:rPr>
          <w:rFonts w:ascii="Palatino Linotype" w:hAnsi="Palatino Linotype"/>
          <w:sz w:val="21"/>
          <w:szCs w:val="21"/>
        </w:rPr>
      </w:pPr>
      <w:r w:rsidRPr="00E10347">
        <w:rPr>
          <w:rFonts w:ascii="Palatino Linotype" w:hAnsi="Palatino Linotype"/>
          <w:sz w:val="21"/>
          <w:szCs w:val="21"/>
        </w:rPr>
        <w:t xml:space="preserve">Tal y como se advirtió previamente, la simple advertencia a nuestros testigos que podría estar sujeto a inducciones de memorias falsas por medio de preguntas de los abogados, resulta una herramientas para “blindar” la mente de nuestros testigos. </w:t>
      </w:r>
    </w:p>
    <w:p w:rsidR="00F80BB6" w:rsidRPr="00E10347" w:rsidRDefault="00F80BB6" w:rsidP="00E83320">
      <w:pPr>
        <w:pStyle w:val="Prrafodelista"/>
        <w:numPr>
          <w:ilvl w:val="0"/>
          <w:numId w:val="14"/>
        </w:numPr>
        <w:ind w:firstLine="709"/>
        <w:jc w:val="both"/>
        <w:rPr>
          <w:rFonts w:ascii="Palatino Linotype" w:hAnsi="Palatino Linotype"/>
          <w:sz w:val="21"/>
          <w:szCs w:val="21"/>
        </w:rPr>
      </w:pPr>
      <w:r w:rsidRPr="00E10347">
        <w:rPr>
          <w:rFonts w:ascii="Palatino Linotype" w:hAnsi="Palatino Linotype"/>
          <w:sz w:val="21"/>
          <w:szCs w:val="21"/>
        </w:rPr>
        <w:t>Relacionado con la instrucciones a los testigos, existe evidencia</w:t>
      </w:r>
      <w:r w:rsidRPr="00E10347">
        <w:rPr>
          <w:rStyle w:val="Refdenotaalpie"/>
          <w:rFonts w:ascii="Palatino Linotype" w:hAnsi="Palatino Linotype"/>
          <w:sz w:val="21"/>
          <w:szCs w:val="21"/>
        </w:rPr>
        <w:footnoteReference w:id="675"/>
      </w:r>
      <w:r w:rsidRPr="00E10347">
        <w:rPr>
          <w:rFonts w:ascii="Palatino Linotype" w:hAnsi="Palatino Linotype"/>
          <w:sz w:val="21"/>
          <w:szCs w:val="21"/>
        </w:rPr>
        <w:t xml:space="preserve"> que los testimonios que se rinden con poder, de forma segura, tienden a dar un mayor nivel de seguridad y credibilidad que aquellos que no desempeñan de esa manera.  </w:t>
      </w:r>
    </w:p>
    <w:p w:rsidR="00F80BB6" w:rsidRPr="00E10347" w:rsidRDefault="00F80BB6" w:rsidP="00E83320">
      <w:pPr>
        <w:pStyle w:val="Prrafodelista"/>
        <w:numPr>
          <w:ilvl w:val="0"/>
          <w:numId w:val="14"/>
        </w:numPr>
        <w:ind w:firstLine="709"/>
        <w:jc w:val="both"/>
        <w:rPr>
          <w:rFonts w:ascii="Palatino Linotype" w:hAnsi="Palatino Linotype"/>
          <w:sz w:val="21"/>
          <w:szCs w:val="21"/>
        </w:rPr>
      </w:pPr>
      <w:r w:rsidRPr="00E10347">
        <w:rPr>
          <w:rFonts w:ascii="Palatino Linotype" w:hAnsi="Palatino Linotype"/>
          <w:sz w:val="21"/>
          <w:szCs w:val="21"/>
        </w:rPr>
        <w:t xml:space="preserve">Explicar al testigo que ante preguntas que no le den espacio para contextualizar previamente su respuesta, que busque hacerlo para que pueda servir esa base como una especie de “anclaje” a las diferentes preguntas que posteriormente se le hagan. </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 xml:space="preserve">En este entender, considero que los riesgos de la prueba testimonial es algo inherente al tipo de prueba, por lo que existe la posibilidad que en los procesos arbitrales ocurran convicciones equivocadas, a raíz de una preterición indebida de la prueba testimonial, razón por la cual conviene estudiar sus implicaciones y tenerlas en cuenta en primera instancia. En lo personal, considero a la psicología como una gran herramienta para la práctica del derecho, a manera de ejemplo aplicado el arbitraje, comprender el contexto académico y personal de los árbitros será de gran utilidad para la elaboración de los argumentos de apertura y </w:t>
      </w:r>
      <w:r w:rsidRPr="00E10347">
        <w:rPr>
          <w:rFonts w:ascii="Palatino Linotype" w:hAnsi="Palatino Linotype"/>
          <w:sz w:val="21"/>
          <w:szCs w:val="21"/>
        </w:rPr>
        <w:lastRenderedPageBreak/>
        <w:t xml:space="preserve">conclusiones, a fin de buscar tocar esos puntos medulares para llamar la atención de los árbitros. </w:t>
      </w:r>
    </w:p>
    <w:p w:rsidR="001E141B" w:rsidRDefault="001E141B" w:rsidP="00E10347">
      <w:pPr>
        <w:pStyle w:val="Ttulo1"/>
        <w:widowControl/>
        <w:autoSpaceDE/>
        <w:autoSpaceDN/>
        <w:adjustRightInd/>
        <w:spacing w:before="0"/>
        <w:jc w:val="both"/>
        <w:rPr>
          <w:rFonts w:ascii="Palatino Linotype" w:hAnsi="Palatino Linotype" w:cs="Arial"/>
          <w:color w:val="auto"/>
          <w:sz w:val="21"/>
          <w:szCs w:val="21"/>
        </w:rPr>
      </w:pPr>
      <w:bookmarkStart w:id="81" w:name="_Toc463961790"/>
      <w:bookmarkStart w:id="82" w:name="_Toc463963867"/>
      <w:bookmarkStart w:id="83" w:name="_Toc469486507"/>
    </w:p>
    <w:p w:rsidR="00F80BB6" w:rsidRPr="00E10347" w:rsidRDefault="00DB45D2" w:rsidP="00E10347">
      <w:pPr>
        <w:pStyle w:val="Ttulo1"/>
        <w:widowControl/>
        <w:autoSpaceDE/>
        <w:autoSpaceDN/>
        <w:adjustRightInd/>
        <w:spacing w:before="0"/>
        <w:jc w:val="both"/>
        <w:rPr>
          <w:rFonts w:ascii="Palatino Linotype" w:hAnsi="Palatino Linotype" w:cs="Arial"/>
          <w:b w:val="0"/>
          <w:color w:val="auto"/>
          <w:sz w:val="21"/>
          <w:szCs w:val="21"/>
        </w:rPr>
      </w:pPr>
      <w:r w:rsidRPr="00E10347">
        <w:rPr>
          <w:rFonts w:ascii="Palatino Linotype" w:hAnsi="Palatino Linotype" w:cs="Arial"/>
          <w:color w:val="auto"/>
          <w:sz w:val="21"/>
          <w:szCs w:val="21"/>
        </w:rPr>
        <w:t xml:space="preserve">7.- </w:t>
      </w:r>
      <w:r w:rsidR="00F80BB6" w:rsidRPr="00E10347">
        <w:rPr>
          <w:rFonts w:ascii="Palatino Linotype" w:hAnsi="Palatino Linotype" w:cs="Arial"/>
          <w:color w:val="auto"/>
          <w:sz w:val="21"/>
          <w:szCs w:val="21"/>
        </w:rPr>
        <w:t>R</w:t>
      </w:r>
      <w:r w:rsidRPr="00E10347">
        <w:rPr>
          <w:rFonts w:ascii="Palatino Linotype" w:hAnsi="Palatino Linotype" w:cs="Arial"/>
          <w:color w:val="auto"/>
          <w:sz w:val="21"/>
          <w:szCs w:val="21"/>
        </w:rPr>
        <w:t>eflexiones para una conclusión</w:t>
      </w:r>
      <w:bookmarkEnd w:id="81"/>
      <w:bookmarkEnd w:id="82"/>
      <w:bookmarkEnd w:id="83"/>
      <w:r w:rsidRPr="00E10347">
        <w:rPr>
          <w:rFonts w:ascii="Palatino Linotype" w:hAnsi="Palatino Linotype" w:cs="Arial"/>
          <w:color w:val="auto"/>
          <w:sz w:val="21"/>
          <w:szCs w:val="21"/>
        </w:rPr>
        <w:t xml:space="preserve"> </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La confidencialidad de las deliberaciones</w:t>
      </w:r>
      <w:r w:rsidRPr="00E10347">
        <w:rPr>
          <w:rStyle w:val="Refdenotaalpie"/>
          <w:rFonts w:ascii="Palatino Linotype" w:hAnsi="Palatino Linotype"/>
          <w:sz w:val="21"/>
          <w:szCs w:val="21"/>
        </w:rPr>
        <w:footnoteReference w:id="676"/>
      </w:r>
      <w:r w:rsidRPr="00E10347">
        <w:rPr>
          <w:rFonts w:ascii="Palatino Linotype" w:hAnsi="Palatino Linotype"/>
          <w:sz w:val="21"/>
          <w:szCs w:val="21"/>
        </w:rPr>
        <w:t xml:space="preserve"> de los árbitros tiene ciertos propósitos que apuntan al dictado de un laudo que cumpla con los valores de la justicia, dentro de estos se encuentra: el libro flujo de ideas entre los miembros del Tribunal, de tal forma que ningún miembro se deba sentir censurado por los juicios que emita en las valoraciones de los puntos en controversia. La confidencialidad de las deliberaciones – o discusiones de los árbitros para alcanzar su decisión final y definitiva- contribuyen a preservar la legitimidad del sistema arbitral. </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Ahora bien, esa legitimidad se ha visto mermada por problemas de corrupción</w:t>
      </w:r>
      <w:r w:rsidRPr="00E10347">
        <w:rPr>
          <w:rStyle w:val="Refdenotaalpie"/>
          <w:rFonts w:ascii="Palatino Linotype" w:hAnsi="Palatino Linotype"/>
          <w:sz w:val="21"/>
          <w:szCs w:val="21"/>
        </w:rPr>
        <w:footnoteReference w:id="677"/>
      </w:r>
      <w:r w:rsidRPr="00E10347">
        <w:rPr>
          <w:rFonts w:ascii="Palatino Linotype" w:hAnsi="Palatino Linotype"/>
          <w:sz w:val="21"/>
          <w:szCs w:val="21"/>
        </w:rPr>
        <w:t xml:space="preserve"> dentro de Tribunales Arbitrales, así como por sensaciones de injusticia por una preterición en la prueba testimonial donde más de alguna parte – la perdidosa sobretodo- se siente estafada por la credibilidad que se le otorga a uno u otro testigo, por lo que considero que la justicia arbitral podría verse fortalecida si los árbitros se forman en aspectos relacionados con la psicología, a fin de tener más herramientas para valorar la prueba testimonial</w:t>
      </w:r>
      <w:r w:rsidRPr="00E10347">
        <w:rPr>
          <w:rStyle w:val="Refdenotaalpie"/>
          <w:rFonts w:ascii="Palatino Linotype" w:hAnsi="Palatino Linotype"/>
          <w:sz w:val="21"/>
          <w:szCs w:val="21"/>
        </w:rPr>
        <w:footnoteReference w:id="678"/>
      </w:r>
      <w:r w:rsidRPr="00E10347">
        <w:rPr>
          <w:rFonts w:ascii="Palatino Linotype" w:hAnsi="Palatino Linotype"/>
          <w:sz w:val="21"/>
          <w:szCs w:val="21"/>
        </w:rPr>
        <w:t xml:space="preserve">. En esto último, la formación de los árbitros, los centros de arbitraje pueden tener un rol preponderante ya que se encuentra en sus manos la elaboraciones de guías para sus árbitros o bien en talleres </w:t>
      </w:r>
      <w:r w:rsidRPr="00E10347">
        <w:rPr>
          <w:rFonts w:ascii="Palatino Linotype" w:hAnsi="Palatino Linotype"/>
          <w:sz w:val="21"/>
          <w:szCs w:val="21"/>
        </w:rPr>
        <w:lastRenderedPageBreak/>
        <w:t>de formación al respecto.</w:t>
      </w:r>
    </w:p>
    <w:p w:rsidR="00F80BB6" w:rsidRPr="00E10347" w:rsidRDefault="00F80BB6" w:rsidP="00E10347">
      <w:pPr>
        <w:ind w:firstLine="709"/>
        <w:jc w:val="both"/>
        <w:rPr>
          <w:rFonts w:ascii="Palatino Linotype" w:hAnsi="Palatino Linotype"/>
          <w:sz w:val="21"/>
          <w:szCs w:val="21"/>
        </w:rPr>
      </w:pPr>
      <w:r w:rsidRPr="00E10347">
        <w:rPr>
          <w:rFonts w:ascii="Palatino Linotype" w:hAnsi="Palatino Linotype"/>
          <w:sz w:val="21"/>
          <w:szCs w:val="21"/>
        </w:rPr>
        <w:t>Cabe preguntarse si valdrá la pena introducir el uso de expertos</w:t>
      </w:r>
      <w:r w:rsidRPr="00E10347">
        <w:rPr>
          <w:rStyle w:val="Refdenotaalpie"/>
          <w:rFonts w:ascii="Palatino Linotype" w:hAnsi="Palatino Linotype"/>
          <w:sz w:val="21"/>
          <w:szCs w:val="21"/>
        </w:rPr>
        <w:footnoteReference w:id="679"/>
      </w:r>
      <w:r w:rsidRPr="00E10347">
        <w:rPr>
          <w:rFonts w:ascii="Palatino Linotype" w:hAnsi="Palatino Linotype"/>
          <w:sz w:val="21"/>
          <w:szCs w:val="21"/>
        </w:rPr>
        <w:t xml:space="preserve"> en psicología y derecho para determinar la credibilidad de testimonios en arbitrajes, y si esto es así, cuál sería el momento procesal oportuno tomando en consideración si el arbitraje se lleva a cabo bajo las reglas de la IBA o de forma tradicional. </w:t>
      </w:r>
    </w:p>
    <w:p w:rsidR="00C72A23" w:rsidRDefault="00F80BB6" w:rsidP="00C72A23">
      <w:pPr>
        <w:ind w:firstLine="709"/>
        <w:jc w:val="both"/>
        <w:rPr>
          <w:rFonts w:ascii="Palatino Linotype" w:hAnsi="Palatino Linotype"/>
          <w:sz w:val="21"/>
          <w:szCs w:val="21"/>
        </w:rPr>
        <w:sectPr w:rsidR="00C72A23" w:rsidSect="00FC1DF6">
          <w:headerReference w:type="even" r:id="rId65"/>
          <w:headerReference w:type="default" r:id="rId66"/>
          <w:type w:val="oddPage"/>
          <w:pgSz w:w="12240" w:h="15840" w:code="1"/>
          <w:pgMar w:top="1667" w:right="851" w:bottom="4253" w:left="3686" w:header="1021" w:footer="3005" w:gutter="0"/>
          <w:cols w:space="708"/>
          <w:titlePg/>
          <w:docGrid w:linePitch="360"/>
        </w:sectPr>
      </w:pPr>
      <w:r w:rsidRPr="00E10347">
        <w:rPr>
          <w:rFonts w:ascii="Palatino Linotype" w:hAnsi="Palatino Linotype"/>
          <w:sz w:val="21"/>
          <w:szCs w:val="21"/>
        </w:rPr>
        <w:t>Lo cierto es que la prueba testimonial es un pilar del sistema de justicia y que tal estructura tendrá bases más solidas sobre las cuales reposar al reducir los riesgos inherentes a un sistema de justicia que se ampara en la fragilidad de la memoria humana para tomar decisiones que determinan la vida de una empresa – o una persona – por lo que cualquier propuesta que venga a beneficiar el sistema de justicia, máxime cuando están amparados científicamente, deben discutirse con seriedad a fin de alcanzar un resultado global mejor para todos los usuarios del sistema. Es por ello que considero que la aplicación de la psicología al arbitraje es algo que resultaría de gran valor al sistema arbitral, así como al judicial.</w:t>
      </w:r>
    </w:p>
    <w:p w:rsidR="00E10347" w:rsidRPr="00E10347" w:rsidRDefault="00E10347" w:rsidP="00C72A23">
      <w:pPr>
        <w:ind w:firstLine="709"/>
        <w:jc w:val="both"/>
        <w:rPr>
          <w:rFonts w:ascii="Palatino Linotype" w:hAnsi="Palatino Linotype"/>
          <w:b/>
          <w:i/>
          <w:sz w:val="21"/>
          <w:szCs w:val="21"/>
          <w:u w:val="single"/>
        </w:rPr>
      </w:pPr>
    </w:p>
    <w:p w:rsidR="00E10347" w:rsidRPr="00E10347" w:rsidRDefault="00E10347" w:rsidP="00E10347">
      <w:pPr>
        <w:keepNext/>
        <w:jc w:val="center"/>
        <w:outlineLvl w:val="1"/>
        <w:rPr>
          <w:rFonts w:ascii="Palatino Linotype" w:hAnsi="Palatino Linotype"/>
          <w:b/>
          <w:sz w:val="21"/>
          <w:szCs w:val="21"/>
          <w:u w:val="single"/>
          <w:lang w:eastAsia="es-ES_tradnl"/>
        </w:rPr>
      </w:pPr>
      <w:bookmarkStart w:id="84" w:name="_Hlk479198356"/>
      <w:r w:rsidRPr="00E10347">
        <w:rPr>
          <w:rFonts w:ascii="Palatino Linotype" w:hAnsi="Palatino Linotype"/>
          <w:b/>
          <w:sz w:val="21"/>
          <w:szCs w:val="21"/>
          <w:u w:val="single"/>
          <w:lang w:eastAsia="es-ES_tradnl"/>
        </w:rPr>
        <w:t>El Consultor Técnico</w:t>
      </w:r>
    </w:p>
    <w:p w:rsidR="00E10347" w:rsidRPr="00E10347" w:rsidRDefault="00E10347" w:rsidP="00E10347">
      <w:pPr>
        <w:keepNext/>
        <w:jc w:val="center"/>
        <w:outlineLvl w:val="1"/>
        <w:rPr>
          <w:rFonts w:ascii="Palatino Linotype" w:hAnsi="Palatino Linotype"/>
          <w:b/>
          <w:sz w:val="21"/>
          <w:szCs w:val="21"/>
          <w:u w:val="single"/>
          <w:lang w:eastAsia="es-ES_tradnl"/>
        </w:rPr>
      </w:pPr>
      <w:r w:rsidRPr="00E10347">
        <w:rPr>
          <w:rFonts w:ascii="Palatino Linotype" w:hAnsi="Palatino Linotype"/>
          <w:b/>
          <w:sz w:val="21"/>
          <w:szCs w:val="21"/>
          <w:u w:val="single"/>
          <w:lang w:eastAsia="es-ES_tradnl"/>
        </w:rPr>
        <w:t>Dentro del Proceso Penal Costarricense</w:t>
      </w:r>
    </w:p>
    <w:p w:rsidR="00E10347" w:rsidRPr="00E10347" w:rsidRDefault="00E10347" w:rsidP="00E10347">
      <w:pPr>
        <w:keepNext/>
        <w:jc w:val="center"/>
        <w:outlineLvl w:val="1"/>
        <w:rPr>
          <w:rFonts w:ascii="Palatino Linotype" w:hAnsi="Palatino Linotype"/>
          <w:b/>
          <w:sz w:val="21"/>
          <w:szCs w:val="21"/>
          <w:u w:val="single"/>
          <w:lang w:eastAsia="es-ES_tradnl"/>
        </w:rPr>
      </w:pPr>
    </w:p>
    <w:p w:rsidR="00E10347" w:rsidRPr="00E10347" w:rsidRDefault="00E10347" w:rsidP="00E10347">
      <w:pPr>
        <w:jc w:val="right"/>
        <w:rPr>
          <w:rFonts w:ascii="Palatino Linotype" w:hAnsi="Palatino Linotype"/>
          <w:b/>
          <w:sz w:val="21"/>
          <w:szCs w:val="21"/>
          <w:u w:val="single"/>
          <w:lang w:val="es-MX"/>
        </w:rPr>
      </w:pPr>
      <w:r w:rsidRPr="00E10347">
        <w:rPr>
          <w:rFonts w:ascii="Palatino Linotype" w:hAnsi="Palatino Linotype"/>
          <w:b/>
          <w:i/>
          <w:sz w:val="21"/>
          <w:szCs w:val="21"/>
          <w:u w:val="single"/>
          <w:lang w:eastAsia="es-ES_tradnl"/>
        </w:rPr>
        <w:t>Dr. Álvaro Burgos</w:t>
      </w:r>
      <w:bookmarkEnd w:id="84"/>
      <w:r w:rsidRPr="00E10347">
        <w:rPr>
          <w:rFonts w:ascii="Palatino Linotype" w:hAnsi="Palatino Linotype"/>
          <w:b/>
          <w:sz w:val="21"/>
          <w:szCs w:val="21"/>
          <w:vertAlign w:val="superscript"/>
          <w:lang w:val="es-MX"/>
        </w:rPr>
        <w:footnoteReference w:id="680"/>
      </w:r>
    </w:p>
    <w:p w:rsidR="00E10347" w:rsidRDefault="00E10347" w:rsidP="00E10347">
      <w:pPr>
        <w:pStyle w:val="Ttulo"/>
        <w:jc w:val="left"/>
        <w:rPr>
          <w:rFonts w:ascii="Palatino Linotype" w:hAnsi="Palatino Linotype"/>
          <w:b/>
          <w:i w:val="0"/>
          <w:sz w:val="21"/>
          <w:szCs w:val="21"/>
          <w:u w:val="single"/>
        </w:rPr>
      </w:pPr>
    </w:p>
    <w:p w:rsidR="00A05EF6" w:rsidRPr="00A05EF6" w:rsidRDefault="00A05EF6" w:rsidP="00A05EF6">
      <w:pPr>
        <w:pStyle w:val="Ttulo"/>
        <w:jc w:val="both"/>
        <w:rPr>
          <w:rFonts w:ascii="Palatino Linotype" w:hAnsi="Palatino Linotype"/>
          <w:b/>
          <w:i w:val="0"/>
          <w:sz w:val="21"/>
          <w:szCs w:val="21"/>
          <w:u w:val="single"/>
        </w:rPr>
      </w:pPr>
      <w:r w:rsidRPr="00A05EF6">
        <w:rPr>
          <w:rFonts w:ascii="Palatino Linotype" w:hAnsi="Palatino Linotype"/>
          <w:i w:val="0"/>
          <w:sz w:val="21"/>
          <w:szCs w:val="21"/>
        </w:rPr>
        <w:t>SUMARIO.  Introducción.  1.- Desarrollo histórico de la figura del Perito. 2.- Concepto</w:t>
      </w:r>
      <w:r w:rsidRPr="00A05EF6">
        <w:rPr>
          <w:rFonts w:ascii="Palatino Linotype" w:hAnsi="Palatino Linotype"/>
          <w:i w:val="0"/>
          <w:sz w:val="21"/>
          <w:szCs w:val="21"/>
        </w:rPr>
        <w:tab/>
        <w:t>de Perito. 3.- Concepto de Pericia. 4.- Finalidad de Pericia.  5.- Abordaje Normativo.  6.- Procedencia de la pericia. 7.- Calidad Habilitante. 8.- No pueden actuar como perito. 9.- Inscripción. 10.- Nombramiento.  11.- Dictamen Pericial.  12.- Eficacia Probatoria. 13.- Desarrollo de la figura del consultor técnico.  14.- Antecedentes de interés.  15.- Concepto y requisitos.  16.- Funciones del consultor técnico.  17.- Excusa y Recusación. 18.- Similitudes y Diferencias.  19.- Testigo experto o expert witness. Conclusiones. Bibliografía.</w:t>
      </w:r>
    </w:p>
    <w:p w:rsidR="001E141B" w:rsidRDefault="001E141B" w:rsidP="00E10347">
      <w:pPr>
        <w:pStyle w:val="Ttulo1"/>
        <w:spacing w:before="0"/>
        <w:jc w:val="center"/>
        <w:rPr>
          <w:rFonts w:ascii="Palatino Linotype" w:hAnsi="Palatino Linotype"/>
          <w:i/>
          <w:sz w:val="21"/>
          <w:szCs w:val="21"/>
          <w:u w:val="single"/>
        </w:rPr>
      </w:pPr>
    </w:p>
    <w:p w:rsidR="001E141B" w:rsidRDefault="001E141B" w:rsidP="00E10347">
      <w:pPr>
        <w:pStyle w:val="Ttulo1"/>
        <w:spacing w:before="0"/>
        <w:jc w:val="center"/>
        <w:rPr>
          <w:rFonts w:ascii="Palatino Linotype" w:hAnsi="Palatino Linotype"/>
          <w:i/>
          <w:sz w:val="21"/>
          <w:szCs w:val="21"/>
          <w:u w:val="single"/>
        </w:rPr>
      </w:pPr>
    </w:p>
    <w:p w:rsidR="00E10347" w:rsidRPr="00A05EF6" w:rsidRDefault="00E10347" w:rsidP="00E10347">
      <w:pPr>
        <w:pStyle w:val="Ttulo1"/>
        <w:spacing w:before="0"/>
        <w:jc w:val="center"/>
        <w:rPr>
          <w:rFonts w:ascii="Palatino Linotype" w:hAnsi="Palatino Linotype"/>
          <w:color w:val="auto"/>
          <w:sz w:val="21"/>
          <w:szCs w:val="21"/>
          <w:u w:val="single"/>
        </w:rPr>
      </w:pPr>
      <w:r w:rsidRPr="00A05EF6">
        <w:rPr>
          <w:rFonts w:ascii="Palatino Linotype" w:hAnsi="Palatino Linotype"/>
          <w:i/>
          <w:color w:val="auto"/>
          <w:sz w:val="21"/>
          <w:szCs w:val="21"/>
          <w:u w:val="single"/>
        </w:rPr>
        <w:t>INTRODUCCIÓN</w:t>
      </w:r>
    </w:p>
    <w:p w:rsidR="00E10347" w:rsidRPr="00E10347" w:rsidRDefault="00E10347" w:rsidP="00E10347">
      <w:pPr>
        <w:ind w:firstLine="708"/>
        <w:jc w:val="both"/>
        <w:rPr>
          <w:rFonts w:ascii="Palatino Linotype" w:hAnsi="Palatino Linotype"/>
          <w:sz w:val="21"/>
          <w:szCs w:val="21"/>
          <w:lang w:val="es-MX"/>
        </w:rPr>
      </w:pPr>
      <w:r w:rsidRPr="00E10347">
        <w:rPr>
          <w:rFonts w:ascii="Palatino Linotype" w:hAnsi="Palatino Linotype"/>
          <w:sz w:val="21"/>
          <w:szCs w:val="21"/>
          <w:lang w:val="es-MX"/>
        </w:rPr>
        <w:t>En algunas ocasiones, el interés de establecer la verdad en el proceso, motiva a que determinados datos sean examinados, por terceras personas calificadas, las cuales tienen la característica de poseer un saber científico, técnico o artístico y que auxilian al proceso con sus pericias, encaminadas a apreciar o dar a conocer algún hecho o circunstancia  importante para los efectos de la investigación.</w:t>
      </w:r>
    </w:p>
    <w:p w:rsidR="00E10347" w:rsidRPr="00E10347" w:rsidRDefault="00E10347" w:rsidP="00E10347">
      <w:pPr>
        <w:ind w:firstLine="708"/>
        <w:jc w:val="both"/>
        <w:rPr>
          <w:rFonts w:ascii="Palatino Linotype" w:hAnsi="Palatino Linotype"/>
          <w:sz w:val="21"/>
          <w:szCs w:val="21"/>
          <w:lang w:val="es-MX"/>
        </w:rPr>
      </w:pPr>
      <w:r w:rsidRPr="00E10347">
        <w:rPr>
          <w:rFonts w:ascii="Palatino Linotype" w:hAnsi="Palatino Linotype"/>
          <w:sz w:val="21"/>
          <w:szCs w:val="21"/>
          <w:lang w:val="es-MX"/>
        </w:rPr>
        <w:t>La pericia constituye un deber y por esto nadie puede negarse de acudir al llamamiento del juez.</w:t>
      </w:r>
    </w:p>
    <w:p w:rsidR="001E141B" w:rsidRDefault="00E10347" w:rsidP="001E141B">
      <w:pPr>
        <w:ind w:firstLine="708"/>
        <w:jc w:val="both"/>
        <w:rPr>
          <w:rFonts w:ascii="Palatino Linotype" w:hAnsi="Palatino Linotype"/>
          <w:sz w:val="21"/>
          <w:szCs w:val="21"/>
        </w:rPr>
      </w:pPr>
      <w:r w:rsidRPr="00E10347">
        <w:rPr>
          <w:rFonts w:ascii="Palatino Linotype" w:hAnsi="Palatino Linotype"/>
          <w:sz w:val="21"/>
          <w:szCs w:val="21"/>
        </w:rPr>
        <w:t xml:space="preserve">A continuación, en el presente trabajo estableceremos los aspectos más relevantes de un auxiliar de la parte respectiva que lo ofrece o lo solicita, y es el del denominado Consultor Técnico, que en suma debe de contar con los mismos </w:t>
      </w:r>
      <w:r w:rsidRPr="00E10347">
        <w:rPr>
          <w:rFonts w:ascii="Palatino Linotype" w:hAnsi="Palatino Linotype"/>
          <w:sz w:val="21"/>
          <w:szCs w:val="21"/>
        </w:rPr>
        <w:lastRenderedPageBreak/>
        <w:t>criterios de exigencia profesional y técnica que el del Perito, aunque señalaremos puntualmente las diferencias existentes entre ambas figuras para que el lector pueda visualizarlas de forma clara y apropiada de cara a nuestra realidad procesal penal.</w:t>
      </w:r>
    </w:p>
    <w:p w:rsidR="001E141B" w:rsidRDefault="001E141B" w:rsidP="001E141B">
      <w:pPr>
        <w:jc w:val="both"/>
        <w:rPr>
          <w:rFonts w:ascii="Palatino Linotype" w:hAnsi="Palatino Linotype"/>
          <w:sz w:val="21"/>
          <w:szCs w:val="21"/>
        </w:rPr>
      </w:pPr>
    </w:p>
    <w:p w:rsidR="00E10347" w:rsidRPr="001E141B" w:rsidRDefault="001E141B" w:rsidP="001E141B">
      <w:pPr>
        <w:jc w:val="both"/>
        <w:rPr>
          <w:rFonts w:ascii="Palatino Linotype" w:hAnsi="Palatino Linotype"/>
          <w:sz w:val="21"/>
          <w:szCs w:val="21"/>
        </w:rPr>
      </w:pPr>
      <w:r>
        <w:rPr>
          <w:rFonts w:ascii="Palatino Linotype" w:hAnsi="Palatino Linotype"/>
          <w:sz w:val="21"/>
          <w:szCs w:val="21"/>
        </w:rPr>
        <w:t xml:space="preserve">1.- </w:t>
      </w:r>
      <w:r w:rsidR="00E10347" w:rsidRPr="001E141B">
        <w:rPr>
          <w:rFonts w:ascii="Palatino Linotype" w:hAnsi="Palatino Linotype"/>
          <w:b/>
          <w:sz w:val="21"/>
          <w:szCs w:val="21"/>
        </w:rPr>
        <w:t>Desarrollo histórico de la figura del Perito</w:t>
      </w:r>
    </w:p>
    <w:p w:rsidR="00E10347" w:rsidRPr="00E10347" w:rsidRDefault="00E10347" w:rsidP="00E10347">
      <w:pPr>
        <w:pStyle w:val="Textoindependiente3"/>
        <w:spacing w:line="240" w:lineRule="auto"/>
        <w:ind w:firstLine="360"/>
        <w:rPr>
          <w:rFonts w:ascii="Palatino Linotype" w:hAnsi="Palatino Linotype" w:cs="Arial"/>
          <w:sz w:val="21"/>
          <w:szCs w:val="21"/>
        </w:rPr>
      </w:pPr>
      <w:r w:rsidRPr="00E10347">
        <w:rPr>
          <w:rFonts w:ascii="Palatino Linotype" w:hAnsi="Palatino Linotype" w:cs="Arial"/>
          <w:sz w:val="21"/>
          <w:szCs w:val="21"/>
        </w:rPr>
        <w:t>Analizando la historia de esta figura llamada pericia algunos autores concuerdan en que sobre la misma en el derecho antiguo como ser el caso del derecho griego no se encuentra ningún antecedente de ella, que sin duda, no gozó del privilegio como otras figuras por ejemplo la prueba confesional, testifical entre otras. Estos se puede explicar que pudo haber sido por la complejidad para realizarla o producirla, otra de las causas que se pueden deducir es por la sencillez técnica que presentaban los litigios  de esa época, en donde no se necesitaban grandes conocimientos por la poca evolución social de la época</w:t>
      </w:r>
      <w:r w:rsidRPr="00E10347">
        <w:rPr>
          <w:rFonts w:ascii="Palatino Linotype" w:hAnsi="Palatino Linotype" w:cs="Arial"/>
          <w:b/>
          <w:sz w:val="21"/>
          <w:szCs w:val="21"/>
        </w:rPr>
        <w:t>.</w:t>
      </w:r>
      <w:r w:rsidRPr="00E10347">
        <w:rPr>
          <w:rStyle w:val="Refdenotaalpie"/>
          <w:rFonts w:ascii="Palatino Linotype" w:hAnsi="Palatino Linotype" w:cs="Arial"/>
          <w:b/>
          <w:sz w:val="21"/>
          <w:szCs w:val="21"/>
        </w:rPr>
        <w:footnoteReference w:id="681"/>
      </w:r>
    </w:p>
    <w:p w:rsidR="00E10347" w:rsidRPr="00E10347" w:rsidRDefault="00E10347" w:rsidP="00E10347">
      <w:pPr>
        <w:pStyle w:val="Textoindependiente3"/>
        <w:spacing w:line="240" w:lineRule="auto"/>
        <w:ind w:firstLine="360"/>
        <w:rPr>
          <w:rFonts w:ascii="Palatino Linotype" w:hAnsi="Palatino Linotype" w:cs="Arial"/>
          <w:b/>
          <w:sz w:val="21"/>
          <w:szCs w:val="21"/>
        </w:rPr>
      </w:pPr>
      <w:r w:rsidRPr="00E10347">
        <w:rPr>
          <w:rFonts w:ascii="Palatino Linotype" w:hAnsi="Palatino Linotype" w:cs="Arial"/>
          <w:sz w:val="21"/>
          <w:szCs w:val="21"/>
        </w:rPr>
        <w:t>En el derecho Romano clásico incluso, la pericia como prueba no se encontraba disociada de la función jurisdiccional propiamente dicha,  o en otras palabras se encontraba unida a la misma persona del juez, por cuanto la labor de un experto para resolver el litigio quedaba confiada al propio juez (</w:t>
      </w:r>
      <w:r w:rsidRPr="00E10347">
        <w:rPr>
          <w:rFonts w:ascii="Palatino Linotype" w:hAnsi="Palatino Linotype" w:cs="Arial"/>
          <w:i/>
          <w:sz w:val="21"/>
          <w:szCs w:val="21"/>
        </w:rPr>
        <w:t>iudex).</w:t>
      </w:r>
      <w:r w:rsidRPr="00E10347">
        <w:rPr>
          <w:rFonts w:ascii="Palatino Linotype" w:hAnsi="Palatino Linotype" w:cs="Arial"/>
          <w:b/>
          <w:sz w:val="21"/>
          <w:szCs w:val="21"/>
        </w:rPr>
        <w:t xml:space="preserve"> </w:t>
      </w:r>
      <w:r w:rsidRPr="00E10347">
        <w:rPr>
          <w:rStyle w:val="Refdenotaalpie"/>
          <w:rFonts w:ascii="Palatino Linotype" w:hAnsi="Palatino Linotype" w:cs="Arial"/>
          <w:b/>
          <w:sz w:val="21"/>
          <w:szCs w:val="21"/>
        </w:rPr>
        <w:footnoteReference w:id="682"/>
      </w:r>
    </w:p>
    <w:p w:rsidR="00E10347" w:rsidRPr="00E10347" w:rsidRDefault="00E10347" w:rsidP="00E10347">
      <w:pPr>
        <w:pStyle w:val="Textoindependiente3"/>
        <w:spacing w:line="240" w:lineRule="auto"/>
        <w:ind w:firstLine="360"/>
        <w:rPr>
          <w:rFonts w:ascii="Palatino Linotype" w:hAnsi="Palatino Linotype" w:cs="Arial"/>
          <w:sz w:val="21"/>
          <w:szCs w:val="21"/>
        </w:rPr>
      </w:pPr>
      <w:r w:rsidRPr="00E10347">
        <w:rPr>
          <w:rFonts w:ascii="Palatino Linotype" w:hAnsi="Palatino Linotype" w:cs="Arial"/>
          <w:sz w:val="21"/>
          <w:szCs w:val="21"/>
        </w:rPr>
        <w:t xml:space="preserve">De tal suerte, cuando se requería un conocimiento especial sobre determinada materia para componer la litis, la manera más sencilla y más expeditiva, en la practica, era la de nombrar </w:t>
      </w:r>
      <w:r w:rsidRPr="00E10347">
        <w:rPr>
          <w:rFonts w:ascii="Palatino Linotype" w:hAnsi="Palatino Linotype" w:cs="Arial"/>
          <w:i/>
          <w:sz w:val="21"/>
          <w:szCs w:val="21"/>
        </w:rPr>
        <w:t>iudex</w:t>
      </w:r>
      <w:r w:rsidRPr="00E10347">
        <w:rPr>
          <w:rFonts w:ascii="Palatino Linotype" w:hAnsi="Palatino Linotype" w:cs="Arial"/>
          <w:sz w:val="21"/>
          <w:szCs w:val="21"/>
        </w:rPr>
        <w:t xml:space="preserve"> a una persona experta precisamente en ella que se veía fundida en la misma persona del juez.</w:t>
      </w:r>
    </w:p>
    <w:p w:rsidR="00E10347" w:rsidRPr="00E10347" w:rsidRDefault="00E10347" w:rsidP="00E10347">
      <w:pPr>
        <w:pStyle w:val="Textoindependiente3"/>
        <w:spacing w:line="240" w:lineRule="auto"/>
        <w:ind w:firstLine="360"/>
        <w:rPr>
          <w:rFonts w:ascii="Palatino Linotype" w:hAnsi="Palatino Linotype" w:cs="Arial"/>
          <w:sz w:val="21"/>
          <w:szCs w:val="21"/>
        </w:rPr>
      </w:pPr>
      <w:r w:rsidRPr="00E10347">
        <w:rPr>
          <w:rFonts w:ascii="Palatino Linotype" w:hAnsi="Palatino Linotype" w:cs="Arial"/>
          <w:sz w:val="21"/>
          <w:szCs w:val="21"/>
        </w:rPr>
        <w:t>De esta manera, el juez  no tenía la necesidad de llamar a un perito ya que él era, juez y perito al mismo tiempo.</w:t>
      </w:r>
    </w:p>
    <w:p w:rsidR="00E10347" w:rsidRPr="00E10347" w:rsidRDefault="00E10347" w:rsidP="001E141B">
      <w:pPr>
        <w:pStyle w:val="Textoindependiente3"/>
        <w:spacing w:line="240" w:lineRule="auto"/>
        <w:ind w:firstLine="360"/>
        <w:rPr>
          <w:rFonts w:ascii="Palatino Linotype" w:hAnsi="Palatino Linotype" w:cs="Arial"/>
          <w:sz w:val="21"/>
          <w:szCs w:val="21"/>
        </w:rPr>
      </w:pPr>
      <w:r w:rsidRPr="00E10347">
        <w:rPr>
          <w:rFonts w:ascii="Palatino Linotype" w:hAnsi="Palatino Linotype" w:cs="Arial"/>
          <w:sz w:val="21"/>
          <w:szCs w:val="21"/>
        </w:rPr>
        <w:t xml:space="preserve">En el periodo de la </w:t>
      </w:r>
      <w:r w:rsidRPr="00E10347">
        <w:rPr>
          <w:rFonts w:ascii="Palatino Linotype" w:hAnsi="Palatino Linotype" w:cs="Arial"/>
          <w:i/>
          <w:sz w:val="21"/>
          <w:szCs w:val="21"/>
        </w:rPr>
        <w:t xml:space="preserve">extraordinariae cognitione, </w:t>
      </w:r>
      <w:r w:rsidRPr="00E10347">
        <w:rPr>
          <w:rFonts w:ascii="Palatino Linotype" w:hAnsi="Palatino Linotype" w:cs="Arial"/>
          <w:sz w:val="21"/>
          <w:szCs w:val="21"/>
        </w:rPr>
        <w:t xml:space="preserve">ya en la etapa judicial propiamente dicha de los procedimientos, comenzó a advertirse que se necesitaba de la intervención de peritos terceros y extraños al </w:t>
      </w:r>
      <w:r w:rsidRPr="00E10347">
        <w:rPr>
          <w:rFonts w:ascii="Palatino Linotype" w:hAnsi="Palatino Linotype" w:cs="Arial"/>
          <w:i/>
          <w:sz w:val="21"/>
          <w:szCs w:val="21"/>
        </w:rPr>
        <w:t xml:space="preserve">iudex, </w:t>
      </w:r>
      <w:r w:rsidRPr="00E10347">
        <w:rPr>
          <w:rFonts w:ascii="Palatino Linotype" w:hAnsi="Palatino Linotype" w:cs="Arial"/>
          <w:sz w:val="21"/>
          <w:szCs w:val="21"/>
        </w:rPr>
        <w:t xml:space="preserve">especialmente en el derecho justinianeo, así para hacer las </w:t>
      </w:r>
      <w:r w:rsidRPr="00E10347">
        <w:rPr>
          <w:rFonts w:ascii="Palatino Linotype" w:hAnsi="Palatino Linotype" w:cs="Arial"/>
          <w:i/>
          <w:sz w:val="21"/>
          <w:szCs w:val="21"/>
        </w:rPr>
        <w:t>comparationes</w:t>
      </w:r>
      <w:r w:rsidRPr="00E10347">
        <w:rPr>
          <w:rFonts w:ascii="Palatino Linotype" w:hAnsi="Palatino Linotype" w:cs="Arial"/>
          <w:sz w:val="21"/>
          <w:szCs w:val="21"/>
        </w:rPr>
        <w:t xml:space="preserve"> cuando la parte a quien se le oponía un </w:t>
      </w:r>
      <w:r w:rsidRPr="00E10347">
        <w:rPr>
          <w:rFonts w:ascii="Palatino Linotype" w:hAnsi="Palatino Linotype" w:cs="Arial"/>
          <w:sz w:val="21"/>
          <w:szCs w:val="21"/>
        </w:rPr>
        <w:lastRenderedPageBreak/>
        <w:t>documento negaba su firma; o para establecer la gravidez en causas concernientes al estado civil de las personas, y en las sucesiones.</w:t>
      </w:r>
    </w:p>
    <w:p w:rsidR="00E10347" w:rsidRPr="00E10347" w:rsidRDefault="00E10347" w:rsidP="00E10347">
      <w:pPr>
        <w:pStyle w:val="Textoindependiente3"/>
        <w:spacing w:line="240" w:lineRule="auto"/>
        <w:ind w:firstLine="360"/>
        <w:rPr>
          <w:rFonts w:ascii="Palatino Linotype" w:hAnsi="Palatino Linotype" w:cs="Arial"/>
          <w:sz w:val="21"/>
          <w:szCs w:val="21"/>
        </w:rPr>
      </w:pPr>
      <w:r w:rsidRPr="00E10347">
        <w:rPr>
          <w:rFonts w:ascii="Palatino Linotype" w:hAnsi="Palatino Linotype" w:cs="Arial"/>
          <w:sz w:val="21"/>
          <w:szCs w:val="21"/>
        </w:rPr>
        <w:t>Como se puede observar esta figura nació más por su necesidad de separar ciertas funciones del juez, evitando así cualquier tipo de error y arbitrariedad.</w:t>
      </w:r>
    </w:p>
    <w:p w:rsidR="00E10347" w:rsidRPr="00E10347" w:rsidRDefault="00E10347" w:rsidP="00E10347">
      <w:pPr>
        <w:pStyle w:val="Textoindependiente3"/>
        <w:spacing w:line="240" w:lineRule="auto"/>
        <w:ind w:firstLine="360"/>
        <w:rPr>
          <w:rFonts w:ascii="Palatino Linotype" w:hAnsi="Palatino Linotype" w:cs="Arial"/>
          <w:sz w:val="21"/>
          <w:szCs w:val="21"/>
        </w:rPr>
      </w:pPr>
    </w:p>
    <w:p w:rsidR="00E10347" w:rsidRPr="00E10347" w:rsidRDefault="00E10347" w:rsidP="00E10347">
      <w:pPr>
        <w:pStyle w:val="Textoindependiente3"/>
        <w:spacing w:line="240" w:lineRule="auto"/>
        <w:ind w:firstLine="360"/>
        <w:rPr>
          <w:rFonts w:ascii="Palatino Linotype" w:hAnsi="Palatino Linotype" w:cs="Arial"/>
          <w:sz w:val="21"/>
          <w:szCs w:val="21"/>
        </w:rPr>
      </w:pPr>
      <w:r w:rsidRPr="00E10347">
        <w:rPr>
          <w:rFonts w:ascii="Palatino Linotype" w:hAnsi="Palatino Linotype" w:cs="Arial"/>
          <w:sz w:val="21"/>
          <w:szCs w:val="21"/>
        </w:rPr>
        <w:t>Con la caída del imperio romano, la prueba pericial habría de decaer hasta desaparecer prácticamente de los procedimientos judiciales de la época, por influjo de las primitivas  costumbres que imperaron durante la llamada fase ética o primitiva que le sucedió, traída por los pueblos germanos y francos, fundamentalmente.</w:t>
      </w:r>
    </w:p>
    <w:p w:rsidR="00E10347" w:rsidRPr="00E10347" w:rsidRDefault="00E10347" w:rsidP="00E10347">
      <w:pPr>
        <w:pStyle w:val="Textoindependiente3"/>
        <w:spacing w:line="240" w:lineRule="auto"/>
        <w:ind w:firstLine="360"/>
        <w:rPr>
          <w:rFonts w:ascii="Palatino Linotype" w:hAnsi="Palatino Linotype" w:cs="Arial"/>
          <w:sz w:val="21"/>
          <w:szCs w:val="21"/>
        </w:rPr>
      </w:pPr>
      <w:r w:rsidRPr="00E10347">
        <w:rPr>
          <w:rFonts w:ascii="Palatino Linotype" w:hAnsi="Palatino Linotype" w:cs="Arial"/>
          <w:sz w:val="21"/>
          <w:szCs w:val="21"/>
        </w:rPr>
        <w:t>Posteriormente, y a resultas de la influencia del Derecho canónico, esta prueba volvió a ser empleada gracias al renacimiento de los estudios del sistema romano de la época del imperio -y su aplicación en la experiencia judicial-, aunque no sin sufrir profundas transformaciones.</w:t>
      </w:r>
    </w:p>
    <w:p w:rsidR="00E10347" w:rsidRPr="00E10347" w:rsidRDefault="00E10347" w:rsidP="00E10347">
      <w:pPr>
        <w:pStyle w:val="Textoindependiente3"/>
        <w:spacing w:line="240" w:lineRule="auto"/>
        <w:ind w:firstLine="360"/>
        <w:rPr>
          <w:rFonts w:ascii="Palatino Linotype" w:hAnsi="Palatino Linotype" w:cs="Arial"/>
          <w:sz w:val="21"/>
          <w:szCs w:val="21"/>
        </w:rPr>
      </w:pPr>
      <w:r w:rsidRPr="00E10347">
        <w:rPr>
          <w:rFonts w:ascii="Palatino Linotype" w:hAnsi="Palatino Linotype" w:cs="Arial"/>
          <w:sz w:val="21"/>
          <w:szCs w:val="21"/>
        </w:rPr>
        <w:t xml:space="preserve">Reapareció pues la practica pericial como prueba ya muy avanzada la edad media, inserta en ese proceso común que se fue formando o gestando a partir de la fusión de diversos institutos provenientes de los derechos romanos, canónico y germano, confundida en sus comienzos con el testimonio de terceros, tal cual lo revelan, por ejemplo, las figuras del </w:t>
      </w:r>
      <w:r w:rsidRPr="00E10347">
        <w:rPr>
          <w:rFonts w:ascii="Palatino Linotype" w:hAnsi="Palatino Linotype" w:cs="Arial"/>
          <w:i/>
          <w:sz w:val="21"/>
          <w:szCs w:val="21"/>
        </w:rPr>
        <w:t>testis</w:t>
      </w:r>
      <w:r w:rsidRPr="00E10347">
        <w:rPr>
          <w:rFonts w:ascii="Palatino Linotype" w:hAnsi="Palatino Linotype" w:cs="Arial"/>
          <w:sz w:val="21"/>
          <w:szCs w:val="21"/>
        </w:rPr>
        <w:t xml:space="preserve"> </w:t>
      </w:r>
      <w:r w:rsidRPr="00E10347">
        <w:rPr>
          <w:rFonts w:ascii="Palatino Linotype" w:hAnsi="Palatino Linotype" w:cs="Arial"/>
          <w:i/>
          <w:sz w:val="21"/>
          <w:szCs w:val="21"/>
        </w:rPr>
        <w:t>peritus</w:t>
      </w:r>
      <w:r w:rsidRPr="00E10347">
        <w:rPr>
          <w:rFonts w:ascii="Palatino Linotype" w:hAnsi="Palatino Linotype" w:cs="Arial"/>
          <w:sz w:val="21"/>
          <w:szCs w:val="21"/>
        </w:rPr>
        <w:t xml:space="preserve"> y del</w:t>
      </w:r>
      <w:r w:rsidRPr="00E10347">
        <w:rPr>
          <w:rFonts w:ascii="Palatino Linotype" w:hAnsi="Palatino Linotype" w:cs="Arial"/>
          <w:i/>
          <w:sz w:val="21"/>
          <w:szCs w:val="21"/>
        </w:rPr>
        <w:t xml:space="preserve">  peritus asesor </w:t>
      </w:r>
      <w:r w:rsidRPr="00E10347">
        <w:rPr>
          <w:rFonts w:ascii="Palatino Linotype" w:hAnsi="Palatino Linotype" w:cs="Arial"/>
          <w:sz w:val="21"/>
          <w:szCs w:val="21"/>
        </w:rPr>
        <w:t xml:space="preserve">o </w:t>
      </w:r>
      <w:r w:rsidRPr="00E10347">
        <w:rPr>
          <w:rFonts w:ascii="Palatino Linotype" w:hAnsi="Palatino Linotype" w:cs="Arial"/>
          <w:i/>
          <w:sz w:val="21"/>
          <w:szCs w:val="21"/>
        </w:rPr>
        <w:t>consigliarius</w:t>
      </w:r>
      <w:r w:rsidRPr="00E10347">
        <w:rPr>
          <w:rFonts w:ascii="Palatino Linotype" w:hAnsi="Palatino Linotype" w:cs="Arial"/>
          <w:sz w:val="21"/>
          <w:szCs w:val="21"/>
        </w:rPr>
        <w:t xml:space="preserve"> del derecho canónico, aunque poco a poco se habría de ir perfilando las notas que separan o distinguen al testigo del perito.</w:t>
      </w:r>
    </w:p>
    <w:p w:rsidR="00E10347" w:rsidRPr="00E10347" w:rsidRDefault="00E10347" w:rsidP="00E10347">
      <w:pPr>
        <w:pStyle w:val="Textoindependiente3"/>
        <w:spacing w:line="240" w:lineRule="auto"/>
        <w:ind w:firstLine="360"/>
        <w:rPr>
          <w:rFonts w:ascii="Palatino Linotype" w:hAnsi="Palatino Linotype" w:cs="Arial"/>
          <w:sz w:val="21"/>
          <w:szCs w:val="21"/>
        </w:rPr>
      </w:pPr>
      <w:r w:rsidRPr="00E10347">
        <w:rPr>
          <w:rFonts w:ascii="Palatino Linotype" w:hAnsi="Palatino Linotype" w:cs="Arial"/>
          <w:sz w:val="21"/>
          <w:szCs w:val="21"/>
        </w:rPr>
        <w:t>Como se puede observar uno de los problemas que tuvieron que enfrentar los antiguos, fue el de, tratar de separar en primer lugar, al perito de la persona del juez y, posteriormente se trato de desligarlo de la figura del testigo.</w:t>
      </w:r>
    </w:p>
    <w:p w:rsidR="00E10347" w:rsidRDefault="00E10347" w:rsidP="00E10347">
      <w:pPr>
        <w:pStyle w:val="Textoindependiente3"/>
        <w:spacing w:line="240" w:lineRule="auto"/>
        <w:ind w:firstLine="360"/>
        <w:rPr>
          <w:rFonts w:ascii="Palatino Linotype" w:hAnsi="Palatino Linotype" w:cs="Arial"/>
          <w:sz w:val="21"/>
          <w:szCs w:val="21"/>
        </w:rPr>
      </w:pPr>
      <w:r w:rsidRPr="00E10347">
        <w:rPr>
          <w:rFonts w:ascii="Palatino Linotype" w:hAnsi="Palatino Linotype" w:cs="Arial"/>
          <w:sz w:val="21"/>
          <w:szCs w:val="21"/>
        </w:rPr>
        <w:t xml:space="preserve">Desde entonces, la prueba pericial  fue paulatinamente incorporada a la mayoría de los ordenamientos procésales de fines del siglo XIX, de donde se tomaron las legislaciones latinoamericanas, cobrando un vital papel en los procedimientos judiciales, de manera proporcional con los avances de la ciencia y la tecnología que han venido operándose desde entonces. </w:t>
      </w:r>
      <w:r w:rsidRPr="00E10347">
        <w:rPr>
          <w:rStyle w:val="Refdenotaalpie"/>
          <w:rFonts w:ascii="Palatino Linotype" w:hAnsi="Palatino Linotype" w:cs="Arial"/>
          <w:sz w:val="21"/>
          <w:szCs w:val="21"/>
        </w:rPr>
        <w:footnoteReference w:id="683"/>
      </w:r>
    </w:p>
    <w:p w:rsidR="00E429E2" w:rsidRPr="00E10347" w:rsidRDefault="00E429E2" w:rsidP="00E10347">
      <w:pPr>
        <w:pStyle w:val="Textoindependiente3"/>
        <w:spacing w:line="240" w:lineRule="auto"/>
        <w:ind w:firstLine="360"/>
        <w:rPr>
          <w:rFonts w:ascii="Palatino Linotype" w:hAnsi="Palatino Linotype" w:cs="Arial"/>
          <w:sz w:val="21"/>
          <w:szCs w:val="21"/>
        </w:rPr>
      </w:pPr>
    </w:p>
    <w:p w:rsidR="00E10347" w:rsidRPr="00E10347" w:rsidRDefault="00E10347" w:rsidP="00E10347">
      <w:pPr>
        <w:pStyle w:val="Textoindependiente3"/>
        <w:spacing w:line="240" w:lineRule="auto"/>
        <w:ind w:firstLine="360"/>
        <w:rPr>
          <w:rFonts w:ascii="Palatino Linotype" w:hAnsi="Palatino Linotype"/>
          <w:sz w:val="21"/>
          <w:szCs w:val="21"/>
        </w:rPr>
      </w:pPr>
    </w:p>
    <w:p w:rsidR="00E10347" w:rsidRPr="00E10347" w:rsidRDefault="00E10347" w:rsidP="00E83320">
      <w:pPr>
        <w:pStyle w:val="Prrafodelista"/>
        <w:widowControl/>
        <w:numPr>
          <w:ilvl w:val="0"/>
          <w:numId w:val="11"/>
        </w:numPr>
        <w:autoSpaceDE/>
        <w:autoSpaceDN/>
        <w:adjustRightInd/>
        <w:ind w:hanging="360"/>
        <w:jc w:val="both"/>
        <w:rPr>
          <w:rFonts w:ascii="Palatino Linotype" w:hAnsi="Palatino Linotype"/>
          <w:b/>
          <w:sz w:val="21"/>
          <w:szCs w:val="21"/>
          <w:u w:val="single"/>
          <w:lang w:val="es-MX"/>
        </w:rPr>
      </w:pPr>
      <w:r w:rsidRPr="00E10347">
        <w:rPr>
          <w:rFonts w:ascii="Palatino Linotype" w:hAnsi="Palatino Linotype"/>
          <w:b/>
          <w:sz w:val="21"/>
          <w:szCs w:val="21"/>
          <w:u w:val="single"/>
          <w:lang w:val="es-MX"/>
        </w:rPr>
        <w:t xml:space="preserve">Concepto de Perito: </w:t>
      </w:r>
    </w:p>
    <w:p w:rsidR="00E10347" w:rsidRPr="00E10347" w:rsidRDefault="00E10347" w:rsidP="00E10347">
      <w:pPr>
        <w:ind w:firstLine="360"/>
        <w:jc w:val="both"/>
        <w:rPr>
          <w:rFonts w:ascii="Palatino Linotype" w:hAnsi="Palatino Linotype"/>
          <w:sz w:val="21"/>
          <w:szCs w:val="21"/>
          <w:lang w:val="es-MX"/>
        </w:rPr>
      </w:pPr>
      <w:r w:rsidRPr="00E10347">
        <w:rPr>
          <w:rFonts w:ascii="Palatino Linotype" w:hAnsi="Palatino Linotype"/>
          <w:sz w:val="21"/>
          <w:szCs w:val="21"/>
          <w:lang w:val="es-MX"/>
        </w:rPr>
        <w:lastRenderedPageBreak/>
        <w:t>Lo  cierto es que  juez no es un sujeto que lo sepa todo y cuando se tiene que definir o fijar los hechos en una causa este por la naturaleza de los mismos requiere de conocimientos especiales; motivo por el cual se tiene que acudir a quienes poseen esos conocimientos para así obtener la verdad sobre los hechos que se están sometiendo a su consideración</w:t>
      </w:r>
    </w:p>
    <w:p w:rsidR="00E10347" w:rsidRPr="00E10347" w:rsidRDefault="00E10347" w:rsidP="00E10347">
      <w:pPr>
        <w:pStyle w:val="Textoindependiente3"/>
        <w:spacing w:line="240" w:lineRule="auto"/>
        <w:ind w:firstLine="360"/>
        <w:rPr>
          <w:rFonts w:ascii="Palatino Linotype" w:hAnsi="Palatino Linotype" w:cs="Arial"/>
          <w:sz w:val="21"/>
          <w:szCs w:val="21"/>
        </w:rPr>
      </w:pPr>
      <w:r w:rsidRPr="00E10347">
        <w:rPr>
          <w:rFonts w:ascii="Palatino Linotype" w:hAnsi="Palatino Linotype" w:cs="Arial"/>
          <w:sz w:val="21"/>
          <w:szCs w:val="21"/>
        </w:rPr>
        <w:t xml:space="preserve">A medida que la sociedad fue evolucionando la solución jurisdiccional de los conflictos dependió, en proporción creciente de la información dada por estos especialistas (peritos) </w:t>
      </w:r>
      <w:r w:rsidRPr="00E10347">
        <w:rPr>
          <w:rStyle w:val="Refdenotaalpie"/>
          <w:rFonts w:ascii="Palatino Linotype" w:hAnsi="Palatino Linotype" w:cs="Arial"/>
          <w:sz w:val="21"/>
          <w:szCs w:val="21"/>
        </w:rPr>
        <w:footnoteReference w:id="684"/>
      </w:r>
      <w:r w:rsidRPr="00E10347">
        <w:rPr>
          <w:rFonts w:ascii="Palatino Linotype" w:hAnsi="Palatino Linotype" w:cs="Arial"/>
          <w:sz w:val="21"/>
          <w:szCs w:val="21"/>
        </w:rPr>
        <w:t xml:space="preserve"> en los más diversos saberes. </w:t>
      </w:r>
    </w:p>
    <w:p w:rsidR="00E10347" w:rsidRPr="00E10347" w:rsidRDefault="00E10347" w:rsidP="00E10347">
      <w:pPr>
        <w:ind w:firstLine="360"/>
        <w:jc w:val="both"/>
        <w:rPr>
          <w:rFonts w:ascii="Palatino Linotype" w:hAnsi="Palatino Linotype"/>
          <w:sz w:val="21"/>
          <w:szCs w:val="21"/>
          <w:lang w:val="es-MX"/>
        </w:rPr>
      </w:pPr>
      <w:r w:rsidRPr="00E10347">
        <w:rPr>
          <w:rFonts w:ascii="Palatino Linotype" w:hAnsi="Palatino Linotype"/>
          <w:sz w:val="21"/>
          <w:szCs w:val="21"/>
          <w:lang w:val="es-MX"/>
        </w:rPr>
        <w:t xml:space="preserve">La conciencia de esta realidad abrió el debate –aun no cerrado- sobre la </w:t>
      </w:r>
      <w:r w:rsidRPr="00E10347">
        <w:rPr>
          <w:rFonts w:ascii="Palatino Linotype" w:hAnsi="Palatino Linotype"/>
          <w:i/>
          <w:sz w:val="21"/>
          <w:szCs w:val="21"/>
          <w:lang w:val="es-MX"/>
        </w:rPr>
        <w:t>naturaleza</w:t>
      </w:r>
      <w:r w:rsidRPr="00E10347">
        <w:rPr>
          <w:rFonts w:ascii="Palatino Linotype" w:hAnsi="Palatino Linotype"/>
          <w:sz w:val="21"/>
          <w:szCs w:val="21"/>
          <w:lang w:val="es-MX"/>
        </w:rPr>
        <w:t xml:space="preserve"> de la pericia y las pautas que han de regir la ponderación de su fuerza probatoria. </w:t>
      </w:r>
      <w:r w:rsidRPr="00E10347">
        <w:rPr>
          <w:rStyle w:val="Refdenotaalpie"/>
          <w:rFonts w:ascii="Palatino Linotype" w:hAnsi="Palatino Linotype"/>
          <w:sz w:val="21"/>
          <w:szCs w:val="21"/>
          <w:lang w:val="es-MX"/>
        </w:rPr>
        <w:footnoteReference w:id="685"/>
      </w:r>
    </w:p>
    <w:p w:rsidR="00E10347" w:rsidRPr="00E10347" w:rsidRDefault="00E10347" w:rsidP="00E10347">
      <w:pPr>
        <w:ind w:firstLine="360"/>
        <w:jc w:val="both"/>
        <w:rPr>
          <w:rFonts w:ascii="Palatino Linotype" w:hAnsi="Palatino Linotype"/>
          <w:i/>
          <w:sz w:val="21"/>
          <w:szCs w:val="21"/>
          <w:lang w:val="es-MX"/>
        </w:rPr>
      </w:pPr>
      <w:r w:rsidRPr="00E10347">
        <w:rPr>
          <w:rFonts w:ascii="Palatino Linotype" w:hAnsi="Palatino Linotype"/>
          <w:sz w:val="21"/>
          <w:szCs w:val="21"/>
          <w:lang w:val="es-MX"/>
        </w:rPr>
        <w:t xml:space="preserve">La palabra </w:t>
      </w:r>
      <w:r w:rsidRPr="00E10347">
        <w:rPr>
          <w:rFonts w:ascii="Palatino Linotype" w:hAnsi="Palatino Linotype"/>
          <w:b/>
          <w:i/>
          <w:sz w:val="21"/>
          <w:szCs w:val="21"/>
          <w:u w:val="single"/>
          <w:lang w:val="es-MX"/>
        </w:rPr>
        <w:t>PERITO</w:t>
      </w:r>
      <w:r w:rsidRPr="00E10347">
        <w:rPr>
          <w:rFonts w:ascii="Palatino Linotype" w:hAnsi="Palatino Linotype"/>
          <w:sz w:val="21"/>
          <w:szCs w:val="21"/>
          <w:lang w:val="es-MX"/>
        </w:rPr>
        <w:t xml:space="preserve"> proviene del latín, </w:t>
      </w:r>
      <w:r w:rsidRPr="00E10347">
        <w:rPr>
          <w:rFonts w:ascii="Palatino Linotype" w:hAnsi="Palatino Linotype"/>
          <w:b/>
          <w:i/>
          <w:sz w:val="21"/>
          <w:szCs w:val="21"/>
          <w:u w:val="single"/>
          <w:lang w:val="es-MX"/>
        </w:rPr>
        <w:t>peritus</w:t>
      </w:r>
      <w:r w:rsidRPr="00E10347">
        <w:rPr>
          <w:rFonts w:ascii="Palatino Linotype" w:hAnsi="Palatino Linotype"/>
          <w:i/>
          <w:sz w:val="21"/>
          <w:szCs w:val="21"/>
          <w:lang w:val="es-MX"/>
        </w:rPr>
        <w:t xml:space="preserve">: que significa </w:t>
      </w:r>
      <w:r w:rsidRPr="00E10347">
        <w:rPr>
          <w:rFonts w:ascii="Palatino Linotype" w:hAnsi="Palatino Linotype"/>
          <w:sz w:val="21"/>
          <w:szCs w:val="21"/>
          <w:lang w:val="es-MX"/>
        </w:rPr>
        <w:t>docto, experimentado, practico en una ciencia o arte.</w:t>
      </w:r>
    </w:p>
    <w:p w:rsidR="00E10347" w:rsidRPr="00E10347" w:rsidRDefault="00E10347" w:rsidP="00E10347">
      <w:pPr>
        <w:ind w:firstLine="360"/>
        <w:jc w:val="both"/>
        <w:rPr>
          <w:rFonts w:ascii="Palatino Linotype" w:hAnsi="Palatino Linotype"/>
          <w:sz w:val="21"/>
          <w:szCs w:val="21"/>
          <w:lang w:val="es-MX"/>
        </w:rPr>
      </w:pPr>
      <w:r w:rsidRPr="00E10347">
        <w:rPr>
          <w:rFonts w:ascii="Palatino Linotype" w:hAnsi="Palatino Linotype"/>
          <w:sz w:val="21"/>
          <w:szCs w:val="21"/>
          <w:lang w:val="es-MX"/>
        </w:rPr>
        <w:t xml:space="preserve">Existen diversidad de conceptos sobre esta persona, trataremos de definir la persona del perito desde diversos  puntos de vista: </w:t>
      </w:r>
    </w:p>
    <w:p w:rsidR="00E10347" w:rsidRPr="00E10347" w:rsidRDefault="00E10347" w:rsidP="00E10347">
      <w:pPr>
        <w:jc w:val="both"/>
        <w:rPr>
          <w:rFonts w:ascii="Palatino Linotype" w:hAnsi="Palatino Linotype"/>
          <w:b/>
          <w:sz w:val="21"/>
          <w:szCs w:val="21"/>
          <w:u w:val="single"/>
          <w:lang w:val="es-MX"/>
        </w:rPr>
      </w:pPr>
    </w:p>
    <w:p w:rsidR="00E10347" w:rsidRPr="00E10347" w:rsidRDefault="00E10347" w:rsidP="00E10347">
      <w:pPr>
        <w:jc w:val="both"/>
        <w:rPr>
          <w:rFonts w:ascii="Palatino Linotype" w:hAnsi="Palatino Linotype"/>
          <w:i/>
          <w:sz w:val="21"/>
          <w:szCs w:val="21"/>
          <w:lang w:val="es-MX"/>
        </w:rPr>
      </w:pPr>
      <w:r w:rsidRPr="00E10347">
        <w:rPr>
          <w:rFonts w:ascii="Palatino Linotype" w:hAnsi="Palatino Linotype"/>
          <w:b/>
          <w:sz w:val="21"/>
          <w:szCs w:val="21"/>
          <w:u w:val="single"/>
          <w:lang w:val="es-MX"/>
        </w:rPr>
        <w:t>GARCÍA</w:t>
      </w:r>
      <w:r w:rsidRPr="00E10347">
        <w:rPr>
          <w:rFonts w:ascii="Palatino Linotype" w:hAnsi="Palatino Linotype"/>
          <w:b/>
          <w:sz w:val="21"/>
          <w:szCs w:val="21"/>
          <w:lang w:val="es-MX"/>
        </w:rPr>
        <w:t xml:space="preserve"> </w:t>
      </w:r>
      <w:r w:rsidRPr="00E10347">
        <w:rPr>
          <w:rFonts w:ascii="Palatino Linotype" w:hAnsi="Palatino Linotype"/>
          <w:sz w:val="21"/>
          <w:szCs w:val="21"/>
          <w:lang w:val="es-MX"/>
        </w:rPr>
        <w:t>RAMÍREZ</w:t>
      </w:r>
      <w:r w:rsidRPr="00E10347">
        <w:rPr>
          <w:rFonts w:ascii="Palatino Linotype" w:hAnsi="Palatino Linotype"/>
          <w:b/>
          <w:sz w:val="21"/>
          <w:szCs w:val="21"/>
          <w:lang w:val="es-MX"/>
        </w:rPr>
        <w:t xml:space="preserve"> </w:t>
      </w:r>
      <w:r w:rsidRPr="00E10347">
        <w:rPr>
          <w:rFonts w:ascii="Palatino Linotype" w:hAnsi="Palatino Linotype"/>
          <w:sz w:val="21"/>
          <w:szCs w:val="21"/>
          <w:lang w:val="es-MX"/>
        </w:rPr>
        <w:t>menciona; “</w:t>
      </w:r>
      <w:r w:rsidRPr="00E10347">
        <w:rPr>
          <w:rFonts w:ascii="Palatino Linotype" w:hAnsi="Palatino Linotype"/>
          <w:i/>
          <w:sz w:val="21"/>
          <w:szCs w:val="21"/>
          <w:u w:val="single"/>
          <w:lang w:val="es-MX"/>
        </w:rPr>
        <w:t>Perito</w:t>
      </w:r>
      <w:r w:rsidRPr="00E10347">
        <w:rPr>
          <w:rFonts w:ascii="Palatino Linotype" w:hAnsi="Palatino Linotype"/>
          <w:i/>
          <w:sz w:val="21"/>
          <w:szCs w:val="21"/>
          <w:lang w:val="es-MX"/>
        </w:rPr>
        <w:t xml:space="preserve"> es quien integra el conocimiento del juzgador cuando se requiere la posesión y aportación de conocimientos especiales sobre una ciencia, arte o disciplina, diversos del derecho, en un caso concreto llevado a la decisión jurisdiccional”</w:t>
      </w:r>
      <w:r w:rsidRPr="00E10347">
        <w:rPr>
          <w:rStyle w:val="Refdenotaalpie"/>
          <w:rFonts w:ascii="Palatino Linotype" w:hAnsi="Palatino Linotype"/>
          <w:i/>
          <w:sz w:val="21"/>
          <w:szCs w:val="21"/>
          <w:lang w:val="es-MX"/>
        </w:rPr>
        <w:footnoteReference w:id="686"/>
      </w:r>
      <w:r w:rsidRPr="00E10347">
        <w:rPr>
          <w:rFonts w:ascii="Palatino Linotype" w:hAnsi="Palatino Linotype"/>
          <w:i/>
          <w:sz w:val="21"/>
          <w:szCs w:val="21"/>
          <w:lang w:val="es-MX"/>
        </w:rPr>
        <w:t xml:space="preserve"> </w:t>
      </w:r>
    </w:p>
    <w:p w:rsidR="00E10347" w:rsidRPr="00E10347" w:rsidRDefault="005E7ABE" w:rsidP="005E7ABE">
      <w:pPr>
        <w:tabs>
          <w:tab w:val="left" w:pos="6405"/>
        </w:tabs>
        <w:jc w:val="both"/>
        <w:rPr>
          <w:rFonts w:ascii="Palatino Linotype" w:hAnsi="Palatino Linotype"/>
          <w:i/>
          <w:sz w:val="21"/>
          <w:szCs w:val="21"/>
          <w:lang w:val="es-MX"/>
        </w:rPr>
      </w:pPr>
      <w:r>
        <w:rPr>
          <w:rFonts w:ascii="Palatino Linotype" w:hAnsi="Palatino Linotype"/>
          <w:i/>
          <w:sz w:val="21"/>
          <w:szCs w:val="21"/>
          <w:lang w:val="es-MX"/>
        </w:rPr>
        <w:tab/>
      </w:r>
    </w:p>
    <w:p w:rsidR="00E10347" w:rsidRPr="00E10347" w:rsidRDefault="00E10347" w:rsidP="00E10347">
      <w:pPr>
        <w:jc w:val="both"/>
        <w:rPr>
          <w:rFonts w:ascii="Palatino Linotype" w:hAnsi="Palatino Linotype"/>
          <w:sz w:val="21"/>
          <w:szCs w:val="21"/>
          <w:lang w:val="es-MX"/>
        </w:rPr>
      </w:pPr>
      <w:r w:rsidRPr="00E10347">
        <w:rPr>
          <w:rFonts w:ascii="Palatino Linotype" w:hAnsi="Palatino Linotype"/>
          <w:b/>
          <w:sz w:val="21"/>
          <w:szCs w:val="21"/>
          <w:lang w:val="es-MX"/>
        </w:rPr>
        <w:t xml:space="preserve"> </w:t>
      </w:r>
      <w:r w:rsidRPr="00E10347">
        <w:rPr>
          <w:rFonts w:ascii="Palatino Linotype" w:hAnsi="Palatino Linotype"/>
          <w:b/>
          <w:sz w:val="21"/>
          <w:szCs w:val="21"/>
          <w:u w:val="single"/>
          <w:lang w:val="es-MX"/>
        </w:rPr>
        <w:t>MORENO CATENA</w:t>
      </w:r>
      <w:r w:rsidRPr="00E10347">
        <w:rPr>
          <w:rFonts w:ascii="Palatino Linotype" w:hAnsi="Palatino Linotype"/>
          <w:b/>
          <w:sz w:val="21"/>
          <w:szCs w:val="21"/>
          <w:lang w:val="es-MX"/>
        </w:rPr>
        <w:t xml:space="preserve"> </w:t>
      </w:r>
      <w:r w:rsidRPr="00E10347">
        <w:rPr>
          <w:rFonts w:ascii="Palatino Linotype" w:hAnsi="Palatino Linotype"/>
          <w:sz w:val="21"/>
          <w:szCs w:val="21"/>
          <w:lang w:val="es-MX"/>
        </w:rPr>
        <w:t xml:space="preserve">define el  </w:t>
      </w:r>
      <w:r w:rsidRPr="00E10347">
        <w:rPr>
          <w:rFonts w:ascii="Palatino Linotype" w:hAnsi="Palatino Linotype"/>
          <w:sz w:val="21"/>
          <w:szCs w:val="21"/>
          <w:u w:val="single"/>
          <w:lang w:val="es-MX"/>
        </w:rPr>
        <w:t>Perito</w:t>
      </w:r>
      <w:r w:rsidRPr="00E10347">
        <w:rPr>
          <w:rFonts w:ascii="Palatino Linotype" w:hAnsi="Palatino Linotype"/>
          <w:sz w:val="21"/>
          <w:szCs w:val="21"/>
          <w:lang w:val="es-MX"/>
        </w:rPr>
        <w:t xml:space="preserve"> como </w:t>
      </w:r>
      <w:r w:rsidRPr="00E10347">
        <w:rPr>
          <w:rFonts w:ascii="Palatino Linotype" w:hAnsi="Palatino Linotype"/>
          <w:i/>
          <w:sz w:val="21"/>
          <w:szCs w:val="21"/>
          <w:lang w:val="es-MX"/>
        </w:rPr>
        <w:t xml:space="preserve">“ una </w:t>
      </w:r>
      <w:r w:rsidRPr="00E10347">
        <w:rPr>
          <w:rFonts w:ascii="Palatino Linotype" w:hAnsi="Palatino Linotype"/>
          <w:i/>
          <w:sz w:val="21"/>
          <w:szCs w:val="21"/>
          <w:u w:val="single"/>
          <w:lang w:val="es-MX"/>
        </w:rPr>
        <w:t>persona</w:t>
      </w:r>
      <w:r w:rsidRPr="00E10347">
        <w:rPr>
          <w:rFonts w:ascii="Palatino Linotype" w:hAnsi="Palatino Linotype"/>
          <w:i/>
          <w:sz w:val="21"/>
          <w:szCs w:val="21"/>
          <w:lang w:val="es-MX"/>
        </w:rPr>
        <w:t xml:space="preserve"> con conocimientos científicos  o artísticos de  los que el Juez, por su especifica preparación jurídica, puede carecer, llamado al procedimiento precisamente para </w:t>
      </w:r>
      <w:r w:rsidRPr="00E10347">
        <w:rPr>
          <w:rFonts w:ascii="Palatino Linotype" w:hAnsi="Palatino Linotype"/>
          <w:i/>
          <w:sz w:val="21"/>
          <w:szCs w:val="21"/>
          <w:u w:val="single"/>
          <w:lang w:val="es-MX"/>
        </w:rPr>
        <w:t>apreciar</w:t>
      </w:r>
      <w:r w:rsidRPr="00E10347">
        <w:rPr>
          <w:rFonts w:ascii="Palatino Linotype" w:hAnsi="Palatino Linotype"/>
          <w:i/>
          <w:sz w:val="21"/>
          <w:szCs w:val="21"/>
          <w:lang w:val="es-MX"/>
        </w:rPr>
        <w:t xml:space="preserve">, mediante máximas de experiencia especializados propios de su preparación, algún </w:t>
      </w:r>
      <w:r w:rsidRPr="00E10347">
        <w:rPr>
          <w:rFonts w:ascii="Palatino Linotype" w:hAnsi="Palatino Linotype"/>
          <w:i/>
          <w:sz w:val="21"/>
          <w:szCs w:val="21"/>
          <w:u w:val="single"/>
          <w:lang w:val="es-MX"/>
        </w:rPr>
        <w:t>hecho</w:t>
      </w:r>
      <w:r w:rsidRPr="00E10347">
        <w:rPr>
          <w:rFonts w:ascii="Palatino Linotype" w:hAnsi="Palatino Linotype"/>
          <w:i/>
          <w:sz w:val="21"/>
          <w:szCs w:val="21"/>
          <w:lang w:val="es-MX"/>
        </w:rPr>
        <w:t xml:space="preserve"> o circunstancia que han sido adquiridas con anterioridad por otros medios de averiguación y sean de </w:t>
      </w:r>
      <w:r w:rsidRPr="00E10347">
        <w:rPr>
          <w:rFonts w:ascii="Palatino Linotype" w:hAnsi="Palatino Linotype"/>
          <w:i/>
          <w:sz w:val="21"/>
          <w:szCs w:val="21"/>
          <w:u w:val="single"/>
          <w:lang w:val="es-MX"/>
        </w:rPr>
        <w:t>interés</w:t>
      </w:r>
      <w:r w:rsidRPr="00E10347">
        <w:rPr>
          <w:rFonts w:ascii="Palatino Linotype" w:hAnsi="Palatino Linotype"/>
          <w:i/>
          <w:sz w:val="21"/>
          <w:szCs w:val="21"/>
          <w:lang w:val="es-MX"/>
        </w:rPr>
        <w:t xml:space="preserve"> y </w:t>
      </w:r>
      <w:r w:rsidRPr="00E10347">
        <w:rPr>
          <w:rFonts w:ascii="Palatino Linotype" w:hAnsi="Palatino Linotype"/>
          <w:i/>
          <w:sz w:val="21"/>
          <w:szCs w:val="21"/>
          <w:u w:val="single"/>
          <w:lang w:val="es-MX"/>
        </w:rPr>
        <w:t>necesidad</w:t>
      </w:r>
      <w:r w:rsidRPr="00E10347">
        <w:rPr>
          <w:rFonts w:ascii="Palatino Linotype" w:hAnsi="Palatino Linotype"/>
          <w:i/>
          <w:sz w:val="21"/>
          <w:szCs w:val="21"/>
          <w:lang w:val="es-MX"/>
        </w:rPr>
        <w:t xml:space="preserve"> para la investigación</w:t>
      </w:r>
      <w:r w:rsidRPr="00E10347">
        <w:rPr>
          <w:rFonts w:ascii="Palatino Linotype" w:hAnsi="Palatino Linotype"/>
          <w:sz w:val="21"/>
          <w:szCs w:val="21"/>
          <w:lang w:val="es-MX"/>
        </w:rPr>
        <w:t xml:space="preserve">” </w:t>
      </w:r>
      <w:r w:rsidRPr="00E10347">
        <w:rPr>
          <w:rStyle w:val="Refdenotaalpie"/>
          <w:rFonts w:ascii="Palatino Linotype" w:hAnsi="Palatino Linotype"/>
          <w:sz w:val="21"/>
          <w:szCs w:val="21"/>
          <w:lang w:val="es-MX"/>
        </w:rPr>
        <w:footnoteReference w:id="687"/>
      </w:r>
    </w:p>
    <w:p w:rsidR="00E10347" w:rsidRPr="00E10347" w:rsidRDefault="00E10347" w:rsidP="00E10347">
      <w:pPr>
        <w:jc w:val="both"/>
        <w:rPr>
          <w:rFonts w:ascii="Palatino Linotype" w:hAnsi="Palatino Linotype"/>
          <w:b/>
          <w:sz w:val="21"/>
          <w:szCs w:val="21"/>
          <w:u w:val="single"/>
          <w:lang w:val="es-MX"/>
        </w:rPr>
      </w:pPr>
    </w:p>
    <w:p w:rsidR="00E10347" w:rsidRPr="00E10347" w:rsidRDefault="00E10347" w:rsidP="00E10347">
      <w:pPr>
        <w:jc w:val="both"/>
        <w:rPr>
          <w:rFonts w:ascii="Palatino Linotype" w:hAnsi="Palatino Linotype"/>
          <w:sz w:val="21"/>
          <w:szCs w:val="21"/>
          <w:lang w:val="es-MX"/>
        </w:rPr>
      </w:pPr>
      <w:r w:rsidRPr="00E10347">
        <w:rPr>
          <w:rFonts w:ascii="Palatino Linotype" w:hAnsi="Palatino Linotype"/>
          <w:b/>
          <w:sz w:val="21"/>
          <w:szCs w:val="21"/>
          <w:u w:val="single"/>
          <w:lang w:val="es-MX"/>
        </w:rPr>
        <w:lastRenderedPageBreak/>
        <w:t>MARCOS VILLAGÓMEZ</w:t>
      </w:r>
      <w:r w:rsidRPr="00E10347">
        <w:rPr>
          <w:rFonts w:ascii="Palatino Linotype" w:hAnsi="Palatino Linotype"/>
          <w:b/>
          <w:sz w:val="21"/>
          <w:szCs w:val="21"/>
          <w:lang w:val="es-MX"/>
        </w:rPr>
        <w:t xml:space="preserve"> </w:t>
      </w:r>
      <w:r w:rsidRPr="00E10347">
        <w:rPr>
          <w:rFonts w:ascii="Palatino Linotype" w:hAnsi="Palatino Linotype"/>
          <w:sz w:val="21"/>
          <w:szCs w:val="21"/>
          <w:lang w:val="es-MX"/>
        </w:rPr>
        <w:t xml:space="preserve"> este autor considera que el perito no es un medio de prueba y dice: </w:t>
      </w:r>
      <w:r w:rsidRPr="00E10347">
        <w:rPr>
          <w:rFonts w:ascii="Palatino Linotype" w:hAnsi="Palatino Linotype"/>
          <w:i/>
          <w:sz w:val="21"/>
          <w:szCs w:val="21"/>
          <w:lang w:val="es-MX"/>
        </w:rPr>
        <w:t xml:space="preserve">“El </w:t>
      </w:r>
      <w:r w:rsidRPr="00E10347">
        <w:rPr>
          <w:rFonts w:ascii="Palatino Linotype" w:hAnsi="Palatino Linotype"/>
          <w:i/>
          <w:sz w:val="21"/>
          <w:szCs w:val="21"/>
          <w:u w:val="single"/>
          <w:lang w:val="es-MX"/>
        </w:rPr>
        <w:t>perito</w:t>
      </w:r>
      <w:r w:rsidRPr="00E10347">
        <w:rPr>
          <w:rFonts w:ascii="Palatino Linotype" w:hAnsi="Palatino Linotype"/>
          <w:i/>
          <w:sz w:val="21"/>
          <w:szCs w:val="21"/>
          <w:lang w:val="es-MX"/>
        </w:rPr>
        <w:t xml:space="preserve"> no es un medio de prueba porque no suministra  los hechos sobre los que ha de fundarse la resolución, sino que sobre unos hechos ya dados complementa la capacidad del juicio del juez, proporcionándole una máxima de la experiencia que desconoce o no sabe aplicar.” </w:t>
      </w:r>
      <w:r w:rsidRPr="00E10347">
        <w:rPr>
          <w:rStyle w:val="Refdenotaalpie"/>
          <w:rFonts w:ascii="Palatino Linotype" w:hAnsi="Palatino Linotype"/>
          <w:i/>
          <w:sz w:val="21"/>
          <w:szCs w:val="21"/>
          <w:lang w:val="es-MX"/>
        </w:rPr>
        <w:footnoteReference w:id="688"/>
      </w:r>
      <w:r w:rsidRPr="00E10347">
        <w:rPr>
          <w:rFonts w:ascii="Palatino Linotype" w:hAnsi="Palatino Linotype"/>
          <w:i/>
          <w:sz w:val="21"/>
          <w:szCs w:val="21"/>
          <w:lang w:val="es-MX"/>
        </w:rPr>
        <w:t xml:space="preserve"> </w:t>
      </w:r>
    </w:p>
    <w:p w:rsidR="00E10347" w:rsidRPr="00E10347" w:rsidRDefault="00E10347" w:rsidP="00E10347">
      <w:pPr>
        <w:jc w:val="both"/>
        <w:rPr>
          <w:rFonts w:ascii="Palatino Linotype" w:hAnsi="Palatino Linotype"/>
          <w:b/>
          <w:sz w:val="21"/>
          <w:szCs w:val="21"/>
          <w:lang w:val="es-MX"/>
        </w:rPr>
      </w:pPr>
    </w:p>
    <w:p w:rsidR="00E10347" w:rsidRPr="00E10347" w:rsidRDefault="00E10347" w:rsidP="00E10347">
      <w:pPr>
        <w:jc w:val="both"/>
        <w:rPr>
          <w:rFonts w:ascii="Palatino Linotype" w:hAnsi="Palatino Linotype"/>
          <w:sz w:val="21"/>
          <w:szCs w:val="21"/>
          <w:lang w:val="es-MX"/>
        </w:rPr>
      </w:pPr>
      <w:r w:rsidRPr="00E10347">
        <w:rPr>
          <w:rFonts w:ascii="Palatino Linotype" w:hAnsi="Palatino Linotype"/>
          <w:b/>
          <w:sz w:val="21"/>
          <w:szCs w:val="21"/>
          <w:u w:val="single"/>
          <w:lang w:val="es-MX"/>
        </w:rPr>
        <w:t>PRIETO CASTRO</w:t>
      </w:r>
      <w:r w:rsidRPr="00E10347">
        <w:rPr>
          <w:rFonts w:ascii="Palatino Linotype" w:hAnsi="Palatino Linotype"/>
          <w:b/>
          <w:sz w:val="21"/>
          <w:szCs w:val="21"/>
          <w:lang w:val="es-MX"/>
        </w:rPr>
        <w:t xml:space="preserve"> </w:t>
      </w:r>
      <w:r w:rsidRPr="00E10347">
        <w:rPr>
          <w:rFonts w:ascii="Palatino Linotype" w:hAnsi="Palatino Linotype"/>
          <w:sz w:val="21"/>
          <w:szCs w:val="21"/>
          <w:lang w:val="es-MX"/>
        </w:rPr>
        <w:t>menciona</w:t>
      </w:r>
      <w:r w:rsidRPr="00E10347">
        <w:rPr>
          <w:rFonts w:ascii="Palatino Linotype" w:hAnsi="Palatino Linotype"/>
          <w:b/>
          <w:sz w:val="21"/>
          <w:szCs w:val="21"/>
          <w:lang w:val="es-MX"/>
        </w:rPr>
        <w:t xml:space="preserve">: </w:t>
      </w:r>
      <w:r w:rsidRPr="00E10347">
        <w:rPr>
          <w:rFonts w:ascii="Palatino Linotype" w:hAnsi="Palatino Linotype"/>
          <w:i/>
          <w:sz w:val="21"/>
          <w:szCs w:val="21"/>
          <w:lang w:val="es-MX"/>
        </w:rPr>
        <w:t xml:space="preserve">“El </w:t>
      </w:r>
      <w:r w:rsidRPr="00E10347">
        <w:rPr>
          <w:rFonts w:ascii="Palatino Linotype" w:hAnsi="Palatino Linotype"/>
          <w:i/>
          <w:sz w:val="21"/>
          <w:szCs w:val="21"/>
          <w:u w:val="single"/>
          <w:lang w:val="es-MX"/>
        </w:rPr>
        <w:t>perito</w:t>
      </w:r>
      <w:r w:rsidRPr="00E10347">
        <w:rPr>
          <w:rFonts w:ascii="Palatino Linotype" w:hAnsi="Palatino Linotype"/>
          <w:i/>
          <w:sz w:val="21"/>
          <w:szCs w:val="21"/>
          <w:lang w:val="es-MX"/>
        </w:rPr>
        <w:t xml:space="preserve"> es la persona</w:t>
      </w:r>
      <w:r w:rsidRPr="00E10347">
        <w:rPr>
          <w:rFonts w:ascii="Palatino Linotype" w:hAnsi="Palatino Linotype"/>
          <w:b/>
          <w:sz w:val="21"/>
          <w:szCs w:val="21"/>
          <w:lang w:val="es-MX"/>
        </w:rPr>
        <w:t xml:space="preserve"> </w:t>
      </w:r>
      <w:r w:rsidRPr="00E10347">
        <w:rPr>
          <w:rFonts w:ascii="Palatino Linotype" w:hAnsi="Palatino Linotype"/>
          <w:i/>
          <w:sz w:val="21"/>
          <w:szCs w:val="21"/>
          <w:lang w:val="es-MX"/>
        </w:rPr>
        <w:t>que posee conocimientos especializados sobre alguna materia y</w:t>
      </w:r>
      <w:r w:rsidRPr="00E10347">
        <w:rPr>
          <w:rFonts w:ascii="Palatino Linotype" w:hAnsi="Palatino Linotype"/>
          <w:sz w:val="21"/>
          <w:szCs w:val="21"/>
          <w:lang w:val="es-MX"/>
        </w:rPr>
        <w:t xml:space="preserve"> </w:t>
      </w:r>
      <w:r w:rsidRPr="00E10347">
        <w:rPr>
          <w:rFonts w:ascii="Palatino Linotype" w:hAnsi="Palatino Linotype"/>
          <w:i/>
          <w:sz w:val="21"/>
          <w:szCs w:val="21"/>
          <w:lang w:val="es-MX"/>
        </w:rPr>
        <w:t xml:space="preserve">al cual  se acude en busca de dictamen cuando, para apreciar o para conocer  y apreciar los hechos o algún hecho  </w:t>
      </w:r>
      <w:r w:rsidRPr="00E10347">
        <w:rPr>
          <w:rFonts w:ascii="Palatino Linotype" w:hAnsi="Palatino Linotype"/>
          <w:sz w:val="21"/>
          <w:szCs w:val="21"/>
          <w:lang w:val="es-MX"/>
        </w:rPr>
        <w:t xml:space="preserve"> </w:t>
      </w:r>
      <w:r w:rsidRPr="00E10347">
        <w:rPr>
          <w:rFonts w:ascii="Palatino Linotype" w:hAnsi="Palatino Linotype"/>
          <w:i/>
          <w:sz w:val="21"/>
          <w:szCs w:val="21"/>
          <w:lang w:val="es-MX"/>
        </w:rPr>
        <w:t>de influencia en el proceso, sean necesario o convenientes sus conocimientos  científicos, artísticos o prácticos”</w:t>
      </w:r>
      <w:r w:rsidRPr="00E10347">
        <w:rPr>
          <w:rStyle w:val="Refdenotaalpie"/>
          <w:rFonts w:ascii="Palatino Linotype" w:hAnsi="Palatino Linotype"/>
          <w:i/>
          <w:sz w:val="21"/>
          <w:szCs w:val="21"/>
          <w:lang w:val="es-MX"/>
        </w:rPr>
        <w:footnoteReference w:id="689"/>
      </w:r>
      <w:r w:rsidRPr="00E10347">
        <w:rPr>
          <w:rFonts w:ascii="Palatino Linotype" w:hAnsi="Palatino Linotype"/>
          <w:b/>
          <w:i/>
          <w:sz w:val="21"/>
          <w:szCs w:val="21"/>
          <w:lang w:val="es-MX"/>
        </w:rPr>
        <w:t xml:space="preserve"> </w:t>
      </w:r>
    </w:p>
    <w:p w:rsidR="00E10347" w:rsidRPr="00E10347" w:rsidRDefault="00E10347" w:rsidP="00E10347">
      <w:pPr>
        <w:jc w:val="both"/>
        <w:rPr>
          <w:rFonts w:ascii="Palatino Linotype" w:hAnsi="Palatino Linotype"/>
          <w:sz w:val="21"/>
          <w:szCs w:val="21"/>
          <w:lang w:val="es-MX"/>
        </w:rPr>
      </w:pPr>
    </w:p>
    <w:p w:rsidR="00E10347" w:rsidRPr="00E10347" w:rsidRDefault="00E10347" w:rsidP="00E10347">
      <w:pPr>
        <w:ind w:firstLine="708"/>
        <w:jc w:val="both"/>
        <w:rPr>
          <w:rFonts w:ascii="Palatino Linotype" w:hAnsi="Palatino Linotype"/>
          <w:sz w:val="21"/>
          <w:szCs w:val="21"/>
          <w:lang w:val="es-MX"/>
        </w:rPr>
      </w:pPr>
      <w:r w:rsidRPr="00E10347">
        <w:rPr>
          <w:rFonts w:ascii="Palatino Linotype" w:hAnsi="Palatino Linotype"/>
          <w:sz w:val="21"/>
          <w:szCs w:val="21"/>
          <w:lang w:val="es-MX"/>
        </w:rPr>
        <w:t>De las anteriores definiciones podemos observar que todas concuerdan el los siguientes puntos, de los cuales  sacaremos los siguientes requisitos que debe revestir la persona del perito:</w:t>
      </w:r>
    </w:p>
    <w:p w:rsidR="00E10347" w:rsidRPr="00E10347" w:rsidRDefault="00E10347" w:rsidP="00E10347">
      <w:pPr>
        <w:ind w:firstLine="708"/>
        <w:jc w:val="both"/>
        <w:rPr>
          <w:rFonts w:ascii="Palatino Linotype" w:hAnsi="Palatino Linotype"/>
          <w:sz w:val="21"/>
          <w:szCs w:val="21"/>
          <w:lang w:val="es-MX"/>
        </w:rPr>
      </w:pPr>
      <w:r w:rsidRPr="00E10347">
        <w:rPr>
          <w:rFonts w:ascii="Palatino Linotype" w:hAnsi="Palatino Linotype"/>
          <w:sz w:val="21"/>
          <w:szCs w:val="21"/>
          <w:lang w:val="es-MX"/>
        </w:rPr>
        <w:t>1.- El perito debe ser una persona física, es inaceptable que quien realice la pericia sea una persona jurídica.</w:t>
      </w:r>
    </w:p>
    <w:p w:rsidR="00E10347" w:rsidRPr="00E10347" w:rsidRDefault="00E10347" w:rsidP="00E10347">
      <w:pPr>
        <w:ind w:firstLine="708"/>
        <w:jc w:val="both"/>
        <w:rPr>
          <w:rFonts w:ascii="Palatino Linotype" w:hAnsi="Palatino Linotype"/>
          <w:sz w:val="21"/>
          <w:szCs w:val="21"/>
          <w:lang w:val="es-MX"/>
        </w:rPr>
      </w:pPr>
      <w:r w:rsidRPr="00E10347">
        <w:rPr>
          <w:rFonts w:ascii="Palatino Linotype" w:hAnsi="Palatino Linotype"/>
          <w:sz w:val="21"/>
          <w:szCs w:val="21"/>
          <w:lang w:val="es-MX"/>
        </w:rPr>
        <w:t>2.- Debe poseer conocimientos especiales sobre una materia determinada.- este es un requisito de idoneidad, que debe poseer el perito para realizar su cometido.</w:t>
      </w:r>
    </w:p>
    <w:p w:rsidR="00E10347" w:rsidRPr="00E10347" w:rsidRDefault="00E10347" w:rsidP="00E10347">
      <w:pPr>
        <w:pStyle w:val="Estilo1"/>
        <w:spacing w:line="240" w:lineRule="auto"/>
        <w:ind w:firstLine="708"/>
        <w:rPr>
          <w:rFonts w:ascii="Palatino Linotype" w:hAnsi="Palatino Linotype" w:cs="Arial"/>
          <w:sz w:val="21"/>
          <w:szCs w:val="21"/>
          <w:lang w:val="es-MX"/>
        </w:rPr>
      </w:pPr>
      <w:r w:rsidRPr="00E10347">
        <w:rPr>
          <w:rFonts w:ascii="Palatino Linotype" w:hAnsi="Palatino Linotype" w:cs="Arial"/>
          <w:sz w:val="21"/>
          <w:szCs w:val="21"/>
          <w:lang w:val="es-MX"/>
        </w:rPr>
        <w:t>3.- Que los conocimientos que se necesiten de este sean necesarios para resolver el hecho  investigado.- La naturaleza de esta figura  solo se puede concebir si sirve para probar hechos, causas o efectos.</w:t>
      </w:r>
    </w:p>
    <w:p w:rsidR="00E10347" w:rsidRPr="00E10347" w:rsidRDefault="00E10347" w:rsidP="00E10347">
      <w:pPr>
        <w:ind w:firstLine="708"/>
        <w:jc w:val="both"/>
        <w:rPr>
          <w:rFonts w:ascii="Palatino Linotype" w:hAnsi="Palatino Linotype"/>
          <w:sz w:val="21"/>
          <w:szCs w:val="21"/>
          <w:lang w:val="es-MX"/>
        </w:rPr>
      </w:pPr>
      <w:r w:rsidRPr="00E10347">
        <w:rPr>
          <w:rFonts w:ascii="Palatino Linotype" w:hAnsi="Palatino Linotype"/>
          <w:sz w:val="21"/>
          <w:szCs w:val="21"/>
          <w:lang w:val="es-MX"/>
        </w:rPr>
        <w:t>4.-Debe haber sido encomendado de manera legar para realizar un cometido determinado.</w:t>
      </w:r>
    </w:p>
    <w:p w:rsidR="00E10347" w:rsidRPr="00E10347" w:rsidRDefault="00E10347" w:rsidP="00E10347">
      <w:pPr>
        <w:ind w:firstLine="708"/>
        <w:jc w:val="both"/>
        <w:rPr>
          <w:rFonts w:ascii="Palatino Linotype" w:hAnsi="Palatino Linotype"/>
          <w:sz w:val="21"/>
          <w:szCs w:val="21"/>
          <w:lang w:val="es-MX"/>
        </w:rPr>
      </w:pPr>
      <w:r w:rsidRPr="00E10347">
        <w:rPr>
          <w:rFonts w:ascii="Palatino Linotype" w:hAnsi="Palatino Linotype"/>
          <w:sz w:val="21"/>
          <w:szCs w:val="21"/>
          <w:lang w:val="es-MX"/>
        </w:rPr>
        <w:t>5.- Debe ser un tercero ajeno al proceso.- Ya que como lo habíamos visto en el apartado sobre la evolución de la pericia uno de los esfuerzos realizados por los antiguos fue el de tratar de distinguir esta figura de la del juez y testigo.</w:t>
      </w:r>
    </w:p>
    <w:p w:rsidR="00E10347" w:rsidRPr="00E10347" w:rsidRDefault="00E10347" w:rsidP="00E10347">
      <w:pPr>
        <w:pStyle w:val="Estilo1"/>
        <w:spacing w:line="240" w:lineRule="auto"/>
        <w:ind w:firstLine="708"/>
        <w:rPr>
          <w:rFonts w:ascii="Palatino Linotype" w:hAnsi="Palatino Linotype" w:cs="Arial"/>
          <w:sz w:val="21"/>
          <w:szCs w:val="21"/>
          <w:lang w:val="es-MX"/>
        </w:rPr>
      </w:pPr>
      <w:r w:rsidRPr="00E10347">
        <w:rPr>
          <w:rFonts w:ascii="Palatino Linotype" w:hAnsi="Palatino Linotype" w:cs="Arial"/>
          <w:sz w:val="21"/>
          <w:szCs w:val="21"/>
          <w:lang w:val="es-MX"/>
        </w:rPr>
        <w:t>6.- Que el perito se expida dentro de su cometido.- Es exigencia del principio contradictorio que el perito realice la actividad dentro de los parámetros encomendados por el juez.</w:t>
      </w:r>
    </w:p>
    <w:p w:rsidR="00E10347" w:rsidRPr="00E10347" w:rsidRDefault="00E10347" w:rsidP="00E10347">
      <w:pPr>
        <w:pStyle w:val="Estilo1"/>
        <w:spacing w:line="240" w:lineRule="auto"/>
        <w:ind w:firstLine="708"/>
        <w:rPr>
          <w:rFonts w:ascii="Palatino Linotype" w:hAnsi="Palatino Linotype" w:cs="Arial"/>
          <w:sz w:val="21"/>
          <w:szCs w:val="21"/>
          <w:lang w:val="es-MX"/>
        </w:rPr>
      </w:pPr>
      <w:r w:rsidRPr="00E10347">
        <w:rPr>
          <w:rFonts w:ascii="Palatino Linotype" w:hAnsi="Palatino Linotype" w:cs="Arial"/>
          <w:sz w:val="21"/>
          <w:szCs w:val="21"/>
          <w:lang w:val="es-MX"/>
        </w:rPr>
        <w:lastRenderedPageBreak/>
        <w:t>Una vez habiendo definido la persona del perito y los requisitos que  debe revestir, es oportuno que se procesa a definir el concepto de pericia, ya que es incorrecto confundir el perito con la actividad que este realiza (pericia).</w:t>
      </w:r>
    </w:p>
    <w:p w:rsidR="00E10347" w:rsidRPr="00E10347" w:rsidRDefault="00E10347" w:rsidP="00E83320">
      <w:pPr>
        <w:pStyle w:val="Prrafodelista"/>
        <w:widowControl/>
        <w:numPr>
          <w:ilvl w:val="0"/>
          <w:numId w:val="11"/>
        </w:numPr>
        <w:autoSpaceDE/>
        <w:autoSpaceDN/>
        <w:adjustRightInd/>
        <w:ind w:hanging="360"/>
        <w:jc w:val="both"/>
        <w:rPr>
          <w:rFonts w:ascii="Palatino Linotype" w:hAnsi="Palatino Linotype"/>
          <w:b/>
          <w:sz w:val="21"/>
          <w:szCs w:val="21"/>
          <w:u w:val="single"/>
          <w:lang w:val="es-MX"/>
        </w:rPr>
      </w:pPr>
      <w:r w:rsidRPr="00E10347">
        <w:rPr>
          <w:rFonts w:ascii="Palatino Linotype" w:hAnsi="Palatino Linotype"/>
          <w:b/>
          <w:sz w:val="21"/>
          <w:szCs w:val="21"/>
          <w:u w:val="single"/>
          <w:lang w:val="es-MX"/>
        </w:rPr>
        <w:t>Concepto de Pericia:</w:t>
      </w:r>
    </w:p>
    <w:p w:rsidR="00E10347" w:rsidRPr="00E10347" w:rsidRDefault="00E10347" w:rsidP="00E10347">
      <w:pPr>
        <w:jc w:val="both"/>
        <w:rPr>
          <w:rFonts w:ascii="Palatino Linotype" w:hAnsi="Palatino Linotype"/>
          <w:b/>
          <w:sz w:val="21"/>
          <w:szCs w:val="21"/>
          <w:u w:val="single"/>
          <w:lang w:val="es-MX"/>
        </w:rPr>
      </w:pPr>
    </w:p>
    <w:p w:rsidR="00E10347" w:rsidRPr="00E10347" w:rsidRDefault="00E10347" w:rsidP="00E10347">
      <w:pPr>
        <w:jc w:val="both"/>
        <w:rPr>
          <w:rFonts w:ascii="Palatino Linotype" w:hAnsi="Palatino Linotype"/>
          <w:i/>
          <w:sz w:val="21"/>
          <w:szCs w:val="21"/>
          <w:lang w:val="es-MX"/>
        </w:rPr>
      </w:pPr>
      <w:r w:rsidRPr="00E10347">
        <w:rPr>
          <w:rFonts w:ascii="Palatino Linotype" w:hAnsi="Palatino Linotype"/>
          <w:b/>
          <w:sz w:val="21"/>
          <w:szCs w:val="21"/>
          <w:u w:val="single"/>
          <w:lang w:val="es-MX"/>
        </w:rPr>
        <w:t>CAFERATA NORES</w:t>
      </w:r>
      <w:r w:rsidRPr="00E10347">
        <w:rPr>
          <w:rFonts w:ascii="Palatino Linotype" w:hAnsi="Palatino Linotype"/>
          <w:sz w:val="21"/>
          <w:szCs w:val="21"/>
          <w:lang w:val="es-MX"/>
        </w:rPr>
        <w:t xml:space="preserve"> define la pericia de la siguiente manera, y dice que</w:t>
      </w:r>
      <w:r w:rsidRPr="00E10347">
        <w:rPr>
          <w:rFonts w:ascii="Palatino Linotype" w:hAnsi="Palatino Linotype"/>
          <w:i/>
          <w:sz w:val="21"/>
          <w:szCs w:val="21"/>
          <w:lang w:val="es-MX"/>
        </w:rPr>
        <w:t xml:space="preserve"> “La pericia es un medio probatorio con el cual se intenta obtener, para el proceso, un dictamen fundado en especiales conocimientos científicos, técnicos o artísticos, útil para el descubrimiento o la valoración de un elemento de prueba”</w:t>
      </w:r>
      <w:r w:rsidRPr="00E10347">
        <w:rPr>
          <w:rStyle w:val="Refdenotaalpie"/>
          <w:rFonts w:ascii="Palatino Linotype" w:hAnsi="Palatino Linotype"/>
          <w:i/>
          <w:sz w:val="21"/>
          <w:szCs w:val="21"/>
          <w:lang w:val="es-MX"/>
        </w:rPr>
        <w:footnoteReference w:id="690"/>
      </w:r>
    </w:p>
    <w:p w:rsidR="00E10347" w:rsidRPr="00E10347" w:rsidRDefault="00E10347" w:rsidP="00E10347">
      <w:pPr>
        <w:jc w:val="both"/>
        <w:rPr>
          <w:rFonts w:ascii="Palatino Linotype" w:hAnsi="Palatino Linotype"/>
          <w:b/>
          <w:sz w:val="21"/>
          <w:szCs w:val="21"/>
          <w:lang w:val="es-MX"/>
        </w:rPr>
      </w:pPr>
    </w:p>
    <w:p w:rsidR="00E10347" w:rsidRPr="00E10347" w:rsidRDefault="00E10347" w:rsidP="00E10347">
      <w:pPr>
        <w:jc w:val="both"/>
        <w:rPr>
          <w:rFonts w:ascii="Palatino Linotype" w:hAnsi="Palatino Linotype"/>
          <w:sz w:val="21"/>
          <w:szCs w:val="21"/>
          <w:lang w:val="es-MX"/>
        </w:rPr>
      </w:pPr>
      <w:r w:rsidRPr="00E10347">
        <w:rPr>
          <w:rFonts w:ascii="Palatino Linotype" w:hAnsi="Palatino Linotype"/>
          <w:b/>
          <w:sz w:val="21"/>
          <w:szCs w:val="21"/>
          <w:lang w:val="es-MX"/>
        </w:rPr>
        <w:t>MARTÍNEZ GARCÍA</w:t>
      </w:r>
      <w:r w:rsidRPr="00E10347">
        <w:rPr>
          <w:rFonts w:ascii="Palatino Linotype" w:hAnsi="Palatino Linotype"/>
          <w:sz w:val="21"/>
          <w:szCs w:val="21"/>
          <w:lang w:val="es-MX"/>
        </w:rPr>
        <w:t xml:space="preserve"> menciona “ es un medio de prueba indirecto de carácter científico por el cual se pretende que el juez, que desconoce cierto campo del saber humano, pueda valorar y apreciar técnicamente unos hechos que ya han sido aportados al proceso por otros medios probatorios y así tenga conocimiento de su significación científica, artística o técnica, siempre que tales conocimientos especiales sean útiles, provechosos u oportunos para comprobar algún hecho controvertido.”  </w:t>
      </w:r>
      <w:r w:rsidRPr="00E10347">
        <w:rPr>
          <w:rStyle w:val="Refdenotaalpie"/>
          <w:rFonts w:ascii="Palatino Linotype" w:hAnsi="Palatino Linotype"/>
          <w:sz w:val="21"/>
          <w:szCs w:val="21"/>
          <w:lang w:val="es-MX"/>
        </w:rPr>
        <w:footnoteReference w:id="691"/>
      </w:r>
    </w:p>
    <w:p w:rsidR="00E10347" w:rsidRPr="00E10347" w:rsidRDefault="00E10347" w:rsidP="00E10347">
      <w:pPr>
        <w:jc w:val="both"/>
        <w:rPr>
          <w:rFonts w:ascii="Palatino Linotype" w:hAnsi="Palatino Linotype"/>
          <w:sz w:val="21"/>
          <w:szCs w:val="21"/>
          <w:lang w:val="es-MX"/>
        </w:rPr>
      </w:pPr>
    </w:p>
    <w:p w:rsidR="00E10347" w:rsidRPr="00E10347" w:rsidRDefault="00E10347" w:rsidP="00E10347">
      <w:pPr>
        <w:pStyle w:val="Estilo1"/>
        <w:spacing w:line="240" w:lineRule="auto"/>
        <w:rPr>
          <w:rFonts w:ascii="Palatino Linotype" w:hAnsi="Palatino Linotype" w:cs="Arial"/>
          <w:sz w:val="21"/>
          <w:szCs w:val="21"/>
        </w:rPr>
      </w:pPr>
      <w:r w:rsidRPr="00E10347">
        <w:rPr>
          <w:rFonts w:ascii="Palatino Linotype" w:hAnsi="Palatino Linotype" w:cs="Arial"/>
          <w:b/>
          <w:sz w:val="21"/>
          <w:szCs w:val="21"/>
        </w:rPr>
        <w:t>FALCON</w:t>
      </w:r>
      <w:r w:rsidRPr="00E10347">
        <w:rPr>
          <w:rFonts w:ascii="Palatino Linotype" w:hAnsi="Palatino Linotype" w:cs="Arial"/>
          <w:sz w:val="21"/>
          <w:szCs w:val="21"/>
        </w:rPr>
        <w:t xml:space="preserve"> menciona: </w:t>
      </w:r>
      <w:r w:rsidRPr="00E10347">
        <w:rPr>
          <w:rFonts w:ascii="Palatino Linotype" w:hAnsi="Palatino Linotype" w:cs="Arial"/>
          <w:i/>
          <w:sz w:val="21"/>
          <w:szCs w:val="21"/>
        </w:rPr>
        <w:t xml:space="preserve">“La pericia es una actividad desarrollada, en virtud de encargo judicial, por personas especialmente calificadas distintas e independientes de las partes y del juez del proceso, por sus conocimientos técnicos, artísticos o científicos, mediante la cual se suministra  al juez argumentos o razones para la formación de su convencimiento respecto de ciertos hechos cuya percepción  o entendimiento escapa de las actitudes  del común de las gentes” </w:t>
      </w:r>
      <w:r w:rsidRPr="00E10347">
        <w:rPr>
          <w:rStyle w:val="Refdenotaalpie"/>
          <w:rFonts w:ascii="Palatino Linotype" w:hAnsi="Palatino Linotype" w:cs="Arial"/>
          <w:i/>
          <w:sz w:val="21"/>
          <w:szCs w:val="21"/>
        </w:rPr>
        <w:footnoteReference w:id="692"/>
      </w:r>
    </w:p>
    <w:p w:rsidR="00E10347" w:rsidRPr="001E141B" w:rsidRDefault="00E10347" w:rsidP="00E10347">
      <w:pPr>
        <w:jc w:val="both"/>
        <w:rPr>
          <w:rFonts w:ascii="Palatino Linotype" w:hAnsi="Palatino Linotype"/>
          <w:b/>
          <w:sz w:val="21"/>
          <w:szCs w:val="21"/>
          <w:lang w:val="es-ES_tradnl"/>
        </w:rPr>
      </w:pPr>
    </w:p>
    <w:p w:rsidR="00E10347" w:rsidRPr="00E10347" w:rsidRDefault="00E10347" w:rsidP="00E10347">
      <w:pPr>
        <w:jc w:val="both"/>
        <w:rPr>
          <w:rFonts w:ascii="Palatino Linotype" w:hAnsi="Palatino Linotype"/>
          <w:sz w:val="21"/>
          <w:szCs w:val="21"/>
          <w:lang w:val="es-MX"/>
        </w:rPr>
      </w:pPr>
      <w:r w:rsidRPr="00E10347">
        <w:rPr>
          <w:rFonts w:ascii="Palatino Linotype" w:hAnsi="Palatino Linotype"/>
          <w:b/>
          <w:sz w:val="21"/>
          <w:szCs w:val="21"/>
          <w:lang w:val="es-MX"/>
        </w:rPr>
        <w:t>PALACIOS</w:t>
      </w:r>
      <w:r w:rsidRPr="00E10347">
        <w:rPr>
          <w:rFonts w:ascii="Palatino Linotype" w:hAnsi="Palatino Linotype"/>
          <w:sz w:val="21"/>
          <w:szCs w:val="21"/>
          <w:lang w:val="es-MX"/>
        </w:rPr>
        <w:t xml:space="preserve"> menciona:</w:t>
      </w:r>
      <w:r w:rsidRPr="00E10347">
        <w:rPr>
          <w:rFonts w:ascii="Palatino Linotype" w:hAnsi="Palatino Linotype"/>
          <w:i/>
          <w:sz w:val="21"/>
          <w:szCs w:val="21"/>
          <w:lang w:val="es-MX"/>
        </w:rPr>
        <w:t xml:space="preserve"> “la prueba pericial es aquella que es suministrada por terceros, a raíz de un encargo judicial, fundados en los conocimientos científicos, artísticos o prácticos que poseen, comunican al juez las comprobaciones, opiniones o deducciones extraídas de los </w:t>
      </w:r>
      <w:r w:rsidRPr="00E10347">
        <w:rPr>
          <w:rFonts w:ascii="Palatino Linotype" w:hAnsi="Palatino Linotype"/>
          <w:i/>
          <w:sz w:val="21"/>
          <w:szCs w:val="21"/>
          <w:lang w:val="es-MX"/>
        </w:rPr>
        <w:lastRenderedPageBreak/>
        <w:t xml:space="preserve">hechos sometidas a su dictamen.” </w:t>
      </w:r>
      <w:r w:rsidRPr="00E10347">
        <w:rPr>
          <w:rStyle w:val="Refdenotaalpie"/>
          <w:rFonts w:ascii="Palatino Linotype" w:hAnsi="Palatino Linotype"/>
          <w:i/>
          <w:sz w:val="21"/>
          <w:szCs w:val="21"/>
          <w:lang w:val="es-MX"/>
        </w:rPr>
        <w:footnoteReference w:id="693"/>
      </w:r>
    </w:p>
    <w:p w:rsidR="001E141B" w:rsidRDefault="001E141B" w:rsidP="00E10347">
      <w:pPr>
        <w:pStyle w:val="Estilo1"/>
        <w:spacing w:line="240" w:lineRule="auto"/>
        <w:ind w:firstLine="708"/>
        <w:rPr>
          <w:rFonts w:ascii="Palatino Linotype" w:hAnsi="Palatino Linotype" w:cs="Arial"/>
          <w:sz w:val="21"/>
          <w:szCs w:val="21"/>
        </w:rPr>
      </w:pPr>
    </w:p>
    <w:p w:rsidR="00E10347" w:rsidRPr="00E10347" w:rsidRDefault="00E10347" w:rsidP="00E10347">
      <w:pPr>
        <w:pStyle w:val="Estilo1"/>
        <w:spacing w:line="240" w:lineRule="auto"/>
        <w:ind w:firstLine="708"/>
        <w:rPr>
          <w:rFonts w:ascii="Palatino Linotype" w:hAnsi="Palatino Linotype" w:cs="Arial"/>
          <w:sz w:val="21"/>
          <w:szCs w:val="21"/>
        </w:rPr>
      </w:pPr>
      <w:r w:rsidRPr="00E10347">
        <w:rPr>
          <w:rFonts w:ascii="Palatino Linotype" w:hAnsi="Palatino Linotype" w:cs="Arial"/>
          <w:sz w:val="21"/>
          <w:szCs w:val="21"/>
        </w:rPr>
        <w:t xml:space="preserve">Tal como se vera de la característica común de todas estas definiciones se trata de una prueba,  las personas designadas para ello emplean el conocimiento que poseen, </w:t>
      </w:r>
      <w:r w:rsidRPr="00E10347">
        <w:rPr>
          <w:rFonts w:ascii="Palatino Linotype" w:hAnsi="Palatino Linotype" w:cs="Arial"/>
          <w:i/>
          <w:sz w:val="21"/>
          <w:szCs w:val="21"/>
        </w:rPr>
        <w:t>en</w:t>
      </w:r>
      <w:r w:rsidRPr="00E10347">
        <w:rPr>
          <w:rFonts w:ascii="Palatino Linotype" w:hAnsi="Palatino Linotype" w:cs="Arial"/>
          <w:sz w:val="21"/>
          <w:szCs w:val="21"/>
        </w:rPr>
        <w:t xml:space="preserve"> </w:t>
      </w:r>
      <w:r w:rsidRPr="00E10347">
        <w:rPr>
          <w:rFonts w:ascii="Palatino Linotype" w:hAnsi="Palatino Linotype" w:cs="Arial"/>
          <w:i/>
          <w:sz w:val="21"/>
          <w:szCs w:val="21"/>
        </w:rPr>
        <w:t>abstracto</w:t>
      </w:r>
      <w:r w:rsidRPr="00E10347">
        <w:rPr>
          <w:rFonts w:ascii="Palatino Linotype" w:hAnsi="Palatino Linotype" w:cs="Arial"/>
          <w:sz w:val="21"/>
          <w:szCs w:val="21"/>
        </w:rPr>
        <w:t xml:space="preserve">, se trata de personas extrañas a las partes, en miras a su inducida aplicación </w:t>
      </w:r>
      <w:r w:rsidRPr="00E10347">
        <w:rPr>
          <w:rFonts w:ascii="Palatino Linotype" w:hAnsi="Palatino Linotype" w:cs="Arial"/>
          <w:i/>
          <w:sz w:val="21"/>
          <w:szCs w:val="21"/>
        </w:rPr>
        <w:t>concreta</w:t>
      </w:r>
      <w:r w:rsidRPr="00E10347">
        <w:rPr>
          <w:rFonts w:ascii="Palatino Linotype" w:hAnsi="Palatino Linotype" w:cs="Arial"/>
          <w:sz w:val="21"/>
          <w:szCs w:val="21"/>
        </w:rPr>
        <w:t xml:space="preserve"> para  la reconstrucción de hechos a percibir, o deducir técnicamente, con relación y a objeto de establecer su existencia o inexistencia, sus causas, efectos y modalidades en y para el proceso.</w:t>
      </w:r>
    </w:p>
    <w:p w:rsidR="00E10347" w:rsidRPr="00E10347" w:rsidRDefault="00E10347" w:rsidP="001E141B">
      <w:pPr>
        <w:ind w:firstLine="708"/>
        <w:jc w:val="both"/>
        <w:rPr>
          <w:rFonts w:ascii="Palatino Linotype" w:hAnsi="Palatino Linotype"/>
          <w:i/>
          <w:sz w:val="21"/>
          <w:szCs w:val="21"/>
          <w:lang w:val="es-MX"/>
        </w:rPr>
      </w:pPr>
      <w:r w:rsidRPr="00E10347">
        <w:rPr>
          <w:rFonts w:ascii="Palatino Linotype" w:hAnsi="Palatino Linotype"/>
          <w:sz w:val="21"/>
          <w:szCs w:val="21"/>
          <w:lang w:val="es-MX"/>
        </w:rPr>
        <w:t>La peritación es una declaración de ciencia, porque el perito expone lo que sabe por percepción, deducción o inducción de los hechos, pero es, ad</w:t>
      </w:r>
      <w:r w:rsidR="001E141B">
        <w:rPr>
          <w:rFonts w:ascii="Palatino Linotype" w:hAnsi="Palatino Linotype"/>
          <w:sz w:val="21"/>
          <w:szCs w:val="21"/>
          <w:lang w:val="es-MX"/>
        </w:rPr>
        <w:t>emás, una operación valorativa.</w:t>
      </w:r>
    </w:p>
    <w:p w:rsidR="00E10347" w:rsidRPr="00E10347" w:rsidRDefault="00E10347" w:rsidP="00E10347">
      <w:pPr>
        <w:jc w:val="both"/>
        <w:rPr>
          <w:rFonts w:ascii="Palatino Linotype" w:hAnsi="Palatino Linotype"/>
          <w:i/>
          <w:sz w:val="21"/>
          <w:szCs w:val="21"/>
          <w:lang w:val="es-MX"/>
        </w:rPr>
      </w:pPr>
    </w:p>
    <w:p w:rsidR="00E10347" w:rsidRPr="00E10347" w:rsidRDefault="00E10347" w:rsidP="00E83320">
      <w:pPr>
        <w:pStyle w:val="Prrafodelista"/>
        <w:widowControl/>
        <w:numPr>
          <w:ilvl w:val="0"/>
          <w:numId w:val="11"/>
        </w:numPr>
        <w:autoSpaceDE/>
        <w:autoSpaceDN/>
        <w:adjustRightInd/>
        <w:ind w:hanging="360"/>
        <w:jc w:val="both"/>
        <w:rPr>
          <w:rFonts w:ascii="Palatino Linotype" w:hAnsi="Palatino Linotype"/>
          <w:b/>
          <w:sz w:val="21"/>
          <w:szCs w:val="21"/>
          <w:u w:val="single"/>
          <w:lang w:val="es-MX"/>
        </w:rPr>
      </w:pPr>
      <w:r w:rsidRPr="00E10347">
        <w:rPr>
          <w:rFonts w:ascii="Palatino Linotype" w:hAnsi="Palatino Linotype"/>
          <w:b/>
          <w:sz w:val="21"/>
          <w:szCs w:val="21"/>
          <w:u w:val="single"/>
          <w:lang w:val="es-MX"/>
        </w:rPr>
        <w:t>Finalidad de la Pericia:</w:t>
      </w:r>
    </w:p>
    <w:p w:rsidR="00E10347" w:rsidRPr="00E10347" w:rsidRDefault="00E10347" w:rsidP="00E10347">
      <w:pPr>
        <w:pStyle w:val="Estilo1"/>
        <w:spacing w:line="240" w:lineRule="auto"/>
        <w:ind w:firstLine="360"/>
        <w:rPr>
          <w:rFonts w:ascii="Palatino Linotype" w:hAnsi="Palatino Linotype" w:cs="Arial"/>
          <w:sz w:val="21"/>
          <w:szCs w:val="21"/>
          <w:lang w:val="es-MX"/>
        </w:rPr>
      </w:pPr>
      <w:r w:rsidRPr="00E10347">
        <w:rPr>
          <w:rFonts w:ascii="Palatino Linotype" w:hAnsi="Palatino Linotype" w:cs="Arial"/>
          <w:sz w:val="21"/>
          <w:szCs w:val="21"/>
          <w:lang w:val="es-MX"/>
        </w:rPr>
        <w:t>Es muy importante determinar cual es LA FINALIDAD que tiene este medio de prueba dentro del proceso penal, para así ir orientando nuestro trabajo conforme a dicho fin. La pericia al ser un autentico medio de prueba esta íntimamente relacionado con la finalidad que tiene la prueba dentro del proceso.</w:t>
      </w:r>
    </w:p>
    <w:p w:rsidR="00E10347" w:rsidRPr="00E10347" w:rsidRDefault="00E10347" w:rsidP="00E10347">
      <w:pPr>
        <w:jc w:val="both"/>
        <w:rPr>
          <w:rFonts w:ascii="Palatino Linotype" w:hAnsi="Palatino Linotype"/>
          <w:b/>
          <w:i/>
          <w:sz w:val="21"/>
          <w:szCs w:val="21"/>
          <w:lang w:val="es-MX"/>
        </w:rPr>
      </w:pPr>
      <w:r w:rsidRPr="00E10347">
        <w:rPr>
          <w:rFonts w:ascii="Palatino Linotype" w:hAnsi="Palatino Linotype"/>
          <w:sz w:val="21"/>
          <w:szCs w:val="21"/>
          <w:lang w:val="es-MX"/>
        </w:rPr>
        <w:tab/>
        <w:t>La importancia que resulta de la prueba dentro del proceso esta fuera de discusión en la actualidad, hasta el punto de llegarse a decir por algunos autores que prácticamente sin prueba no existe un proceso:</w:t>
      </w:r>
    </w:p>
    <w:p w:rsidR="00E10347" w:rsidRPr="00E10347" w:rsidRDefault="00E10347" w:rsidP="00E10347">
      <w:pPr>
        <w:pStyle w:val="Textoindependiente"/>
        <w:spacing w:after="0"/>
        <w:rPr>
          <w:rFonts w:ascii="Palatino Linotype" w:hAnsi="Palatino Linotype"/>
          <w:b/>
          <w:sz w:val="21"/>
          <w:szCs w:val="21"/>
          <w:u w:val="single"/>
        </w:rPr>
      </w:pPr>
    </w:p>
    <w:p w:rsidR="00E10347" w:rsidRPr="00E10347" w:rsidRDefault="00E10347" w:rsidP="00E10347">
      <w:pPr>
        <w:pStyle w:val="Textoindependiente"/>
        <w:spacing w:after="0"/>
        <w:rPr>
          <w:rFonts w:ascii="Palatino Linotype" w:hAnsi="Palatino Linotype"/>
          <w:sz w:val="21"/>
          <w:szCs w:val="21"/>
        </w:rPr>
      </w:pPr>
      <w:r w:rsidRPr="00E10347">
        <w:rPr>
          <w:rFonts w:ascii="Palatino Linotype" w:hAnsi="Palatino Linotype"/>
          <w:b/>
          <w:sz w:val="21"/>
          <w:szCs w:val="21"/>
          <w:u w:val="single"/>
        </w:rPr>
        <w:t>ENRIQUE</w:t>
      </w:r>
      <w:r w:rsidRPr="00E10347">
        <w:rPr>
          <w:rFonts w:ascii="Palatino Linotype" w:hAnsi="Palatino Linotype"/>
          <w:sz w:val="21"/>
          <w:szCs w:val="21"/>
          <w:u w:val="single"/>
        </w:rPr>
        <w:t xml:space="preserve"> FALCÓN</w:t>
      </w:r>
      <w:r w:rsidRPr="00E10347">
        <w:rPr>
          <w:rFonts w:ascii="Palatino Linotype" w:hAnsi="Palatino Linotype"/>
          <w:sz w:val="21"/>
          <w:szCs w:val="21"/>
        </w:rPr>
        <w:t xml:space="preserve"> nos dice; </w:t>
      </w:r>
      <w:r w:rsidRPr="00E10347">
        <w:rPr>
          <w:rFonts w:ascii="Palatino Linotype" w:hAnsi="Palatino Linotype"/>
          <w:i/>
          <w:sz w:val="21"/>
          <w:szCs w:val="21"/>
        </w:rPr>
        <w:t>“ El vocablo prueba como la mayoría de las palabras del lenguaje-incluido los términos técnicos del derecho- presentan una noción preliminar difusa”</w:t>
      </w:r>
      <w:r w:rsidRPr="00E10347">
        <w:rPr>
          <w:rStyle w:val="Refdenotaalpie"/>
          <w:rFonts w:ascii="Palatino Linotype" w:hAnsi="Palatino Linotype"/>
          <w:i/>
          <w:sz w:val="21"/>
          <w:szCs w:val="21"/>
        </w:rPr>
        <w:footnoteReference w:id="694"/>
      </w:r>
      <w:r w:rsidRPr="00E10347">
        <w:rPr>
          <w:rFonts w:ascii="Palatino Linotype" w:hAnsi="Palatino Linotype"/>
          <w:sz w:val="21"/>
          <w:szCs w:val="21"/>
        </w:rPr>
        <w:t xml:space="preserve"> </w:t>
      </w:r>
    </w:p>
    <w:p w:rsidR="00E10347" w:rsidRPr="00E10347" w:rsidRDefault="00E10347" w:rsidP="00E10347">
      <w:pPr>
        <w:jc w:val="both"/>
        <w:rPr>
          <w:rFonts w:ascii="Palatino Linotype" w:hAnsi="Palatino Linotype"/>
          <w:b/>
          <w:sz w:val="21"/>
          <w:szCs w:val="21"/>
          <w:u w:val="single"/>
          <w:lang w:val="es-MX"/>
        </w:rPr>
      </w:pPr>
    </w:p>
    <w:p w:rsidR="00E10347" w:rsidRPr="00E10347" w:rsidRDefault="00E10347" w:rsidP="00E10347">
      <w:pPr>
        <w:jc w:val="both"/>
        <w:rPr>
          <w:rFonts w:ascii="Palatino Linotype" w:hAnsi="Palatino Linotype"/>
          <w:sz w:val="21"/>
          <w:szCs w:val="21"/>
          <w:lang w:val="es-MX"/>
        </w:rPr>
      </w:pPr>
      <w:r w:rsidRPr="00E10347">
        <w:rPr>
          <w:rFonts w:ascii="Palatino Linotype" w:hAnsi="Palatino Linotype"/>
          <w:b/>
          <w:sz w:val="21"/>
          <w:szCs w:val="21"/>
          <w:u w:val="single"/>
          <w:lang w:val="es-MX"/>
        </w:rPr>
        <w:t>GIMENO SENDRA:</w:t>
      </w:r>
      <w:r w:rsidRPr="00E10347">
        <w:rPr>
          <w:rFonts w:ascii="Palatino Linotype" w:hAnsi="Palatino Linotype"/>
          <w:sz w:val="21"/>
          <w:szCs w:val="21"/>
          <w:lang w:val="es-MX"/>
        </w:rPr>
        <w:t xml:space="preserve"> </w:t>
      </w:r>
    </w:p>
    <w:p w:rsidR="00E10347" w:rsidRPr="00E10347" w:rsidRDefault="00E10347" w:rsidP="00E10347">
      <w:pPr>
        <w:jc w:val="both"/>
        <w:rPr>
          <w:rFonts w:ascii="Palatino Linotype" w:hAnsi="Palatino Linotype"/>
          <w:b/>
          <w:sz w:val="21"/>
          <w:szCs w:val="21"/>
          <w:lang w:val="es-MX"/>
        </w:rPr>
      </w:pPr>
      <w:r w:rsidRPr="00E10347">
        <w:rPr>
          <w:rFonts w:ascii="Palatino Linotype" w:hAnsi="Palatino Linotype"/>
          <w:sz w:val="21"/>
          <w:szCs w:val="21"/>
          <w:lang w:val="es-MX"/>
        </w:rPr>
        <w:t xml:space="preserve">“Es la actividad de las partes  procésales dirigida a ocasionar la evidencia necesaria para obtener la convicción del juez o tribunal decisor, sobre los hechos por ellas afirmados....” </w:t>
      </w:r>
      <w:r w:rsidRPr="00E10347">
        <w:rPr>
          <w:rFonts w:ascii="Palatino Linotype" w:hAnsi="Palatino Linotype"/>
          <w:b/>
          <w:i/>
          <w:sz w:val="21"/>
          <w:szCs w:val="21"/>
        </w:rPr>
        <w:t xml:space="preserve"> </w:t>
      </w:r>
      <w:r w:rsidRPr="00E10347">
        <w:rPr>
          <w:rStyle w:val="Refdenotaalpie"/>
          <w:rFonts w:ascii="Palatino Linotype" w:hAnsi="Palatino Linotype"/>
          <w:b/>
          <w:i/>
          <w:sz w:val="21"/>
          <w:szCs w:val="21"/>
        </w:rPr>
        <w:footnoteReference w:id="695"/>
      </w:r>
    </w:p>
    <w:p w:rsidR="00E10347" w:rsidRPr="00E10347" w:rsidRDefault="00E10347" w:rsidP="00E10347">
      <w:pPr>
        <w:jc w:val="both"/>
        <w:rPr>
          <w:rFonts w:ascii="Palatino Linotype" w:hAnsi="Palatino Linotype"/>
          <w:sz w:val="21"/>
          <w:szCs w:val="21"/>
        </w:rPr>
      </w:pPr>
      <w:r w:rsidRPr="00E10347">
        <w:rPr>
          <w:rFonts w:ascii="Palatino Linotype" w:hAnsi="Palatino Linotype"/>
          <w:sz w:val="21"/>
          <w:szCs w:val="21"/>
        </w:rPr>
        <w:t> </w:t>
      </w:r>
    </w:p>
    <w:p w:rsidR="00E10347" w:rsidRPr="00E10347" w:rsidRDefault="00E10347" w:rsidP="00E10347">
      <w:pPr>
        <w:jc w:val="both"/>
        <w:rPr>
          <w:rFonts w:ascii="Palatino Linotype" w:hAnsi="Palatino Linotype"/>
          <w:b/>
          <w:sz w:val="21"/>
          <w:szCs w:val="21"/>
          <w:lang w:val="es-MX"/>
        </w:rPr>
      </w:pPr>
      <w:r w:rsidRPr="00E10347">
        <w:rPr>
          <w:rFonts w:ascii="Palatino Linotype" w:hAnsi="Palatino Linotype"/>
          <w:sz w:val="21"/>
          <w:szCs w:val="21"/>
        </w:rPr>
        <w:lastRenderedPageBreak/>
        <w:t> </w:t>
      </w:r>
      <w:r w:rsidRPr="00E10347">
        <w:rPr>
          <w:rFonts w:ascii="Palatino Linotype" w:hAnsi="Palatino Linotype"/>
          <w:b/>
          <w:sz w:val="21"/>
          <w:szCs w:val="21"/>
          <w:u w:val="single"/>
        </w:rPr>
        <w:t>BELLOCH</w:t>
      </w:r>
      <w:r w:rsidRPr="00E10347">
        <w:rPr>
          <w:rFonts w:ascii="Palatino Linotype" w:hAnsi="Palatino Linotype"/>
          <w:sz w:val="21"/>
          <w:szCs w:val="21"/>
        </w:rPr>
        <w:t xml:space="preserve"> menciona:</w:t>
      </w:r>
      <w:r w:rsidRPr="00E10347">
        <w:rPr>
          <w:rFonts w:ascii="Palatino Linotype" w:hAnsi="Palatino Linotype"/>
          <w:i/>
          <w:sz w:val="21"/>
          <w:szCs w:val="21"/>
        </w:rPr>
        <w:t xml:space="preserve"> “La prueba no es, en el fondo, otra cosa que el mecanismo para la búsqueda de la "certeza jurídica", sabiendo que la convicción del Juez al respecto no es más que, en el mejor de los casos, "una firme y formada persuasión, y nada más." </w:t>
      </w:r>
      <w:r w:rsidRPr="00E10347">
        <w:rPr>
          <w:rFonts w:ascii="Palatino Linotype" w:hAnsi="Palatino Linotype"/>
          <w:b/>
          <w:i/>
          <w:sz w:val="21"/>
          <w:szCs w:val="21"/>
        </w:rPr>
        <w:t>.</w:t>
      </w:r>
      <w:r w:rsidRPr="00E10347">
        <w:rPr>
          <w:rFonts w:ascii="Palatino Linotype" w:hAnsi="Palatino Linotype"/>
          <w:b/>
          <w:sz w:val="21"/>
          <w:szCs w:val="21"/>
        </w:rPr>
        <w:t xml:space="preserve"> </w:t>
      </w:r>
      <w:r w:rsidRPr="00E10347">
        <w:rPr>
          <w:rStyle w:val="Refdenotaalpie"/>
          <w:rFonts w:ascii="Palatino Linotype" w:hAnsi="Palatino Linotype"/>
          <w:b/>
          <w:sz w:val="21"/>
          <w:szCs w:val="21"/>
        </w:rPr>
        <w:footnoteReference w:id="696"/>
      </w:r>
    </w:p>
    <w:p w:rsidR="00E10347" w:rsidRPr="00E10347" w:rsidRDefault="00E10347" w:rsidP="00E10347">
      <w:pPr>
        <w:pStyle w:val="Estilo1"/>
        <w:spacing w:line="240" w:lineRule="auto"/>
        <w:rPr>
          <w:rFonts w:ascii="Palatino Linotype" w:hAnsi="Palatino Linotype" w:cs="Arial"/>
          <w:sz w:val="21"/>
          <w:szCs w:val="21"/>
          <w:lang w:val="es-MX"/>
        </w:rPr>
      </w:pPr>
    </w:p>
    <w:p w:rsidR="00E10347" w:rsidRPr="00E10347" w:rsidRDefault="00E10347" w:rsidP="00E10347">
      <w:pPr>
        <w:ind w:firstLine="708"/>
        <w:jc w:val="both"/>
        <w:rPr>
          <w:rFonts w:ascii="Palatino Linotype" w:hAnsi="Palatino Linotype"/>
          <w:sz w:val="21"/>
          <w:szCs w:val="21"/>
          <w:lang w:val="es-MX"/>
        </w:rPr>
      </w:pPr>
      <w:r w:rsidRPr="00E10347">
        <w:rPr>
          <w:rFonts w:ascii="Palatino Linotype" w:hAnsi="Palatino Linotype"/>
          <w:sz w:val="21"/>
          <w:szCs w:val="21"/>
        </w:rPr>
        <w:t xml:space="preserve">Por tanto para los efectos de este estudio  afirmaremos  de forma preliminar que prueba es aquella encaminada a obtener la convicción del Juez, </w:t>
      </w:r>
      <w:r w:rsidRPr="00E10347">
        <w:rPr>
          <w:rFonts w:ascii="Palatino Linotype" w:hAnsi="Palatino Linotype"/>
          <w:sz w:val="21"/>
          <w:szCs w:val="21"/>
          <w:lang w:val="es-MX"/>
        </w:rPr>
        <w:t>Pero es que debe entenderse que la prueba su objeto  es el de llegar a efectuar el convencimiento del órgano sentenciador  sobre la veracidad de lo ocurrido, lo cual las diferentes partes procésales han afirmado en sus respectivas pretensiones, de esa misma forma la finalidad de la pericia es la de lograra dicha finalidad antes enunciada.</w:t>
      </w:r>
    </w:p>
    <w:p w:rsidR="00E10347" w:rsidRPr="00E10347" w:rsidRDefault="00E10347" w:rsidP="00E10347">
      <w:pPr>
        <w:ind w:firstLine="708"/>
        <w:jc w:val="both"/>
        <w:rPr>
          <w:rFonts w:ascii="Palatino Linotype" w:hAnsi="Palatino Linotype"/>
          <w:b/>
          <w:sz w:val="21"/>
          <w:szCs w:val="21"/>
          <w:lang w:val="es-MX"/>
        </w:rPr>
      </w:pPr>
      <w:r w:rsidRPr="00E10347">
        <w:rPr>
          <w:rFonts w:ascii="Palatino Linotype" w:hAnsi="Palatino Linotype"/>
          <w:sz w:val="21"/>
          <w:szCs w:val="21"/>
          <w:lang w:val="es-MX"/>
        </w:rPr>
        <w:t>Sobre éste punto correctamente lo afirma  el doctor</w:t>
      </w:r>
      <w:r w:rsidRPr="00E10347">
        <w:rPr>
          <w:rFonts w:ascii="Palatino Linotype" w:hAnsi="Palatino Linotype"/>
          <w:b/>
          <w:sz w:val="21"/>
          <w:szCs w:val="21"/>
          <w:lang w:val="es-MX"/>
        </w:rPr>
        <w:t xml:space="preserve"> MARCOS VILLAGÓMEZ </w:t>
      </w:r>
      <w:r w:rsidRPr="00E10347">
        <w:rPr>
          <w:rFonts w:ascii="Palatino Linotype" w:hAnsi="Palatino Linotype"/>
          <w:sz w:val="21"/>
          <w:szCs w:val="21"/>
          <w:lang w:val="es-MX"/>
        </w:rPr>
        <w:t>al</w:t>
      </w:r>
      <w:r w:rsidRPr="00E10347">
        <w:rPr>
          <w:rFonts w:ascii="Palatino Linotype" w:hAnsi="Palatino Linotype"/>
          <w:b/>
          <w:sz w:val="21"/>
          <w:szCs w:val="21"/>
          <w:lang w:val="es-MX"/>
        </w:rPr>
        <w:t xml:space="preserve">  </w:t>
      </w:r>
      <w:r w:rsidRPr="00E10347">
        <w:rPr>
          <w:rFonts w:ascii="Palatino Linotype" w:hAnsi="Palatino Linotype"/>
          <w:sz w:val="21"/>
          <w:szCs w:val="21"/>
          <w:lang w:val="es-MX"/>
        </w:rPr>
        <w:t>mencionar  que “</w:t>
      </w:r>
      <w:r w:rsidRPr="00E10347">
        <w:rPr>
          <w:rFonts w:ascii="Palatino Linotype" w:hAnsi="Palatino Linotype"/>
          <w:i/>
          <w:sz w:val="21"/>
          <w:szCs w:val="21"/>
          <w:lang w:val="es-MX"/>
        </w:rPr>
        <w:t>..la finalidad de las diligencias periciales es aportar al juez conocimientos científicos o técnicos que no posee, de ahí que en opinión de algunos autores, la actividad de los peritos no sea realmente una actividad probatoria sino más bien el auxilio y la cooperación con la justicia.” (19)</w:t>
      </w:r>
      <w:r w:rsidRPr="00E10347">
        <w:rPr>
          <w:rFonts w:ascii="Palatino Linotype" w:hAnsi="Palatino Linotype"/>
          <w:b/>
          <w:sz w:val="21"/>
          <w:szCs w:val="21"/>
          <w:lang w:val="es-MX"/>
        </w:rPr>
        <w:t xml:space="preserve"> </w:t>
      </w:r>
    </w:p>
    <w:p w:rsidR="00E10347" w:rsidRDefault="00E10347" w:rsidP="001E141B">
      <w:pPr>
        <w:pStyle w:val="Estilo1"/>
        <w:spacing w:line="240" w:lineRule="auto"/>
        <w:ind w:firstLine="708"/>
        <w:rPr>
          <w:rFonts w:ascii="Palatino Linotype" w:hAnsi="Palatino Linotype" w:cs="Arial"/>
          <w:sz w:val="21"/>
          <w:szCs w:val="21"/>
          <w:lang w:val="es-MX"/>
        </w:rPr>
      </w:pPr>
      <w:r w:rsidRPr="00E10347">
        <w:rPr>
          <w:rFonts w:ascii="Palatino Linotype" w:hAnsi="Palatino Linotype" w:cs="Arial"/>
          <w:sz w:val="21"/>
          <w:szCs w:val="21"/>
          <w:lang w:val="es-MX"/>
        </w:rPr>
        <w:t>Una vez habiendo definido claramente el termino de PERITO y PERICIA  haciendo una diferencia entre ellas (el primero es el órgano que aporta  su actividad al proceso y la segunda es el resultado de dicha actividad.), es menester ubicar dichos esfuerzos dent</w:t>
      </w:r>
      <w:r w:rsidR="001E141B">
        <w:rPr>
          <w:rFonts w:ascii="Palatino Linotype" w:hAnsi="Palatino Linotype" w:cs="Arial"/>
          <w:sz w:val="21"/>
          <w:szCs w:val="21"/>
          <w:lang w:val="es-MX"/>
        </w:rPr>
        <w:t>ro de nuestro derecho positivo.</w:t>
      </w:r>
    </w:p>
    <w:p w:rsidR="001E141B" w:rsidRPr="00E10347" w:rsidRDefault="001E141B" w:rsidP="001E141B">
      <w:pPr>
        <w:pStyle w:val="Estilo1"/>
        <w:spacing w:line="240" w:lineRule="auto"/>
        <w:ind w:firstLine="708"/>
        <w:rPr>
          <w:rFonts w:ascii="Palatino Linotype" w:hAnsi="Palatino Linotype"/>
          <w:b/>
          <w:sz w:val="21"/>
          <w:szCs w:val="21"/>
          <w:u w:val="single"/>
          <w:lang w:val="es-MX"/>
        </w:rPr>
      </w:pPr>
    </w:p>
    <w:p w:rsidR="00E10347" w:rsidRPr="00E10347" w:rsidRDefault="00E10347" w:rsidP="00E83320">
      <w:pPr>
        <w:pStyle w:val="Prrafodelista"/>
        <w:widowControl/>
        <w:numPr>
          <w:ilvl w:val="0"/>
          <w:numId w:val="11"/>
        </w:numPr>
        <w:autoSpaceDE/>
        <w:autoSpaceDN/>
        <w:adjustRightInd/>
        <w:ind w:hanging="360"/>
        <w:jc w:val="both"/>
        <w:rPr>
          <w:rFonts w:ascii="Palatino Linotype" w:hAnsi="Palatino Linotype"/>
          <w:b/>
          <w:sz w:val="21"/>
          <w:szCs w:val="21"/>
          <w:u w:val="single"/>
          <w:lang w:val="es-MX"/>
        </w:rPr>
      </w:pPr>
      <w:r w:rsidRPr="00E10347">
        <w:rPr>
          <w:rFonts w:ascii="Palatino Linotype" w:hAnsi="Palatino Linotype"/>
          <w:b/>
          <w:sz w:val="21"/>
          <w:szCs w:val="21"/>
          <w:u w:val="single"/>
          <w:lang w:val="es-MX"/>
        </w:rPr>
        <w:t>Abordaje Normativo:</w:t>
      </w:r>
    </w:p>
    <w:p w:rsidR="00E10347" w:rsidRPr="00E10347" w:rsidRDefault="00E10347" w:rsidP="00E10347">
      <w:pPr>
        <w:ind w:firstLine="283"/>
        <w:jc w:val="both"/>
        <w:rPr>
          <w:rFonts w:ascii="Palatino Linotype" w:hAnsi="Palatino Linotype"/>
          <w:sz w:val="21"/>
          <w:szCs w:val="21"/>
          <w:lang w:val="es-MX"/>
        </w:rPr>
      </w:pPr>
      <w:r w:rsidRPr="00E10347">
        <w:rPr>
          <w:rFonts w:ascii="Palatino Linotype" w:hAnsi="Palatino Linotype"/>
          <w:sz w:val="21"/>
          <w:szCs w:val="21"/>
          <w:lang w:val="es-MX"/>
        </w:rPr>
        <w:t>Nuestro Código Procesal Penal, regula  en el Libro III de los medios de prueba, Titulo IV, artículos  213 al 224 lo siguiente:</w:t>
      </w:r>
    </w:p>
    <w:p w:rsidR="00E10347" w:rsidRPr="001E141B" w:rsidRDefault="00E10347" w:rsidP="00E10347">
      <w:pPr>
        <w:pStyle w:val="Lista"/>
        <w:spacing w:after="0"/>
        <w:jc w:val="both"/>
        <w:rPr>
          <w:rFonts w:ascii="Palatino Linotype" w:eastAsia="MS Mincho" w:hAnsi="Palatino Linotype"/>
          <w:sz w:val="21"/>
          <w:szCs w:val="21"/>
          <w:lang w:val="es-MX"/>
        </w:rPr>
      </w:pPr>
    </w:p>
    <w:p w:rsidR="00E10347" w:rsidRPr="00E10347" w:rsidRDefault="00E10347" w:rsidP="00E10347">
      <w:pPr>
        <w:pStyle w:val="Lista"/>
        <w:spacing w:after="0"/>
        <w:jc w:val="both"/>
        <w:rPr>
          <w:rFonts w:ascii="Palatino Linotype" w:eastAsia="MS Mincho" w:hAnsi="Palatino Linotype"/>
          <w:b/>
          <w:color w:val="000080"/>
          <w:sz w:val="21"/>
          <w:szCs w:val="21"/>
          <w:u w:val="single"/>
        </w:rPr>
      </w:pPr>
      <w:r w:rsidRPr="00E10347">
        <w:rPr>
          <w:rFonts w:ascii="Palatino Linotype" w:eastAsia="MS Mincho" w:hAnsi="Palatino Linotype"/>
          <w:b/>
          <w:sz w:val="21"/>
          <w:szCs w:val="21"/>
          <w:u w:val="single"/>
        </w:rPr>
        <w:t xml:space="preserve">ARTICULO 213.- </w:t>
      </w:r>
    </w:p>
    <w:p w:rsidR="00E10347" w:rsidRPr="00E10347" w:rsidRDefault="00E10347" w:rsidP="00E10347">
      <w:pPr>
        <w:jc w:val="both"/>
        <w:rPr>
          <w:rFonts w:ascii="Palatino Linotype" w:eastAsia="MS Mincho" w:hAnsi="Palatino Linotype"/>
          <w:i/>
          <w:sz w:val="21"/>
          <w:szCs w:val="21"/>
        </w:rPr>
      </w:pPr>
      <w:r w:rsidRPr="00E10347">
        <w:rPr>
          <w:rFonts w:ascii="Palatino Linotype" w:eastAsia="MS Mincho" w:hAnsi="Palatino Linotype"/>
          <w:sz w:val="21"/>
          <w:szCs w:val="21"/>
        </w:rPr>
        <w:t>“</w:t>
      </w:r>
      <w:r w:rsidRPr="00E10347">
        <w:rPr>
          <w:rFonts w:ascii="Palatino Linotype" w:eastAsia="MS Mincho" w:hAnsi="Palatino Linotype"/>
          <w:i/>
          <w:sz w:val="21"/>
          <w:szCs w:val="21"/>
        </w:rPr>
        <w:t>Podrá ordenarse un peritaje cuando, para descubrir o valorar un elemento de prueba, sea necesario poseer conocimientos especiales en alguna ciencia, arte o técnica.</w:t>
      </w:r>
    </w:p>
    <w:p w:rsidR="00E10347" w:rsidRPr="00E10347" w:rsidRDefault="00E10347" w:rsidP="00E10347">
      <w:pPr>
        <w:ind w:firstLine="708"/>
        <w:jc w:val="both"/>
        <w:rPr>
          <w:rFonts w:ascii="Palatino Linotype" w:eastAsia="MS Mincho" w:hAnsi="Palatino Linotype"/>
          <w:sz w:val="21"/>
          <w:szCs w:val="21"/>
        </w:rPr>
      </w:pPr>
      <w:r w:rsidRPr="00E10347">
        <w:rPr>
          <w:rFonts w:ascii="Palatino Linotype" w:eastAsia="MS Mincho" w:hAnsi="Palatino Linotype"/>
          <w:sz w:val="21"/>
          <w:szCs w:val="21"/>
        </w:rPr>
        <w:t xml:space="preserve">Esta posición aboga que si bien el Juez esta en la obligación de conocer el derecho (IURA NOVIT CURIA), esto no excluye que se le auxilie  de ese conocimiento, en casos dudosos y oscuros (como es la legislación extranjera) </w:t>
      </w:r>
      <w:r w:rsidRPr="00E10347">
        <w:rPr>
          <w:rFonts w:ascii="Palatino Linotype" w:eastAsia="MS Mincho" w:hAnsi="Palatino Linotype"/>
          <w:sz w:val="21"/>
          <w:szCs w:val="21"/>
        </w:rPr>
        <w:lastRenderedPageBreak/>
        <w:t>(</w:t>
      </w:r>
      <w:r w:rsidRPr="00E10347">
        <w:rPr>
          <w:rFonts w:ascii="Palatino Linotype" w:eastAsia="MS Mincho" w:hAnsi="Palatino Linotype"/>
          <w:i/>
          <w:sz w:val="21"/>
          <w:szCs w:val="21"/>
        </w:rPr>
        <w:t>Principio de Libertad del Objeto de Prueba  en materia Penal</w:t>
      </w:r>
      <w:r w:rsidRPr="00E10347">
        <w:rPr>
          <w:rFonts w:ascii="Palatino Linotype" w:eastAsia="MS Mincho" w:hAnsi="Palatino Linotype"/>
          <w:sz w:val="21"/>
          <w:szCs w:val="21"/>
        </w:rPr>
        <w:t>).</w:t>
      </w:r>
    </w:p>
    <w:p w:rsidR="001E141B" w:rsidRDefault="001E141B" w:rsidP="001E141B">
      <w:pPr>
        <w:pStyle w:val="Prrafodelista"/>
        <w:widowControl/>
        <w:autoSpaceDE/>
        <w:autoSpaceDN/>
        <w:adjustRightInd/>
        <w:jc w:val="both"/>
        <w:rPr>
          <w:rFonts w:ascii="Palatino Linotype" w:hAnsi="Palatino Linotype"/>
          <w:b/>
          <w:sz w:val="21"/>
          <w:szCs w:val="21"/>
          <w:u w:val="single"/>
        </w:rPr>
      </w:pPr>
    </w:p>
    <w:p w:rsidR="00E10347" w:rsidRPr="00E10347" w:rsidRDefault="00E10347" w:rsidP="00E83320">
      <w:pPr>
        <w:pStyle w:val="Prrafodelista"/>
        <w:widowControl/>
        <w:numPr>
          <w:ilvl w:val="0"/>
          <w:numId w:val="11"/>
        </w:numPr>
        <w:autoSpaceDE/>
        <w:autoSpaceDN/>
        <w:adjustRightInd/>
        <w:ind w:hanging="360"/>
        <w:jc w:val="both"/>
        <w:rPr>
          <w:rFonts w:ascii="Palatino Linotype" w:hAnsi="Palatino Linotype"/>
          <w:b/>
          <w:sz w:val="21"/>
          <w:szCs w:val="21"/>
          <w:u w:val="single"/>
        </w:rPr>
      </w:pPr>
      <w:r w:rsidRPr="00E10347">
        <w:rPr>
          <w:rFonts w:ascii="Palatino Linotype" w:hAnsi="Palatino Linotype"/>
          <w:b/>
          <w:sz w:val="21"/>
          <w:szCs w:val="21"/>
          <w:u w:val="single"/>
        </w:rPr>
        <w:t>Procedencia de la Pericia:</w:t>
      </w:r>
    </w:p>
    <w:p w:rsidR="00E10347" w:rsidRPr="00E10347" w:rsidRDefault="00E10347" w:rsidP="00E10347">
      <w:pPr>
        <w:pStyle w:val="Ttulo6"/>
        <w:spacing w:before="0" w:after="0"/>
        <w:jc w:val="both"/>
        <w:rPr>
          <w:rFonts w:ascii="Palatino Linotype" w:hAnsi="Palatino Linotype" w:cs="Arial"/>
          <w:b w:val="0"/>
          <w:sz w:val="21"/>
          <w:szCs w:val="21"/>
          <w:lang w:val="es-CR"/>
        </w:rPr>
      </w:pPr>
      <w:r w:rsidRPr="00E10347">
        <w:rPr>
          <w:rFonts w:ascii="Palatino Linotype" w:hAnsi="Palatino Linotype" w:cs="Arial"/>
          <w:sz w:val="21"/>
          <w:szCs w:val="21"/>
          <w:lang w:val="es-CR"/>
        </w:rPr>
        <w:t xml:space="preserve"> El Código Procesal de Costa Rica dispone:</w:t>
      </w:r>
    </w:p>
    <w:p w:rsidR="00E10347" w:rsidRPr="00E10347" w:rsidRDefault="00E10347" w:rsidP="00E10347">
      <w:pPr>
        <w:jc w:val="both"/>
        <w:rPr>
          <w:rFonts w:ascii="Palatino Linotype" w:eastAsia="MS Mincho" w:hAnsi="Palatino Linotype"/>
          <w:sz w:val="21"/>
          <w:szCs w:val="21"/>
          <w:u w:val="single"/>
        </w:rPr>
      </w:pPr>
      <w:r w:rsidRPr="00E10347">
        <w:rPr>
          <w:rFonts w:ascii="Palatino Linotype" w:eastAsia="MS Mincho" w:hAnsi="Palatino Linotype"/>
          <w:b/>
          <w:sz w:val="21"/>
          <w:szCs w:val="21"/>
        </w:rPr>
        <w:t xml:space="preserve">    ARTICULO 213.-</w:t>
      </w:r>
      <w:r w:rsidRPr="00E10347">
        <w:rPr>
          <w:rFonts w:ascii="Palatino Linotype" w:eastAsia="MS Mincho" w:hAnsi="Palatino Linotype"/>
          <w:sz w:val="21"/>
          <w:szCs w:val="21"/>
        </w:rPr>
        <w:t xml:space="preserve">Podrá ordenarse un peritaje cuando, </w:t>
      </w:r>
      <w:r w:rsidRPr="00E10347">
        <w:rPr>
          <w:rFonts w:ascii="Palatino Linotype" w:eastAsia="MS Mincho" w:hAnsi="Palatino Linotype"/>
          <w:sz w:val="21"/>
          <w:szCs w:val="21"/>
          <w:u w:val="single"/>
        </w:rPr>
        <w:t>para descubrir o valorar un elemento de prueba, sea necesario poseer conocimientos especiales en alguna ciencia, arte o técnica.</w:t>
      </w:r>
    </w:p>
    <w:p w:rsidR="00E10347" w:rsidRPr="00E10347" w:rsidRDefault="00E10347" w:rsidP="00E10347">
      <w:pPr>
        <w:jc w:val="both"/>
        <w:rPr>
          <w:rFonts w:ascii="Palatino Linotype" w:eastAsia="MS Mincho" w:hAnsi="Palatino Linotype"/>
          <w:sz w:val="21"/>
          <w:szCs w:val="21"/>
          <w:u w:val="single"/>
        </w:rPr>
      </w:pPr>
    </w:p>
    <w:p w:rsidR="00E10347" w:rsidRPr="00E10347" w:rsidRDefault="00E10347" w:rsidP="001E141B">
      <w:pPr>
        <w:ind w:firstLine="708"/>
        <w:jc w:val="both"/>
        <w:rPr>
          <w:rFonts w:ascii="Palatino Linotype" w:eastAsia="MS Mincho" w:hAnsi="Palatino Linotype"/>
          <w:sz w:val="21"/>
          <w:szCs w:val="21"/>
        </w:rPr>
      </w:pPr>
      <w:r w:rsidRPr="00E10347">
        <w:rPr>
          <w:rFonts w:ascii="Palatino Linotype" w:eastAsia="MS Mincho" w:hAnsi="Palatino Linotype"/>
          <w:sz w:val="21"/>
          <w:szCs w:val="21"/>
        </w:rPr>
        <w:t xml:space="preserve">Sobre este mismo asunto la legislación Mexicana menciona en su </w:t>
      </w:r>
      <w:r w:rsidRPr="00E10347">
        <w:rPr>
          <w:rFonts w:ascii="Palatino Linotype" w:hAnsi="Palatino Linotype"/>
          <w:sz w:val="21"/>
          <w:szCs w:val="21"/>
        </w:rPr>
        <w:t xml:space="preserve">CÓDIGO FEDERAL DE PROCEDIMIENTOS PENALES de </w:t>
      </w:r>
      <w:r w:rsidRPr="00E10347">
        <w:rPr>
          <w:rFonts w:ascii="Palatino Linotype" w:hAnsi="Palatino Linotype"/>
          <w:b/>
          <w:sz w:val="21"/>
          <w:szCs w:val="21"/>
        </w:rPr>
        <w:t>MÉXICO</w:t>
      </w:r>
      <w:r w:rsidRPr="00E10347">
        <w:rPr>
          <w:rFonts w:ascii="Palatino Linotype" w:eastAsia="MS Mincho" w:hAnsi="Palatino Linotype"/>
          <w:sz w:val="21"/>
          <w:szCs w:val="21"/>
        </w:rPr>
        <w:t>:</w:t>
      </w:r>
    </w:p>
    <w:p w:rsidR="00E10347" w:rsidRPr="00E10347" w:rsidRDefault="00E10347" w:rsidP="00E10347">
      <w:pPr>
        <w:pStyle w:val="NormalWeb"/>
        <w:spacing w:before="0" w:beforeAutospacing="0" w:after="0" w:afterAutospacing="0"/>
        <w:ind w:left="709"/>
        <w:jc w:val="both"/>
        <w:rPr>
          <w:rFonts w:ascii="Palatino Linotype" w:hAnsi="Palatino Linotype" w:cs="Arial"/>
          <w:sz w:val="21"/>
          <w:szCs w:val="21"/>
          <w:lang w:val="es-MX"/>
        </w:rPr>
      </w:pPr>
      <w:r w:rsidRPr="00E10347">
        <w:rPr>
          <w:rFonts w:ascii="Palatino Linotype" w:hAnsi="Palatino Linotype" w:cs="Arial"/>
          <w:b/>
          <w:sz w:val="21"/>
          <w:szCs w:val="21"/>
        </w:rPr>
        <w:t>ARTICULO 220.</w:t>
      </w:r>
      <w:r w:rsidRPr="00E10347">
        <w:rPr>
          <w:rFonts w:ascii="Palatino Linotype" w:hAnsi="Palatino Linotype" w:cs="Arial"/>
          <w:sz w:val="21"/>
          <w:szCs w:val="21"/>
        </w:rPr>
        <w:t xml:space="preserve">- “siempre que para el examen de personas, hechos u objetos, se requieran conocimientos especiales se procederá con intervención de peritos.” </w:t>
      </w:r>
      <w:r w:rsidRPr="00E10347">
        <w:rPr>
          <w:rStyle w:val="Refdenotaalpie"/>
          <w:rFonts w:ascii="Palatino Linotype" w:hAnsi="Palatino Linotype" w:cs="Arial"/>
          <w:sz w:val="21"/>
          <w:szCs w:val="21"/>
        </w:rPr>
        <w:footnoteReference w:id="697"/>
      </w:r>
    </w:p>
    <w:p w:rsidR="00E10347" w:rsidRPr="00E10347" w:rsidRDefault="00E10347" w:rsidP="00E10347">
      <w:pPr>
        <w:pStyle w:val="NormalWeb"/>
        <w:spacing w:before="0" w:beforeAutospacing="0" w:after="0" w:afterAutospacing="0"/>
        <w:jc w:val="both"/>
        <w:rPr>
          <w:rFonts w:ascii="Palatino Linotype" w:hAnsi="Palatino Linotype" w:cs="Arial"/>
          <w:sz w:val="21"/>
          <w:szCs w:val="21"/>
          <w:u w:val="single"/>
          <w:lang w:val="es-MX"/>
        </w:rPr>
      </w:pPr>
    </w:p>
    <w:p w:rsidR="00E10347" w:rsidRPr="00E10347" w:rsidRDefault="00E10347" w:rsidP="00E10347">
      <w:pPr>
        <w:ind w:firstLine="708"/>
        <w:jc w:val="both"/>
        <w:rPr>
          <w:rFonts w:ascii="Palatino Linotype" w:eastAsia="MS Mincho" w:hAnsi="Palatino Linotype"/>
          <w:sz w:val="21"/>
          <w:szCs w:val="21"/>
        </w:rPr>
      </w:pPr>
      <w:r w:rsidRPr="00E10347">
        <w:rPr>
          <w:rFonts w:ascii="Palatino Linotype" w:eastAsia="MS Mincho" w:hAnsi="Palatino Linotype"/>
          <w:sz w:val="21"/>
          <w:szCs w:val="21"/>
        </w:rPr>
        <w:t xml:space="preserve">Solo procederá la pericia cuando se </w:t>
      </w:r>
      <w:r w:rsidRPr="00E10347">
        <w:rPr>
          <w:rFonts w:ascii="Palatino Linotype" w:eastAsia="MS Mincho" w:hAnsi="Palatino Linotype"/>
          <w:sz w:val="21"/>
          <w:szCs w:val="21"/>
          <w:u w:val="single"/>
        </w:rPr>
        <w:t>necesite</w:t>
      </w:r>
      <w:r w:rsidRPr="00E10347">
        <w:rPr>
          <w:rFonts w:ascii="Palatino Linotype" w:eastAsia="MS Mincho" w:hAnsi="Palatino Linotype"/>
          <w:sz w:val="21"/>
          <w:szCs w:val="21"/>
        </w:rPr>
        <w:t xml:space="preserve"> conocimientos especiales por parte del Juez para valorar un elemento de prueba. De esto se colige que no en todos los casos se requerirá la intervención de un perito.</w:t>
      </w:r>
    </w:p>
    <w:p w:rsidR="00E10347" w:rsidRPr="00E10347" w:rsidRDefault="00E10347" w:rsidP="00E10347">
      <w:pPr>
        <w:ind w:firstLine="708"/>
        <w:jc w:val="both"/>
        <w:rPr>
          <w:rFonts w:ascii="Palatino Linotype" w:eastAsia="MS Mincho" w:hAnsi="Palatino Linotype"/>
          <w:sz w:val="21"/>
          <w:szCs w:val="21"/>
        </w:rPr>
      </w:pPr>
    </w:p>
    <w:p w:rsidR="00E10347" w:rsidRPr="00E10347" w:rsidRDefault="00E10347" w:rsidP="001E141B">
      <w:pPr>
        <w:ind w:firstLine="708"/>
        <w:jc w:val="both"/>
        <w:rPr>
          <w:rFonts w:ascii="Palatino Linotype" w:eastAsia="MS Mincho" w:hAnsi="Palatino Linotype"/>
          <w:sz w:val="21"/>
          <w:szCs w:val="21"/>
        </w:rPr>
      </w:pPr>
      <w:r w:rsidRPr="00E10347">
        <w:rPr>
          <w:rFonts w:ascii="Palatino Linotype" w:eastAsia="MS Mincho" w:hAnsi="Palatino Linotype"/>
          <w:sz w:val="21"/>
          <w:szCs w:val="21"/>
        </w:rPr>
        <w:t xml:space="preserve">Algo muy importante menciona </w:t>
      </w:r>
      <w:r w:rsidRPr="00E10347">
        <w:rPr>
          <w:rFonts w:ascii="Palatino Linotype" w:eastAsia="MS Mincho" w:hAnsi="Palatino Linotype"/>
          <w:b/>
          <w:sz w:val="21"/>
          <w:szCs w:val="21"/>
          <w:u w:val="single"/>
        </w:rPr>
        <w:t>CAFERATA  NORES</w:t>
      </w:r>
      <w:r w:rsidRPr="00E10347">
        <w:rPr>
          <w:rFonts w:ascii="Palatino Linotype" w:eastAsia="MS Mincho" w:hAnsi="Palatino Linotype"/>
          <w:sz w:val="21"/>
          <w:szCs w:val="21"/>
        </w:rPr>
        <w:t xml:space="preserve"> refiriéndose a que el Juez solo podrá auxiliarse de peritos </w:t>
      </w:r>
      <w:r w:rsidRPr="00E10347">
        <w:rPr>
          <w:rFonts w:ascii="Palatino Linotype" w:eastAsia="MS Mincho" w:hAnsi="Palatino Linotype"/>
          <w:sz w:val="21"/>
          <w:szCs w:val="21"/>
          <w:u w:val="single"/>
        </w:rPr>
        <w:t xml:space="preserve">SOBRE CUESTIONES DE HECHOS </w:t>
      </w:r>
      <w:r w:rsidRPr="00E10347">
        <w:rPr>
          <w:rFonts w:ascii="Palatino Linotype" w:eastAsia="MS Mincho" w:hAnsi="Palatino Linotype"/>
          <w:sz w:val="21"/>
          <w:szCs w:val="21"/>
        </w:rPr>
        <w:t xml:space="preserve"> y nunca </w:t>
      </w:r>
      <w:r w:rsidRPr="00E10347">
        <w:rPr>
          <w:rFonts w:ascii="Palatino Linotype" w:eastAsia="MS Mincho" w:hAnsi="Palatino Linotype"/>
          <w:sz w:val="21"/>
          <w:szCs w:val="21"/>
          <w:u w:val="single"/>
        </w:rPr>
        <w:t xml:space="preserve">SOBRE CUESTIONES JURÍDICAS </w:t>
      </w:r>
      <w:r w:rsidRPr="00E10347">
        <w:rPr>
          <w:rFonts w:ascii="Palatino Linotype" w:eastAsia="MS Mincho" w:hAnsi="Palatino Linotype"/>
          <w:b/>
          <w:sz w:val="21"/>
          <w:szCs w:val="21"/>
        </w:rPr>
        <w:t xml:space="preserve">(21). </w:t>
      </w:r>
      <w:r w:rsidR="00EA7DD2">
        <w:rPr>
          <w:rFonts w:ascii="Palatino Linotype" w:eastAsia="MS Mincho" w:hAnsi="Palatino Linotype"/>
          <w:b/>
          <w:sz w:val="21"/>
          <w:szCs w:val="21"/>
        </w:rPr>
        <w:t xml:space="preserve"> </w:t>
      </w:r>
      <w:r w:rsidRPr="00E10347">
        <w:rPr>
          <w:rFonts w:ascii="Palatino Linotype" w:eastAsia="MS Mincho" w:hAnsi="Palatino Linotype"/>
          <w:sz w:val="21"/>
          <w:szCs w:val="21"/>
        </w:rPr>
        <w:t>Sobre esto CAFERATA  NORES</w:t>
      </w:r>
      <w:r w:rsidRPr="00E10347">
        <w:rPr>
          <w:rStyle w:val="Refdenotaalpie"/>
          <w:rFonts w:ascii="Palatino Linotype" w:eastAsia="MS Mincho" w:hAnsi="Palatino Linotype"/>
          <w:sz w:val="21"/>
          <w:szCs w:val="21"/>
        </w:rPr>
        <w:footnoteReference w:id="698"/>
      </w:r>
      <w:r w:rsidRPr="00E10347">
        <w:rPr>
          <w:rFonts w:ascii="Palatino Linotype" w:eastAsia="MS Mincho" w:hAnsi="Palatino Linotype"/>
          <w:sz w:val="21"/>
          <w:szCs w:val="21"/>
        </w:rPr>
        <w:t xml:space="preserve">,  señala, que no  </w:t>
      </w:r>
      <w:r w:rsidRPr="00E10347">
        <w:rPr>
          <w:rFonts w:ascii="Palatino Linotype" w:eastAsia="MS Mincho" w:hAnsi="Palatino Linotype"/>
          <w:i/>
          <w:sz w:val="21"/>
          <w:szCs w:val="21"/>
        </w:rPr>
        <w:t xml:space="preserve"> </w:t>
      </w:r>
      <w:r w:rsidRPr="00E10347">
        <w:rPr>
          <w:rFonts w:ascii="Palatino Linotype" w:eastAsia="MS Mincho" w:hAnsi="Palatino Linotype"/>
          <w:sz w:val="21"/>
          <w:szCs w:val="21"/>
        </w:rPr>
        <w:t>requiriere la intervención de un perito en los siguientes casos:</w:t>
      </w:r>
    </w:p>
    <w:p w:rsidR="00E10347" w:rsidRPr="00E10347" w:rsidRDefault="00E10347" w:rsidP="00E10347">
      <w:pPr>
        <w:jc w:val="both"/>
        <w:rPr>
          <w:rFonts w:ascii="Palatino Linotype" w:eastAsia="MS Mincho" w:hAnsi="Palatino Linotype"/>
          <w:i/>
          <w:sz w:val="21"/>
          <w:szCs w:val="21"/>
        </w:rPr>
      </w:pPr>
      <w:r w:rsidRPr="00E10347">
        <w:rPr>
          <w:rFonts w:ascii="Palatino Linotype" w:eastAsia="MS Mincho" w:hAnsi="Palatino Linotype"/>
          <w:i/>
          <w:sz w:val="21"/>
          <w:szCs w:val="21"/>
        </w:rPr>
        <w:t>1.-  Para la realización de meras comprobaciones matemáticas que pudieran ser llevadas a cabo por cualquier persona (como por ejemplo, verificar si las llaves secuestradas abren la puerta del lugar de  los hechos)</w:t>
      </w:r>
    </w:p>
    <w:p w:rsidR="00E10347" w:rsidRPr="00E10347" w:rsidRDefault="00E10347" w:rsidP="00E10347">
      <w:pPr>
        <w:jc w:val="both"/>
        <w:rPr>
          <w:rFonts w:ascii="Palatino Linotype" w:eastAsia="MS Mincho" w:hAnsi="Palatino Linotype"/>
          <w:sz w:val="21"/>
          <w:szCs w:val="21"/>
        </w:rPr>
      </w:pPr>
      <w:r w:rsidRPr="00E10347">
        <w:rPr>
          <w:rFonts w:ascii="Palatino Linotype" w:eastAsia="MS Mincho" w:hAnsi="Palatino Linotype"/>
          <w:i/>
          <w:sz w:val="21"/>
          <w:szCs w:val="21"/>
        </w:rPr>
        <w:t>2.-  Cuando dentro de la cultura normal o cultura general, puede encontrarse la regla o criterio para resolver la cuestión; es decir, cuando pueda solucionarse mediante  los conocimientos básicos de cualquier hombre culto (como, por ejemplo, mediante la aplicación de la ley de la gravedad).</w:t>
      </w:r>
    </w:p>
    <w:p w:rsidR="00E10347" w:rsidRPr="00E10347" w:rsidRDefault="00E10347" w:rsidP="00E10347">
      <w:pPr>
        <w:jc w:val="both"/>
        <w:rPr>
          <w:rFonts w:ascii="Palatino Linotype" w:eastAsia="MS Mincho" w:hAnsi="Palatino Linotype"/>
          <w:sz w:val="21"/>
          <w:szCs w:val="21"/>
        </w:rPr>
      </w:pPr>
    </w:p>
    <w:p w:rsidR="00E10347" w:rsidRPr="00E10347" w:rsidRDefault="00E10347" w:rsidP="001E141B">
      <w:pPr>
        <w:ind w:firstLine="708"/>
        <w:jc w:val="both"/>
        <w:rPr>
          <w:rFonts w:ascii="Palatino Linotype" w:eastAsia="MS Mincho" w:hAnsi="Palatino Linotype"/>
          <w:i/>
          <w:sz w:val="21"/>
          <w:szCs w:val="21"/>
        </w:rPr>
      </w:pPr>
      <w:r w:rsidRPr="00E10347">
        <w:rPr>
          <w:rFonts w:ascii="Palatino Linotype" w:eastAsia="MS Mincho" w:hAnsi="Palatino Linotype"/>
          <w:sz w:val="21"/>
          <w:szCs w:val="21"/>
        </w:rPr>
        <w:t>Sobre este punto, hemos señalado previamente lo siguiente</w:t>
      </w:r>
      <w:r w:rsidRPr="00E10347">
        <w:rPr>
          <w:rFonts w:ascii="Palatino Linotype" w:eastAsia="MS Mincho" w:hAnsi="Palatino Linotype"/>
          <w:b/>
          <w:sz w:val="21"/>
          <w:szCs w:val="21"/>
        </w:rPr>
        <w:t>:</w:t>
      </w:r>
      <w:r w:rsidRPr="00E10347">
        <w:rPr>
          <w:rFonts w:ascii="Palatino Linotype" w:eastAsia="MS Mincho" w:hAnsi="Palatino Linotype"/>
          <w:i/>
          <w:sz w:val="21"/>
          <w:szCs w:val="21"/>
        </w:rPr>
        <w:t xml:space="preserve"> “El Juez no </w:t>
      </w:r>
      <w:r w:rsidRPr="00E10347">
        <w:rPr>
          <w:rFonts w:ascii="Palatino Linotype" w:eastAsia="MS Mincho" w:hAnsi="Palatino Linotype"/>
          <w:i/>
          <w:sz w:val="21"/>
          <w:szCs w:val="21"/>
        </w:rPr>
        <w:lastRenderedPageBreak/>
        <w:t xml:space="preserve">encarga labores periciales a alguien cuya función primordial sea limpiar las oficinas, o recoger por escrito manifestaciones de los testigos,.........sino a un sujeto que gracias a sus  conocimientos particulares, innatos o profesionalmente adquiridos, puede vertir asesoramiento y luz al proceso penal...” </w:t>
      </w:r>
      <w:r w:rsidRPr="00E10347">
        <w:rPr>
          <w:rStyle w:val="Refdenotaalpie"/>
          <w:rFonts w:ascii="Palatino Linotype" w:eastAsia="MS Mincho" w:hAnsi="Palatino Linotype"/>
          <w:i/>
          <w:sz w:val="21"/>
          <w:szCs w:val="21"/>
        </w:rPr>
        <w:footnoteReference w:id="699"/>
      </w:r>
    </w:p>
    <w:p w:rsidR="00E10347" w:rsidRPr="00E10347" w:rsidRDefault="00E10347" w:rsidP="00E10347">
      <w:pPr>
        <w:jc w:val="both"/>
        <w:rPr>
          <w:rFonts w:ascii="Palatino Linotype" w:eastAsia="MS Mincho" w:hAnsi="Palatino Linotype"/>
          <w:b/>
          <w:sz w:val="21"/>
          <w:szCs w:val="21"/>
        </w:rPr>
      </w:pPr>
    </w:p>
    <w:p w:rsidR="00E10347" w:rsidRPr="00E10347" w:rsidRDefault="00E10347" w:rsidP="00E10347">
      <w:pPr>
        <w:pStyle w:val="NormalWeb"/>
        <w:spacing w:before="0" w:beforeAutospacing="0" w:after="0" w:afterAutospacing="0"/>
        <w:jc w:val="both"/>
        <w:rPr>
          <w:rFonts w:ascii="Palatino Linotype" w:hAnsi="Palatino Linotype" w:cs="Arial"/>
          <w:sz w:val="21"/>
          <w:szCs w:val="21"/>
        </w:rPr>
      </w:pPr>
      <w:r w:rsidRPr="00E10347">
        <w:rPr>
          <w:rFonts w:ascii="Palatino Linotype" w:hAnsi="Palatino Linotype" w:cs="Arial"/>
          <w:b/>
          <w:sz w:val="21"/>
          <w:szCs w:val="21"/>
          <w:u w:val="single"/>
        </w:rPr>
        <w:t>Ignacio Gutiérrez</w:t>
      </w:r>
      <w:r w:rsidRPr="00E10347">
        <w:rPr>
          <w:rFonts w:ascii="Palatino Linotype" w:hAnsi="Palatino Linotype" w:cs="Arial"/>
          <w:sz w:val="21"/>
          <w:szCs w:val="21"/>
        </w:rPr>
        <w:t xml:space="preserve"> menciona sobre la prueba pericial:</w:t>
      </w:r>
    </w:p>
    <w:p w:rsidR="00E10347" w:rsidRPr="00E10347" w:rsidRDefault="00E10347" w:rsidP="00E10347">
      <w:pPr>
        <w:pStyle w:val="NormalWeb"/>
        <w:spacing w:before="0" w:beforeAutospacing="0" w:after="0" w:afterAutospacing="0"/>
        <w:jc w:val="both"/>
        <w:rPr>
          <w:rFonts w:ascii="Palatino Linotype" w:hAnsi="Palatino Linotype" w:cs="Arial"/>
          <w:i/>
          <w:sz w:val="21"/>
          <w:szCs w:val="21"/>
        </w:rPr>
      </w:pPr>
      <w:r w:rsidRPr="00E10347">
        <w:rPr>
          <w:rFonts w:ascii="Palatino Linotype" w:hAnsi="Palatino Linotype" w:cs="Arial"/>
          <w:i/>
          <w:sz w:val="21"/>
          <w:szCs w:val="21"/>
        </w:rPr>
        <w:t xml:space="preserve"> “Si para el examen de alguna persona o de algún objeto se requieren conocimientos especiales, se procederá con intervención de peritos.</w:t>
      </w:r>
    </w:p>
    <w:p w:rsidR="00E10347" w:rsidRPr="00E10347" w:rsidRDefault="00E10347" w:rsidP="00E10347">
      <w:pPr>
        <w:pStyle w:val="NormalWeb"/>
        <w:spacing w:before="0" w:beforeAutospacing="0" w:after="0" w:afterAutospacing="0"/>
        <w:jc w:val="both"/>
        <w:rPr>
          <w:rFonts w:ascii="Palatino Linotype" w:hAnsi="Palatino Linotype" w:cs="Arial"/>
          <w:i/>
          <w:sz w:val="21"/>
          <w:szCs w:val="21"/>
        </w:rPr>
      </w:pPr>
      <w:r w:rsidRPr="00E10347">
        <w:rPr>
          <w:rFonts w:ascii="Palatino Linotype" w:hAnsi="Palatino Linotype" w:cs="Arial"/>
          <w:i/>
          <w:sz w:val="21"/>
          <w:szCs w:val="21"/>
        </w:rPr>
        <w:t xml:space="preserve">Los peritos que dictaminen serán dos o más; pero bastará uno cuando </w:t>
      </w:r>
      <w:r w:rsidR="002A76CC">
        <w:rPr>
          <w:rFonts w:ascii="Palatino Linotype" w:hAnsi="Palatino Linotype" w:cs="Arial"/>
          <w:i/>
          <w:sz w:val="21"/>
          <w:szCs w:val="21"/>
        </w:rPr>
        <w:t xml:space="preserve">solo </w:t>
      </w:r>
      <w:r w:rsidRPr="00E10347">
        <w:rPr>
          <w:rFonts w:ascii="Palatino Linotype" w:hAnsi="Palatino Linotype" w:cs="Arial"/>
          <w:i/>
          <w:sz w:val="21"/>
          <w:szCs w:val="21"/>
        </w:rPr>
        <w:t>éste pueda ser habido, cuando haya peligro en el retardo o cuando el caso sea de poca importancia.”</w:t>
      </w:r>
      <w:r w:rsidRPr="00E10347">
        <w:rPr>
          <w:rStyle w:val="Refdenotaalpie"/>
          <w:rFonts w:ascii="Palatino Linotype" w:hAnsi="Palatino Linotype" w:cs="Arial"/>
          <w:i/>
          <w:sz w:val="21"/>
          <w:szCs w:val="21"/>
        </w:rPr>
        <w:footnoteReference w:id="700"/>
      </w:r>
    </w:p>
    <w:p w:rsidR="001E141B" w:rsidRDefault="001E141B" w:rsidP="001E141B">
      <w:pPr>
        <w:pStyle w:val="Prrafodelista"/>
        <w:widowControl/>
        <w:autoSpaceDE/>
        <w:autoSpaceDN/>
        <w:adjustRightInd/>
        <w:jc w:val="both"/>
        <w:rPr>
          <w:rFonts w:ascii="Palatino Linotype" w:eastAsia="MS Mincho" w:hAnsi="Palatino Linotype"/>
          <w:b/>
          <w:sz w:val="21"/>
          <w:szCs w:val="21"/>
          <w:u w:val="single"/>
        </w:rPr>
      </w:pPr>
    </w:p>
    <w:p w:rsidR="00E10347" w:rsidRPr="00E10347" w:rsidRDefault="00E10347" w:rsidP="00E83320">
      <w:pPr>
        <w:pStyle w:val="Prrafodelista"/>
        <w:widowControl/>
        <w:numPr>
          <w:ilvl w:val="0"/>
          <w:numId w:val="11"/>
        </w:numPr>
        <w:autoSpaceDE/>
        <w:autoSpaceDN/>
        <w:adjustRightInd/>
        <w:ind w:hanging="360"/>
        <w:jc w:val="both"/>
        <w:rPr>
          <w:rFonts w:ascii="Palatino Linotype" w:eastAsia="MS Mincho" w:hAnsi="Palatino Linotype"/>
          <w:b/>
          <w:sz w:val="21"/>
          <w:szCs w:val="21"/>
          <w:u w:val="single"/>
        </w:rPr>
      </w:pPr>
      <w:r w:rsidRPr="00E10347">
        <w:rPr>
          <w:rFonts w:ascii="Palatino Linotype" w:eastAsia="MS Mincho" w:hAnsi="Palatino Linotype"/>
          <w:b/>
          <w:sz w:val="21"/>
          <w:szCs w:val="21"/>
          <w:u w:val="single"/>
        </w:rPr>
        <w:t>Calidad Habilitante:</w:t>
      </w:r>
    </w:p>
    <w:p w:rsidR="00E10347" w:rsidRPr="00E10347" w:rsidRDefault="00E10347" w:rsidP="00E10347">
      <w:pPr>
        <w:ind w:firstLine="708"/>
        <w:jc w:val="both"/>
        <w:rPr>
          <w:rFonts w:ascii="Palatino Linotype" w:eastAsia="MS Mincho" w:hAnsi="Palatino Linotype"/>
          <w:sz w:val="21"/>
          <w:szCs w:val="21"/>
        </w:rPr>
      </w:pPr>
      <w:r w:rsidRPr="00E10347">
        <w:rPr>
          <w:rFonts w:ascii="Palatino Linotype" w:eastAsia="MS Mincho" w:hAnsi="Palatino Linotype"/>
          <w:sz w:val="21"/>
          <w:szCs w:val="21"/>
        </w:rPr>
        <w:t xml:space="preserve">Generalmente se tiende a regular  en los Códigos las personas que pueden actuar como perito por su conducta, salud mental, edad, etc. </w:t>
      </w:r>
    </w:p>
    <w:p w:rsidR="00E10347" w:rsidRPr="00E10347" w:rsidRDefault="00E10347" w:rsidP="00E10347">
      <w:pPr>
        <w:jc w:val="both"/>
        <w:rPr>
          <w:rFonts w:ascii="Palatino Linotype" w:eastAsia="MS Mincho" w:hAnsi="Palatino Linotype"/>
          <w:sz w:val="21"/>
          <w:szCs w:val="21"/>
        </w:rPr>
      </w:pPr>
    </w:p>
    <w:p w:rsidR="00E10347" w:rsidRPr="00E10347" w:rsidRDefault="00E10347" w:rsidP="00E10347">
      <w:pPr>
        <w:jc w:val="both"/>
        <w:rPr>
          <w:rFonts w:ascii="Palatino Linotype" w:eastAsia="MS Mincho" w:hAnsi="Palatino Linotype"/>
          <w:b/>
          <w:sz w:val="21"/>
          <w:szCs w:val="21"/>
          <w:u w:val="single"/>
        </w:rPr>
      </w:pPr>
      <w:r w:rsidRPr="00E10347">
        <w:rPr>
          <w:rFonts w:ascii="Palatino Linotype" w:eastAsia="MS Mincho" w:hAnsi="Palatino Linotype"/>
          <w:sz w:val="21"/>
          <w:szCs w:val="21"/>
        </w:rPr>
        <w:t xml:space="preserve">Nuestros Ordenamiento Jurídico exige una </w:t>
      </w:r>
      <w:r w:rsidRPr="00E10347">
        <w:rPr>
          <w:rFonts w:ascii="Palatino Linotype" w:eastAsia="MS Mincho" w:hAnsi="Palatino Linotype"/>
          <w:b/>
          <w:sz w:val="21"/>
          <w:szCs w:val="21"/>
          <w:u w:val="single"/>
        </w:rPr>
        <w:t>CALIDAD HABILITANTE:</w:t>
      </w:r>
    </w:p>
    <w:p w:rsidR="00E10347" w:rsidRPr="00E10347" w:rsidRDefault="00E10347" w:rsidP="00E83320">
      <w:pPr>
        <w:widowControl/>
        <w:numPr>
          <w:ilvl w:val="0"/>
          <w:numId w:val="41"/>
        </w:numPr>
        <w:autoSpaceDE/>
        <w:autoSpaceDN/>
        <w:adjustRightInd/>
        <w:jc w:val="both"/>
        <w:rPr>
          <w:rFonts w:ascii="Palatino Linotype" w:eastAsia="MS Mincho" w:hAnsi="Palatino Linotype"/>
          <w:sz w:val="21"/>
          <w:szCs w:val="21"/>
        </w:rPr>
      </w:pPr>
      <w:r w:rsidRPr="00E10347">
        <w:rPr>
          <w:rFonts w:ascii="Palatino Linotype" w:eastAsia="MS Mincho" w:hAnsi="Palatino Linotype"/>
          <w:sz w:val="21"/>
          <w:szCs w:val="21"/>
        </w:rPr>
        <w:t>Peritos titulados</w:t>
      </w:r>
    </w:p>
    <w:p w:rsidR="00E10347" w:rsidRPr="00E10347" w:rsidRDefault="00E10347" w:rsidP="00E83320">
      <w:pPr>
        <w:widowControl/>
        <w:numPr>
          <w:ilvl w:val="0"/>
          <w:numId w:val="41"/>
        </w:numPr>
        <w:autoSpaceDE/>
        <w:autoSpaceDN/>
        <w:adjustRightInd/>
        <w:jc w:val="both"/>
        <w:rPr>
          <w:rFonts w:ascii="Palatino Linotype" w:eastAsia="MS Mincho" w:hAnsi="Palatino Linotype"/>
          <w:sz w:val="21"/>
          <w:szCs w:val="21"/>
        </w:rPr>
      </w:pPr>
      <w:r w:rsidRPr="00E10347">
        <w:rPr>
          <w:rFonts w:ascii="Palatino Linotype" w:eastAsia="MS Mincho" w:hAnsi="Palatino Linotype"/>
          <w:sz w:val="21"/>
          <w:szCs w:val="21"/>
        </w:rPr>
        <w:t>Peritos no titulados</w:t>
      </w:r>
    </w:p>
    <w:p w:rsidR="00E10347" w:rsidRPr="00E10347" w:rsidRDefault="00E10347" w:rsidP="00E10347">
      <w:pPr>
        <w:jc w:val="both"/>
        <w:rPr>
          <w:rFonts w:ascii="Palatino Linotype" w:eastAsia="MS Mincho" w:hAnsi="Palatino Linotype"/>
          <w:sz w:val="21"/>
          <w:szCs w:val="21"/>
        </w:rPr>
      </w:pPr>
    </w:p>
    <w:p w:rsidR="00E10347" w:rsidRPr="00E10347" w:rsidRDefault="00E10347" w:rsidP="00E10347">
      <w:pPr>
        <w:pStyle w:val="Textoindependiente3"/>
        <w:spacing w:line="240" w:lineRule="auto"/>
        <w:rPr>
          <w:rFonts w:ascii="Palatino Linotype" w:eastAsia="MS Mincho" w:hAnsi="Palatino Linotype" w:cs="Arial"/>
          <w:sz w:val="21"/>
          <w:szCs w:val="21"/>
        </w:rPr>
      </w:pPr>
      <w:r w:rsidRPr="00E10347">
        <w:rPr>
          <w:rFonts w:ascii="Palatino Linotype" w:eastAsia="MS Mincho" w:hAnsi="Palatino Linotype" w:cs="Arial"/>
          <w:sz w:val="21"/>
          <w:szCs w:val="21"/>
        </w:rPr>
        <w:t xml:space="preserve">ARTICULO 214.- </w:t>
      </w:r>
      <w:r w:rsidRPr="00E10347">
        <w:rPr>
          <w:rFonts w:ascii="Palatino Linotype" w:eastAsia="MS Mincho" w:hAnsi="Palatino Linotype" w:cs="Arial"/>
          <w:b/>
          <w:sz w:val="21"/>
          <w:szCs w:val="21"/>
          <w:u w:val="single"/>
        </w:rPr>
        <w:t>Título habilitante</w:t>
      </w:r>
    </w:p>
    <w:p w:rsidR="00E10347" w:rsidRPr="00E10347" w:rsidRDefault="00E10347" w:rsidP="00E10347">
      <w:pPr>
        <w:jc w:val="both"/>
        <w:rPr>
          <w:rFonts w:ascii="Palatino Linotype" w:eastAsia="MS Mincho" w:hAnsi="Palatino Linotype"/>
          <w:sz w:val="21"/>
          <w:szCs w:val="21"/>
          <w:u w:val="single"/>
        </w:rPr>
      </w:pPr>
      <w:r w:rsidRPr="00E10347">
        <w:rPr>
          <w:rFonts w:ascii="Palatino Linotype" w:eastAsia="MS Mincho" w:hAnsi="Palatino Linotype"/>
          <w:sz w:val="21"/>
          <w:szCs w:val="21"/>
        </w:rPr>
        <w:t>“Los peritos deberán poseer</w:t>
      </w:r>
      <w:r w:rsidRPr="00E10347">
        <w:rPr>
          <w:rFonts w:ascii="Palatino Linotype" w:eastAsia="MS Mincho" w:hAnsi="Palatino Linotype"/>
          <w:sz w:val="21"/>
          <w:szCs w:val="21"/>
          <w:u w:val="single"/>
        </w:rPr>
        <w:t xml:space="preserve"> </w:t>
      </w:r>
      <w:r w:rsidRPr="00E10347">
        <w:rPr>
          <w:rFonts w:ascii="Palatino Linotype" w:eastAsia="MS Mincho" w:hAnsi="Palatino Linotype"/>
          <w:i/>
          <w:sz w:val="21"/>
          <w:szCs w:val="21"/>
          <w:u w:val="single"/>
        </w:rPr>
        <w:t>título habilitante</w:t>
      </w:r>
      <w:r w:rsidRPr="00E10347">
        <w:rPr>
          <w:rFonts w:ascii="Palatino Linotype" w:eastAsia="MS Mincho" w:hAnsi="Palatino Linotype"/>
          <w:sz w:val="21"/>
          <w:szCs w:val="21"/>
        </w:rPr>
        <w:t xml:space="preserve"> en la materia relativa al punto sobre el cual dictaminarán, siempre que la ciencia, el arte o la técnica estén reglamentadas. </w:t>
      </w:r>
      <w:r w:rsidRPr="00E10347">
        <w:rPr>
          <w:rFonts w:ascii="Palatino Linotype" w:eastAsia="MS Mincho" w:hAnsi="Palatino Linotype"/>
          <w:sz w:val="21"/>
          <w:szCs w:val="21"/>
          <w:u w:val="single"/>
        </w:rPr>
        <w:t>En caso contrario, deberá designarse a una persona de idoneidad manifiesta.”</w:t>
      </w:r>
    </w:p>
    <w:p w:rsidR="00E10347" w:rsidRPr="00E10347" w:rsidRDefault="00E10347" w:rsidP="00E10347">
      <w:pPr>
        <w:jc w:val="both"/>
        <w:rPr>
          <w:rFonts w:ascii="Palatino Linotype" w:eastAsia="MS Mincho" w:hAnsi="Palatino Linotype"/>
          <w:sz w:val="21"/>
          <w:szCs w:val="21"/>
        </w:rPr>
      </w:pPr>
    </w:p>
    <w:p w:rsidR="00E10347" w:rsidRPr="00E10347" w:rsidRDefault="00E10347" w:rsidP="00E10347">
      <w:pPr>
        <w:jc w:val="both"/>
        <w:rPr>
          <w:rFonts w:ascii="Palatino Linotype" w:eastAsia="MS Mincho" w:hAnsi="Palatino Linotype"/>
          <w:sz w:val="21"/>
          <w:szCs w:val="21"/>
        </w:rPr>
      </w:pPr>
      <w:r w:rsidRPr="00E10347">
        <w:rPr>
          <w:rFonts w:ascii="Palatino Linotype" w:eastAsia="MS Mincho" w:hAnsi="Palatino Linotype"/>
          <w:sz w:val="21"/>
          <w:szCs w:val="21"/>
        </w:rPr>
        <w:t xml:space="preserve">La Ley de enjuiciamiento Criminal de </w:t>
      </w:r>
      <w:r w:rsidRPr="00E10347">
        <w:rPr>
          <w:rFonts w:ascii="Palatino Linotype" w:eastAsia="MS Mincho" w:hAnsi="Palatino Linotype"/>
          <w:b/>
          <w:sz w:val="21"/>
          <w:szCs w:val="21"/>
        </w:rPr>
        <w:t>España</w:t>
      </w:r>
      <w:r w:rsidRPr="00E10347">
        <w:rPr>
          <w:rFonts w:ascii="Palatino Linotype" w:eastAsia="MS Mincho" w:hAnsi="Palatino Linotype"/>
          <w:sz w:val="21"/>
          <w:szCs w:val="21"/>
        </w:rPr>
        <w:t xml:space="preserve"> por su parte dispone: </w:t>
      </w:r>
    </w:p>
    <w:p w:rsidR="00E10347" w:rsidRPr="00E10347" w:rsidRDefault="00E10347" w:rsidP="00E10347">
      <w:pPr>
        <w:jc w:val="both"/>
        <w:rPr>
          <w:rFonts w:ascii="Palatino Linotype" w:eastAsia="MS Mincho" w:hAnsi="Palatino Linotype"/>
          <w:sz w:val="21"/>
          <w:szCs w:val="21"/>
        </w:rPr>
      </w:pPr>
      <w:r w:rsidRPr="00E10347">
        <w:rPr>
          <w:rFonts w:ascii="Palatino Linotype" w:eastAsia="MS Mincho" w:hAnsi="Palatino Linotype"/>
          <w:sz w:val="21"/>
          <w:szCs w:val="21"/>
        </w:rPr>
        <w:t>Articulo 340 “Los peritos deberán poseer el titulo oficial que corresponda a la materia objeto del dictamen y a la naturaleza de éste.  No obstante si se tratare de materias que no estén comprendidas en títulos profesionales oficiales, habrán de ser nombrados entre personas entendidas en aquella materia.”</w:t>
      </w:r>
    </w:p>
    <w:p w:rsidR="00E10347" w:rsidRPr="00E10347" w:rsidRDefault="00E10347" w:rsidP="00E10347">
      <w:pPr>
        <w:jc w:val="both"/>
        <w:rPr>
          <w:rFonts w:ascii="Palatino Linotype" w:eastAsia="MS Mincho" w:hAnsi="Palatino Linotype"/>
          <w:sz w:val="21"/>
          <w:szCs w:val="21"/>
        </w:rPr>
      </w:pPr>
    </w:p>
    <w:p w:rsidR="00E10347" w:rsidRPr="00E10347" w:rsidRDefault="00E10347" w:rsidP="00E83320">
      <w:pPr>
        <w:pStyle w:val="Prrafodelista"/>
        <w:widowControl/>
        <w:numPr>
          <w:ilvl w:val="0"/>
          <w:numId w:val="11"/>
        </w:numPr>
        <w:autoSpaceDE/>
        <w:autoSpaceDN/>
        <w:adjustRightInd/>
        <w:ind w:hanging="360"/>
        <w:jc w:val="both"/>
        <w:rPr>
          <w:rFonts w:ascii="Palatino Linotype" w:eastAsia="MS Mincho" w:hAnsi="Palatino Linotype"/>
          <w:b/>
          <w:sz w:val="21"/>
          <w:szCs w:val="21"/>
          <w:u w:val="single"/>
        </w:rPr>
      </w:pPr>
      <w:r w:rsidRPr="00E10347">
        <w:rPr>
          <w:rFonts w:ascii="Palatino Linotype" w:eastAsia="MS Mincho" w:hAnsi="Palatino Linotype"/>
          <w:b/>
          <w:sz w:val="21"/>
          <w:szCs w:val="21"/>
          <w:u w:val="single"/>
        </w:rPr>
        <w:lastRenderedPageBreak/>
        <w:t>No pueden actuar como Perito:</w:t>
      </w:r>
    </w:p>
    <w:p w:rsidR="00E10347" w:rsidRPr="00E10347" w:rsidRDefault="00E10347" w:rsidP="00E10347">
      <w:pPr>
        <w:jc w:val="both"/>
        <w:rPr>
          <w:rFonts w:ascii="Palatino Linotype" w:hAnsi="Palatino Linotype"/>
          <w:sz w:val="21"/>
          <w:szCs w:val="21"/>
          <w:lang w:val="es-MX"/>
        </w:rPr>
      </w:pPr>
      <w:r w:rsidRPr="00E10347">
        <w:rPr>
          <w:rFonts w:ascii="Palatino Linotype" w:hAnsi="Palatino Linotype"/>
          <w:b/>
          <w:sz w:val="21"/>
          <w:szCs w:val="21"/>
          <w:u w:val="single"/>
          <w:lang w:val="es-MX"/>
        </w:rPr>
        <w:t xml:space="preserve">Art. 215 : </w:t>
      </w:r>
      <w:r w:rsidRPr="00E10347">
        <w:rPr>
          <w:rFonts w:ascii="Palatino Linotype" w:hAnsi="Palatino Linotype"/>
          <w:sz w:val="21"/>
          <w:szCs w:val="21"/>
          <w:lang w:val="es-MX"/>
        </w:rPr>
        <w:t xml:space="preserve"> Serán causas de excusas y recusación para los peritos,  las establecidas parta los jueces.</w:t>
      </w:r>
    </w:p>
    <w:p w:rsidR="001E141B" w:rsidRDefault="001E141B" w:rsidP="00E10347">
      <w:pPr>
        <w:jc w:val="both"/>
        <w:rPr>
          <w:rFonts w:ascii="Palatino Linotype" w:hAnsi="Palatino Linotype"/>
          <w:sz w:val="21"/>
          <w:szCs w:val="21"/>
        </w:rPr>
      </w:pPr>
    </w:p>
    <w:p w:rsidR="00E10347" w:rsidRPr="00E10347" w:rsidRDefault="00E10347" w:rsidP="00E10347">
      <w:pPr>
        <w:jc w:val="both"/>
        <w:rPr>
          <w:rFonts w:ascii="Palatino Linotype" w:hAnsi="Palatino Linotype"/>
          <w:sz w:val="21"/>
          <w:szCs w:val="21"/>
        </w:rPr>
      </w:pPr>
      <w:r w:rsidRPr="00E10347">
        <w:rPr>
          <w:rFonts w:ascii="Palatino Linotype" w:hAnsi="Palatino Linotype"/>
          <w:sz w:val="21"/>
          <w:szCs w:val="21"/>
        </w:rPr>
        <w:t>Este articulo  se   remite al articulo 55 del CPP que consigna que:</w:t>
      </w:r>
    </w:p>
    <w:p w:rsidR="00E10347" w:rsidRPr="00E10347" w:rsidRDefault="00E10347" w:rsidP="00E10347">
      <w:pPr>
        <w:pStyle w:val="Textoindependiente"/>
        <w:spacing w:after="0"/>
        <w:ind w:firstLine="283"/>
        <w:jc w:val="both"/>
        <w:rPr>
          <w:rFonts w:ascii="Palatino Linotype" w:eastAsia="MS Mincho" w:hAnsi="Palatino Linotype"/>
          <w:sz w:val="21"/>
          <w:szCs w:val="21"/>
        </w:rPr>
      </w:pPr>
      <w:r w:rsidRPr="00E10347">
        <w:rPr>
          <w:rFonts w:ascii="Palatino Linotype" w:eastAsia="MS Mincho" w:hAnsi="Palatino Linotype"/>
          <w:sz w:val="21"/>
          <w:szCs w:val="21"/>
        </w:rPr>
        <w:t>El juez deberá excusarse de conocer en la causa:</w:t>
      </w:r>
    </w:p>
    <w:p w:rsidR="00E10347" w:rsidRPr="00E10347" w:rsidRDefault="00E10347" w:rsidP="00E83320">
      <w:pPr>
        <w:pStyle w:val="Lista"/>
        <w:numPr>
          <w:ilvl w:val="0"/>
          <w:numId w:val="42"/>
        </w:numPr>
        <w:suppressAutoHyphens w:val="0"/>
        <w:spacing w:after="0"/>
        <w:jc w:val="both"/>
        <w:rPr>
          <w:rFonts w:ascii="Palatino Linotype" w:eastAsia="MS Mincho" w:hAnsi="Palatino Linotype"/>
          <w:sz w:val="21"/>
          <w:szCs w:val="21"/>
        </w:rPr>
      </w:pPr>
      <w:r w:rsidRPr="00E10347">
        <w:rPr>
          <w:rFonts w:ascii="Palatino Linotype" w:eastAsia="MS Mincho" w:hAnsi="Palatino Linotype"/>
          <w:sz w:val="21"/>
          <w:szCs w:val="21"/>
        </w:rPr>
        <w:t>Cuando en el mismo proceso hubiera pronunciado o concurrido a pronunciar el auto de apertura a juicio o la sentencia, o hubiera intervenido como funcionario del Ministerio Público, defensor, mandatario, denunciante o querellante, o hubiera actuado como perito, consultor técnico o conociera del hecho investigado como testigo, o tenga interés directo en el proceso.</w:t>
      </w:r>
    </w:p>
    <w:p w:rsidR="00E10347" w:rsidRPr="00E10347" w:rsidRDefault="00E10347" w:rsidP="00E83320">
      <w:pPr>
        <w:pStyle w:val="Lista"/>
        <w:numPr>
          <w:ilvl w:val="0"/>
          <w:numId w:val="42"/>
        </w:numPr>
        <w:suppressAutoHyphens w:val="0"/>
        <w:spacing w:after="0"/>
        <w:jc w:val="both"/>
        <w:rPr>
          <w:rFonts w:ascii="Palatino Linotype" w:eastAsia="MS Mincho" w:hAnsi="Palatino Linotype"/>
          <w:sz w:val="21"/>
          <w:szCs w:val="21"/>
        </w:rPr>
      </w:pPr>
      <w:r w:rsidRPr="00E10347">
        <w:rPr>
          <w:rFonts w:ascii="Palatino Linotype" w:eastAsia="MS Mincho" w:hAnsi="Palatino Linotype"/>
          <w:sz w:val="21"/>
          <w:szCs w:val="21"/>
        </w:rPr>
        <w:t>Si es cónyuge, conviviente con más de dos años de vida en común, pariente dentro del tercer grado de consanguinidad o afinidad, de algún interesado, o este viva o haya vivido a su cargo.</w:t>
      </w:r>
    </w:p>
    <w:p w:rsidR="00E10347" w:rsidRPr="00E10347" w:rsidRDefault="00E10347" w:rsidP="00E83320">
      <w:pPr>
        <w:pStyle w:val="Lista"/>
        <w:numPr>
          <w:ilvl w:val="0"/>
          <w:numId w:val="42"/>
        </w:numPr>
        <w:suppressAutoHyphens w:val="0"/>
        <w:spacing w:after="0"/>
        <w:jc w:val="both"/>
        <w:rPr>
          <w:rFonts w:ascii="Palatino Linotype" w:eastAsia="MS Mincho" w:hAnsi="Palatino Linotype"/>
          <w:sz w:val="21"/>
          <w:szCs w:val="21"/>
        </w:rPr>
      </w:pPr>
      <w:r w:rsidRPr="00E10347">
        <w:rPr>
          <w:rFonts w:ascii="Palatino Linotype" w:eastAsia="MS Mincho" w:hAnsi="Palatino Linotype"/>
          <w:sz w:val="21"/>
          <w:szCs w:val="21"/>
        </w:rPr>
        <w:t>Si es o ha sido tutor o curador, o ha estado bajo tutela o curatela de alguno de los interesados.</w:t>
      </w:r>
    </w:p>
    <w:p w:rsidR="00E10347" w:rsidRPr="00E10347" w:rsidRDefault="00E10347" w:rsidP="00E83320">
      <w:pPr>
        <w:pStyle w:val="Lista"/>
        <w:numPr>
          <w:ilvl w:val="0"/>
          <w:numId w:val="42"/>
        </w:numPr>
        <w:suppressAutoHyphens w:val="0"/>
        <w:spacing w:after="0"/>
        <w:jc w:val="both"/>
        <w:rPr>
          <w:rFonts w:ascii="Palatino Linotype" w:eastAsia="MS Mincho" w:hAnsi="Palatino Linotype"/>
          <w:sz w:val="21"/>
          <w:szCs w:val="21"/>
        </w:rPr>
      </w:pPr>
      <w:r w:rsidRPr="00E10347">
        <w:rPr>
          <w:rFonts w:ascii="Palatino Linotype" w:eastAsia="MS Mincho" w:hAnsi="Palatino Linotype"/>
          <w:sz w:val="21"/>
          <w:szCs w:val="21"/>
        </w:rPr>
        <w:t>Cuando él, su cónyuge, conviviente con más de dos años de vida en común, padres o hijos, tengan un juicio pendiente iniciado con anterioridad, o sociedad o comunidad con alguno de los interesados, salvo la sociedad anónima.</w:t>
      </w:r>
    </w:p>
    <w:p w:rsidR="00E10347" w:rsidRPr="00E10347" w:rsidRDefault="00E10347" w:rsidP="00E83320">
      <w:pPr>
        <w:pStyle w:val="Lista"/>
        <w:numPr>
          <w:ilvl w:val="0"/>
          <w:numId w:val="42"/>
        </w:numPr>
        <w:suppressAutoHyphens w:val="0"/>
        <w:spacing w:after="0"/>
        <w:jc w:val="both"/>
        <w:rPr>
          <w:rFonts w:ascii="Palatino Linotype" w:eastAsia="MS Mincho" w:hAnsi="Palatino Linotype"/>
          <w:sz w:val="21"/>
          <w:szCs w:val="21"/>
        </w:rPr>
      </w:pPr>
      <w:r w:rsidRPr="00E10347">
        <w:rPr>
          <w:rFonts w:ascii="Palatino Linotype" w:eastAsia="MS Mincho" w:hAnsi="Palatino Linotype"/>
          <w:sz w:val="21"/>
          <w:szCs w:val="21"/>
        </w:rPr>
        <w:t>Si él, su esposa, conviviente con más de dos años de vida en común, padres, hijos u otras personas que vivan a su cargo, son acreedores, deudores o fiadores de alguno de los interesados, salvo que se trate de bancos del Sistema Bancario Nacional.</w:t>
      </w:r>
    </w:p>
    <w:p w:rsidR="00E10347" w:rsidRPr="00E10347" w:rsidRDefault="00E10347" w:rsidP="00E83320">
      <w:pPr>
        <w:pStyle w:val="Lista"/>
        <w:numPr>
          <w:ilvl w:val="0"/>
          <w:numId w:val="42"/>
        </w:numPr>
        <w:suppressAutoHyphens w:val="0"/>
        <w:spacing w:after="0"/>
        <w:jc w:val="both"/>
        <w:rPr>
          <w:rFonts w:ascii="Palatino Linotype" w:eastAsia="MS Mincho" w:hAnsi="Palatino Linotype"/>
          <w:sz w:val="21"/>
          <w:szCs w:val="21"/>
        </w:rPr>
      </w:pPr>
      <w:r w:rsidRPr="00E10347">
        <w:rPr>
          <w:rFonts w:ascii="Palatino Linotype" w:eastAsia="MS Mincho" w:hAnsi="Palatino Linotype"/>
          <w:sz w:val="21"/>
          <w:szCs w:val="21"/>
        </w:rPr>
        <w:t>Cuando antes de comenzar el proceso hubiera sido denunciante o acusador de alguno de los interesados, hubiera sido denunciado o acusado por ellos, salvo que circunstancias posteriores demuestren armonía entre ambos.</w:t>
      </w:r>
    </w:p>
    <w:p w:rsidR="00E10347" w:rsidRPr="00E10347" w:rsidRDefault="00E10347" w:rsidP="00E83320">
      <w:pPr>
        <w:pStyle w:val="Lista"/>
        <w:numPr>
          <w:ilvl w:val="0"/>
          <w:numId w:val="42"/>
        </w:numPr>
        <w:suppressAutoHyphens w:val="0"/>
        <w:spacing w:after="0"/>
        <w:jc w:val="both"/>
        <w:rPr>
          <w:rFonts w:ascii="Palatino Linotype" w:eastAsia="MS Mincho" w:hAnsi="Palatino Linotype"/>
          <w:sz w:val="21"/>
          <w:szCs w:val="21"/>
        </w:rPr>
      </w:pPr>
      <w:r w:rsidRPr="00E10347">
        <w:rPr>
          <w:rFonts w:ascii="Palatino Linotype" w:eastAsia="MS Mincho" w:hAnsi="Palatino Linotype"/>
          <w:sz w:val="21"/>
          <w:szCs w:val="21"/>
        </w:rPr>
        <w:t>Si ha dado consejos o manifestado extra-judicialmente su opinión sobre el proceso.</w:t>
      </w:r>
    </w:p>
    <w:p w:rsidR="00E10347" w:rsidRPr="00E10347" w:rsidRDefault="00E10347" w:rsidP="00E83320">
      <w:pPr>
        <w:pStyle w:val="Lista"/>
        <w:numPr>
          <w:ilvl w:val="0"/>
          <w:numId w:val="42"/>
        </w:numPr>
        <w:suppressAutoHyphens w:val="0"/>
        <w:spacing w:after="0"/>
        <w:jc w:val="both"/>
        <w:rPr>
          <w:rFonts w:ascii="Palatino Linotype" w:eastAsia="MS Mincho" w:hAnsi="Palatino Linotype"/>
          <w:sz w:val="21"/>
          <w:szCs w:val="21"/>
        </w:rPr>
      </w:pPr>
      <w:r w:rsidRPr="00E10347">
        <w:rPr>
          <w:rFonts w:ascii="Palatino Linotype" w:eastAsia="MS Mincho" w:hAnsi="Palatino Linotype"/>
          <w:sz w:val="21"/>
          <w:szCs w:val="21"/>
        </w:rPr>
        <w:t>Cuando tenga amistad íntima o enemistad manifiesta con alguno de los interesados.</w:t>
      </w:r>
    </w:p>
    <w:p w:rsidR="00E10347" w:rsidRPr="00E10347" w:rsidRDefault="00E10347" w:rsidP="00E83320">
      <w:pPr>
        <w:pStyle w:val="Lista"/>
        <w:numPr>
          <w:ilvl w:val="0"/>
          <w:numId w:val="42"/>
        </w:numPr>
        <w:suppressAutoHyphens w:val="0"/>
        <w:spacing w:after="0"/>
        <w:jc w:val="both"/>
        <w:rPr>
          <w:rFonts w:ascii="Palatino Linotype" w:eastAsia="MS Mincho" w:hAnsi="Palatino Linotype"/>
          <w:sz w:val="21"/>
          <w:szCs w:val="21"/>
        </w:rPr>
      </w:pPr>
      <w:r w:rsidRPr="00E10347">
        <w:rPr>
          <w:rFonts w:ascii="Palatino Linotype" w:eastAsia="MS Mincho" w:hAnsi="Palatino Linotype"/>
          <w:sz w:val="21"/>
          <w:szCs w:val="21"/>
        </w:rPr>
        <w:t xml:space="preserve">Si él, su esposa, conviviente con más de dos años de vida en común, padres, hijos u otras personas que vivan a su cargo, hubieran recibido o reciban beneficios de importancia de alguno de los interesados o si, después de </w:t>
      </w:r>
      <w:r w:rsidRPr="00E10347">
        <w:rPr>
          <w:rFonts w:ascii="Palatino Linotype" w:eastAsia="MS Mincho" w:hAnsi="Palatino Linotype"/>
          <w:sz w:val="21"/>
          <w:szCs w:val="21"/>
        </w:rPr>
        <w:lastRenderedPageBreak/>
        <w:t>iniciado el proceso, él hubiera recibido presentes o dádivas aunque sean de poco valor.</w:t>
      </w:r>
    </w:p>
    <w:p w:rsidR="00E10347" w:rsidRPr="00E10347" w:rsidRDefault="00E10347" w:rsidP="00E83320">
      <w:pPr>
        <w:pStyle w:val="Lista"/>
        <w:numPr>
          <w:ilvl w:val="0"/>
          <w:numId w:val="42"/>
        </w:numPr>
        <w:suppressAutoHyphens w:val="0"/>
        <w:spacing w:after="0"/>
        <w:jc w:val="both"/>
        <w:rPr>
          <w:rFonts w:ascii="Palatino Linotype" w:eastAsia="MS Mincho" w:hAnsi="Palatino Linotype"/>
          <w:sz w:val="21"/>
          <w:szCs w:val="21"/>
        </w:rPr>
      </w:pPr>
      <w:r w:rsidRPr="00E10347">
        <w:rPr>
          <w:rFonts w:ascii="Palatino Linotype" w:eastAsia="MS Mincho" w:hAnsi="Palatino Linotype"/>
          <w:sz w:val="21"/>
          <w:szCs w:val="21"/>
        </w:rPr>
        <w:t>Cuando en la causa hubiera intervenido o intervenga, como juez, algún pariente suyo dentro del segundo grado de consanguinidad.  Para los fines de este artículo, se consideran interesados el imputado, el damnificado, la víctima y el demandado civil, aunque estos últimos no se constituyan en parte; también, sus representantes, defensores o mandatarios.</w:t>
      </w:r>
    </w:p>
    <w:p w:rsidR="001E141B" w:rsidRDefault="001E141B" w:rsidP="001E141B">
      <w:pPr>
        <w:pStyle w:val="Prrafodelista"/>
        <w:widowControl/>
        <w:autoSpaceDE/>
        <w:autoSpaceDN/>
        <w:adjustRightInd/>
        <w:jc w:val="both"/>
        <w:rPr>
          <w:rFonts w:ascii="Palatino Linotype" w:hAnsi="Palatino Linotype"/>
          <w:b/>
          <w:sz w:val="21"/>
          <w:szCs w:val="21"/>
          <w:u w:val="single"/>
          <w:lang w:val="es-MX"/>
        </w:rPr>
      </w:pPr>
    </w:p>
    <w:p w:rsidR="00E10347" w:rsidRPr="00E10347" w:rsidRDefault="00E10347" w:rsidP="00E83320">
      <w:pPr>
        <w:pStyle w:val="Prrafodelista"/>
        <w:widowControl/>
        <w:numPr>
          <w:ilvl w:val="0"/>
          <w:numId w:val="11"/>
        </w:numPr>
        <w:autoSpaceDE/>
        <w:autoSpaceDN/>
        <w:adjustRightInd/>
        <w:ind w:hanging="360"/>
        <w:jc w:val="both"/>
        <w:rPr>
          <w:rFonts w:ascii="Palatino Linotype" w:hAnsi="Palatino Linotype"/>
          <w:b/>
          <w:sz w:val="21"/>
          <w:szCs w:val="21"/>
          <w:u w:val="single"/>
          <w:lang w:val="es-MX"/>
        </w:rPr>
      </w:pPr>
      <w:r w:rsidRPr="00E10347">
        <w:rPr>
          <w:rFonts w:ascii="Palatino Linotype" w:hAnsi="Palatino Linotype"/>
          <w:b/>
          <w:sz w:val="21"/>
          <w:szCs w:val="21"/>
          <w:u w:val="single"/>
          <w:lang w:val="es-MX"/>
        </w:rPr>
        <w:t>Inscripción:</w:t>
      </w:r>
    </w:p>
    <w:p w:rsidR="00E10347" w:rsidRPr="00E10347" w:rsidRDefault="00E10347" w:rsidP="00E10347">
      <w:pPr>
        <w:pStyle w:val="Textoindependiente3"/>
        <w:spacing w:line="240" w:lineRule="auto"/>
        <w:ind w:firstLine="708"/>
        <w:rPr>
          <w:rFonts w:ascii="Palatino Linotype" w:hAnsi="Palatino Linotype" w:cs="Arial"/>
          <w:sz w:val="21"/>
          <w:szCs w:val="21"/>
        </w:rPr>
      </w:pPr>
      <w:r w:rsidRPr="00E10347">
        <w:rPr>
          <w:rFonts w:ascii="Palatino Linotype" w:hAnsi="Palatino Linotype" w:cs="Arial"/>
          <w:sz w:val="21"/>
          <w:szCs w:val="21"/>
        </w:rPr>
        <w:t>En Costa Rica tal efecto existen regulaciones fuera del Código que regulan la intervención de los peritos dentro del proceso La Corte y una de ellas es que debe estar inscrito como tal en la oficina de ejecutores y Peritos del Poder Judicial dependiente de la dirección Ejecutiva del Poder Judicial.</w:t>
      </w:r>
    </w:p>
    <w:p w:rsidR="00E10347" w:rsidRPr="00E10347" w:rsidRDefault="00E10347" w:rsidP="00E10347">
      <w:pPr>
        <w:pStyle w:val="Textoindependiente3"/>
        <w:spacing w:line="240" w:lineRule="auto"/>
        <w:rPr>
          <w:rFonts w:ascii="Palatino Linotype" w:hAnsi="Palatino Linotype" w:cs="Arial"/>
          <w:sz w:val="21"/>
          <w:szCs w:val="21"/>
        </w:rPr>
      </w:pPr>
    </w:p>
    <w:p w:rsidR="00E10347" w:rsidRPr="00E10347" w:rsidRDefault="00E10347" w:rsidP="00E10347">
      <w:pPr>
        <w:pStyle w:val="Textoindependiente3"/>
        <w:spacing w:line="240" w:lineRule="auto"/>
        <w:rPr>
          <w:rFonts w:ascii="Palatino Linotype" w:hAnsi="Palatino Linotype" w:cs="Arial"/>
          <w:sz w:val="21"/>
          <w:szCs w:val="21"/>
        </w:rPr>
      </w:pPr>
      <w:r w:rsidRPr="00E10347">
        <w:rPr>
          <w:rFonts w:ascii="Palatino Linotype" w:hAnsi="Palatino Linotype" w:cs="Arial"/>
          <w:sz w:val="21"/>
          <w:szCs w:val="21"/>
        </w:rPr>
        <w:t>Requisitos para inscribirse:</w:t>
      </w:r>
    </w:p>
    <w:p w:rsidR="00E10347" w:rsidRPr="00E10347" w:rsidRDefault="00E10347" w:rsidP="00E10347">
      <w:pPr>
        <w:pStyle w:val="Textoindependiente3"/>
        <w:spacing w:line="240" w:lineRule="auto"/>
        <w:rPr>
          <w:rFonts w:ascii="Palatino Linotype" w:hAnsi="Palatino Linotype" w:cs="Arial"/>
          <w:sz w:val="21"/>
          <w:szCs w:val="21"/>
        </w:rPr>
      </w:pPr>
      <w:r w:rsidRPr="00E10347">
        <w:rPr>
          <w:rFonts w:ascii="Palatino Linotype" w:hAnsi="Palatino Linotype" w:cs="Arial"/>
          <w:sz w:val="21"/>
          <w:szCs w:val="21"/>
        </w:rPr>
        <w:t>- Dos fotografías tamaño pasaporte</w:t>
      </w:r>
    </w:p>
    <w:p w:rsidR="00E10347" w:rsidRPr="00E10347" w:rsidRDefault="00E10347" w:rsidP="00E10347">
      <w:pPr>
        <w:pStyle w:val="Textoindependiente3"/>
        <w:spacing w:line="240" w:lineRule="auto"/>
        <w:rPr>
          <w:rFonts w:ascii="Palatino Linotype" w:hAnsi="Palatino Linotype" w:cs="Arial"/>
          <w:sz w:val="21"/>
          <w:szCs w:val="21"/>
        </w:rPr>
      </w:pPr>
      <w:r w:rsidRPr="00E10347">
        <w:rPr>
          <w:rFonts w:ascii="Palatino Linotype" w:hAnsi="Palatino Linotype" w:cs="Arial"/>
          <w:sz w:val="21"/>
          <w:szCs w:val="21"/>
        </w:rPr>
        <w:t>- Curriculum vitae</w:t>
      </w:r>
    </w:p>
    <w:p w:rsidR="00E10347" w:rsidRPr="00E10347" w:rsidRDefault="00E10347" w:rsidP="00E10347">
      <w:pPr>
        <w:pStyle w:val="Textoindependiente3"/>
        <w:spacing w:line="240" w:lineRule="auto"/>
        <w:rPr>
          <w:rFonts w:ascii="Palatino Linotype" w:hAnsi="Palatino Linotype" w:cs="Arial"/>
          <w:sz w:val="21"/>
          <w:szCs w:val="21"/>
        </w:rPr>
      </w:pPr>
      <w:r w:rsidRPr="00E10347">
        <w:rPr>
          <w:rFonts w:ascii="Palatino Linotype" w:hAnsi="Palatino Linotype" w:cs="Arial"/>
          <w:sz w:val="21"/>
          <w:szCs w:val="21"/>
        </w:rPr>
        <w:t>- Fotocopia de cedula de identidad</w:t>
      </w:r>
    </w:p>
    <w:p w:rsidR="00E10347" w:rsidRPr="00E10347" w:rsidRDefault="00E10347" w:rsidP="00E10347">
      <w:pPr>
        <w:pStyle w:val="Textoindependiente3"/>
        <w:spacing w:line="240" w:lineRule="auto"/>
        <w:rPr>
          <w:rFonts w:ascii="Palatino Linotype" w:hAnsi="Palatino Linotype" w:cs="Arial"/>
          <w:sz w:val="21"/>
          <w:szCs w:val="21"/>
        </w:rPr>
      </w:pPr>
      <w:r w:rsidRPr="00E10347">
        <w:rPr>
          <w:rFonts w:ascii="Palatino Linotype" w:hAnsi="Palatino Linotype" w:cs="Arial"/>
          <w:sz w:val="21"/>
          <w:szCs w:val="21"/>
        </w:rPr>
        <w:t>- Fotocopia del Titulo Profesional, o en su caso títulos profesionales que lo avalen para desempeñar el cargo ( deberá mostrar los títulos originales para efectos de confrontación)</w:t>
      </w:r>
    </w:p>
    <w:p w:rsidR="00E10347" w:rsidRPr="00E10347" w:rsidRDefault="001E141B" w:rsidP="001E141B">
      <w:pPr>
        <w:pStyle w:val="Textoindependiente3"/>
        <w:spacing w:line="240" w:lineRule="auto"/>
        <w:rPr>
          <w:rFonts w:ascii="Palatino Linotype" w:hAnsi="Palatino Linotype" w:cs="Arial"/>
          <w:sz w:val="21"/>
          <w:szCs w:val="21"/>
        </w:rPr>
      </w:pPr>
      <w:r>
        <w:rPr>
          <w:rFonts w:ascii="Palatino Linotype" w:hAnsi="Palatino Linotype" w:cs="Arial"/>
          <w:sz w:val="21"/>
          <w:szCs w:val="21"/>
        </w:rPr>
        <w:t xml:space="preserve">- </w:t>
      </w:r>
      <w:r w:rsidR="00E10347" w:rsidRPr="00E10347">
        <w:rPr>
          <w:rFonts w:ascii="Palatino Linotype" w:hAnsi="Palatino Linotype" w:cs="Arial"/>
          <w:sz w:val="21"/>
          <w:szCs w:val="21"/>
        </w:rPr>
        <w:t>Certificación expedida por el Colegio Profesional respectivo, en la que específicamente se indicará que el interesado se encuentra al día en el pago de las debidas cuotas, y además que no existe ningún impedimento para que preste servicios como perito.</w:t>
      </w:r>
    </w:p>
    <w:p w:rsidR="00E10347" w:rsidRPr="00E10347" w:rsidRDefault="001E141B" w:rsidP="001E141B">
      <w:pPr>
        <w:pStyle w:val="Textoindependiente3"/>
        <w:spacing w:line="240" w:lineRule="auto"/>
        <w:rPr>
          <w:rFonts w:ascii="Palatino Linotype" w:hAnsi="Palatino Linotype" w:cs="Arial"/>
          <w:sz w:val="21"/>
          <w:szCs w:val="21"/>
        </w:rPr>
      </w:pPr>
      <w:r>
        <w:rPr>
          <w:rFonts w:ascii="Palatino Linotype" w:hAnsi="Palatino Linotype" w:cs="Arial"/>
          <w:sz w:val="21"/>
          <w:szCs w:val="21"/>
        </w:rPr>
        <w:t xml:space="preserve">- </w:t>
      </w:r>
      <w:r w:rsidR="00E10347" w:rsidRPr="00E10347">
        <w:rPr>
          <w:rFonts w:ascii="Palatino Linotype" w:hAnsi="Palatino Linotype" w:cs="Arial"/>
          <w:sz w:val="21"/>
          <w:szCs w:val="21"/>
        </w:rPr>
        <w:t>Nota dirigida a la Dirección Ejecutiva del Poder Judicial, en la que indique la zona del país y la materia en las cuales desea presentar servicios de auxiliar perito ( salvo excepciones muy calificadas, no es posible inscribirse para todo el país)</w:t>
      </w:r>
    </w:p>
    <w:p w:rsidR="00E10347" w:rsidRPr="00E10347" w:rsidRDefault="001E141B" w:rsidP="001E141B">
      <w:pPr>
        <w:pStyle w:val="Textoindependiente3"/>
        <w:spacing w:line="240" w:lineRule="auto"/>
        <w:rPr>
          <w:rFonts w:ascii="Palatino Linotype" w:hAnsi="Palatino Linotype" w:cs="Arial"/>
          <w:sz w:val="21"/>
          <w:szCs w:val="21"/>
        </w:rPr>
      </w:pPr>
      <w:r>
        <w:rPr>
          <w:rFonts w:ascii="Palatino Linotype" w:hAnsi="Palatino Linotype" w:cs="Arial"/>
          <w:sz w:val="21"/>
          <w:szCs w:val="21"/>
        </w:rPr>
        <w:t xml:space="preserve">- </w:t>
      </w:r>
      <w:r w:rsidR="00E10347" w:rsidRPr="00E10347">
        <w:rPr>
          <w:rFonts w:ascii="Palatino Linotype" w:hAnsi="Palatino Linotype" w:cs="Arial"/>
          <w:sz w:val="21"/>
          <w:szCs w:val="21"/>
        </w:rPr>
        <w:t>Declaración jurada en la que el interesado exprese que no trabaja para ninguna institución del estado ( no es necesaria que sea autenticada por el Abogado)</w:t>
      </w:r>
    </w:p>
    <w:p w:rsidR="00E10347" w:rsidRPr="00E10347" w:rsidRDefault="001E141B" w:rsidP="001E141B">
      <w:pPr>
        <w:pStyle w:val="Textoindependiente3"/>
        <w:spacing w:line="240" w:lineRule="auto"/>
        <w:rPr>
          <w:rFonts w:ascii="Palatino Linotype" w:hAnsi="Palatino Linotype" w:cs="Arial"/>
          <w:sz w:val="21"/>
          <w:szCs w:val="21"/>
        </w:rPr>
      </w:pPr>
      <w:r>
        <w:rPr>
          <w:rFonts w:ascii="Palatino Linotype" w:hAnsi="Palatino Linotype" w:cs="Arial"/>
          <w:sz w:val="21"/>
          <w:szCs w:val="21"/>
        </w:rPr>
        <w:t xml:space="preserve">- </w:t>
      </w:r>
      <w:r w:rsidR="00E10347" w:rsidRPr="00E10347">
        <w:rPr>
          <w:rFonts w:ascii="Palatino Linotype" w:hAnsi="Palatino Linotype" w:cs="Arial"/>
          <w:sz w:val="21"/>
          <w:szCs w:val="21"/>
        </w:rPr>
        <w:t>Indicar número de teléfono, fax o dirección electrónica en los que pueda ser localizado.</w:t>
      </w:r>
    </w:p>
    <w:p w:rsidR="00E10347" w:rsidRPr="001E141B" w:rsidRDefault="00E10347" w:rsidP="00E10347">
      <w:pPr>
        <w:pStyle w:val="Prrafodelista"/>
        <w:rPr>
          <w:rFonts w:ascii="Palatino Linotype" w:hAnsi="Palatino Linotype"/>
          <w:sz w:val="21"/>
          <w:szCs w:val="21"/>
          <w:lang w:val="es-ES_tradnl"/>
        </w:rPr>
      </w:pPr>
    </w:p>
    <w:p w:rsidR="00E10347" w:rsidRPr="00E10347" w:rsidRDefault="00E10347" w:rsidP="00E10347">
      <w:pPr>
        <w:pStyle w:val="Textoindependiente3"/>
        <w:spacing w:line="240" w:lineRule="auto"/>
        <w:ind w:firstLine="360"/>
        <w:rPr>
          <w:rFonts w:ascii="Palatino Linotype" w:hAnsi="Palatino Linotype" w:cs="Arial"/>
          <w:sz w:val="21"/>
          <w:szCs w:val="21"/>
        </w:rPr>
      </w:pPr>
      <w:r w:rsidRPr="00E10347">
        <w:rPr>
          <w:rFonts w:ascii="Palatino Linotype" w:hAnsi="Palatino Linotype" w:cs="Arial"/>
          <w:sz w:val="21"/>
          <w:szCs w:val="21"/>
        </w:rPr>
        <w:lastRenderedPageBreak/>
        <w:t>Además De lo anterior existe un listado oficial por el departamento antes mencionado un listado oficial de los mismos donde las personas pueden llegar verificar si la persona que nombraran esta dentro del mismo.</w:t>
      </w:r>
    </w:p>
    <w:p w:rsidR="00E10347" w:rsidRPr="00E10347" w:rsidRDefault="00E10347" w:rsidP="00E10347">
      <w:pPr>
        <w:pStyle w:val="Textoindependiente3"/>
        <w:spacing w:line="240" w:lineRule="auto"/>
        <w:rPr>
          <w:rFonts w:ascii="Palatino Linotype" w:hAnsi="Palatino Linotype" w:cs="Arial"/>
          <w:sz w:val="21"/>
          <w:szCs w:val="21"/>
        </w:rPr>
      </w:pPr>
    </w:p>
    <w:p w:rsidR="00E10347" w:rsidRPr="00E10347" w:rsidRDefault="00E10347" w:rsidP="00E10347">
      <w:pPr>
        <w:pStyle w:val="Textoindependiente3"/>
        <w:spacing w:line="240" w:lineRule="auto"/>
        <w:rPr>
          <w:rFonts w:ascii="Palatino Linotype" w:hAnsi="Palatino Linotype" w:cs="Arial"/>
          <w:sz w:val="21"/>
          <w:szCs w:val="21"/>
        </w:rPr>
      </w:pPr>
    </w:p>
    <w:p w:rsidR="00E10347" w:rsidRPr="00E10347" w:rsidRDefault="00E10347" w:rsidP="00E83320">
      <w:pPr>
        <w:pStyle w:val="Textoindependiente3"/>
        <w:numPr>
          <w:ilvl w:val="0"/>
          <w:numId w:val="11"/>
        </w:numPr>
        <w:spacing w:line="240" w:lineRule="auto"/>
        <w:ind w:left="720" w:hanging="360"/>
        <w:rPr>
          <w:rFonts w:ascii="Palatino Linotype" w:hAnsi="Palatino Linotype" w:cs="Arial"/>
          <w:b/>
          <w:sz w:val="21"/>
          <w:szCs w:val="21"/>
          <w:u w:val="single"/>
        </w:rPr>
      </w:pPr>
      <w:r w:rsidRPr="00E10347">
        <w:rPr>
          <w:rFonts w:ascii="Palatino Linotype" w:hAnsi="Palatino Linotype" w:cs="Arial"/>
          <w:b/>
          <w:sz w:val="21"/>
          <w:szCs w:val="21"/>
          <w:u w:val="single"/>
        </w:rPr>
        <w:t>Nombramiento:</w:t>
      </w:r>
    </w:p>
    <w:p w:rsidR="00E10347" w:rsidRPr="00E10347" w:rsidRDefault="00E10347" w:rsidP="00E10347">
      <w:pPr>
        <w:pStyle w:val="Textoindependiente3"/>
        <w:spacing w:line="240" w:lineRule="auto"/>
        <w:rPr>
          <w:rFonts w:ascii="Palatino Linotype" w:hAnsi="Palatino Linotype" w:cs="Arial"/>
          <w:sz w:val="21"/>
          <w:szCs w:val="21"/>
        </w:rPr>
      </w:pPr>
      <w:r w:rsidRPr="00E10347">
        <w:rPr>
          <w:rFonts w:ascii="Palatino Linotype" w:hAnsi="Palatino Linotype" w:cs="Arial"/>
          <w:sz w:val="21"/>
          <w:szCs w:val="21"/>
        </w:rPr>
        <w:t>El Articulo 215 del CPP consigna:</w:t>
      </w:r>
    </w:p>
    <w:p w:rsidR="00E10347" w:rsidRPr="00E10347" w:rsidRDefault="00E10347" w:rsidP="00E10347">
      <w:pPr>
        <w:pStyle w:val="Textoindependiente3"/>
        <w:spacing w:line="240" w:lineRule="auto"/>
        <w:rPr>
          <w:rFonts w:ascii="Palatino Linotype" w:eastAsia="MS Mincho" w:hAnsi="Palatino Linotype" w:cs="Arial"/>
          <w:sz w:val="21"/>
          <w:szCs w:val="21"/>
        </w:rPr>
      </w:pPr>
      <w:r w:rsidRPr="00E10347">
        <w:rPr>
          <w:rFonts w:ascii="Palatino Linotype" w:eastAsia="MS Mincho" w:hAnsi="Palatino Linotype" w:cs="Arial"/>
          <w:sz w:val="21"/>
          <w:szCs w:val="21"/>
        </w:rPr>
        <w:t>“El Ministerio Público, durante la investigación preparatoria, y el tribunal competente seleccionarán a los peritos....”</w:t>
      </w:r>
      <w:r w:rsidRPr="00E10347">
        <w:rPr>
          <w:rFonts w:ascii="Palatino Linotype" w:eastAsia="MS Mincho" w:hAnsi="Palatino Linotype" w:cs="Arial"/>
          <w:sz w:val="21"/>
          <w:szCs w:val="21"/>
        </w:rPr>
        <w:tab/>
      </w:r>
    </w:p>
    <w:p w:rsidR="00E10347" w:rsidRPr="00E10347" w:rsidRDefault="00E10347" w:rsidP="00E10347">
      <w:pPr>
        <w:pStyle w:val="Textoindependiente3"/>
        <w:spacing w:line="240" w:lineRule="auto"/>
        <w:ind w:firstLine="708"/>
        <w:rPr>
          <w:rFonts w:ascii="Palatino Linotype" w:hAnsi="Palatino Linotype" w:cs="Arial"/>
          <w:b/>
          <w:sz w:val="21"/>
          <w:szCs w:val="21"/>
          <w:u w:val="single"/>
        </w:rPr>
      </w:pPr>
      <w:r w:rsidRPr="00E10347">
        <w:rPr>
          <w:rFonts w:ascii="Palatino Linotype" w:eastAsia="MS Mincho" w:hAnsi="Palatino Linotype" w:cs="Arial"/>
          <w:sz w:val="21"/>
          <w:szCs w:val="21"/>
        </w:rPr>
        <w:t xml:space="preserve">Como se podrá observar en estos artículos autoriza tanto al juez como al encargado de ejercer la acción penal pública, pero tampoco niega el derecho al defensor del imputado para que este nombre los peritos.  </w:t>
      </w:r>
      <w:r w:rsidRPr="00E10347">
        <w:rPr>
          <w:rFonts w:ascii="Palatino Linotype" w:eastAsia="MS Mincho" w:hAnsi="Palatino Linotype" w:cs="Arial"/>
          <w:sz w:val="21"/>
          <w:szCs w:val="21"/>
        </w:rPr>
        <w:tab/>
      </w:r>
      <w:r w:rsidRPr="00E10347">
        <w:rPr>
          <w:rFonts w:ascii="Palatino Linotype" w:eastAsia="MS Mincho" w:hAnsi="Palatino Linotype" w:cs="Arial"/>
          <w:sz w:val="21"/>
          <w:szCs w:val="21"/>
        </w:rPr>
        <w:tab/>
      </w:r>
      <w:r w:rsidRPr="00E10347">
        <w:rPr>
          <w:rFonts w:ascii="Palatino Linotype" w:eastAsia="MS Mincho" w:hAnsi="Palatino Linotype" w:cs="Arial"/>
          <w:sz w:val="21"/>
          <w:szCs w:val="21"/>
        </w:rPr>
        <w:tab/>
      </w:r>
      <w:r w:rsidRPr="00E10347">
        <w:rPr>
          <w:rFonts w:ascii="Palatino Linotype" w:eastAsia="MS Mincho" w:hAnsi="Palatino Linotype" w:cs="Arial"/>
          <w:sz w:val="21"/>
          <w:szCs w:val="21"/>
        </w:rPr>
        <w:tab/>
      </w:r>
      <w:r w:rsidRPr="00E10347">
        <w:rPr>
          <w:rFonts w:ascii="Palatino Linotype" w:eastAsia="MS Mincho" w:hAnsi="Palatino Linotype" w:cs="Arial"/>
          <w:sz w:val="21"/>
          <w:szCs w:val="21"/>
        </w:rPr>
        <w:tab/>
      </w:r>
      <w:r w:rsidRPr="00E10347">
        <w:rPr>
          <w:rFonts w:ascii="Palatino Linotype" w:eastAsia="MS Mincho" w:hAnsi="Palatino Linotype" w:cs="Arial"/>
          <w:sz w:val="21"/>
          <w:szCs w:val="21"/>
        </w:rPr>
        <w:tab/>
      </w:r>
      <w:r w:rsidRPr="00E10347">
        <w:rPr>
          <w:rFonts w:ascii="Palatino Linotype" w:eastAsia="MS Mincho" w:hAnsi="Palatino Linotype" w:cs="Arial"/>
          <w:sz w:val="21"/>
          <w:szCs w:val="21"/>
        </w:rPr>
        <w:tab/>
      </w:r>
      <w:r w:rsidRPr="00E10347">
        <w:rPr>
          <w:rFonts w:ascii="Palatino Linotype" w:eastAsia="MS Mincho" w:hAnsi="Palatino Linotype" w:cs="Arial"/>
          <w:sz w:val="21"/>
          <w:szCs w:val="21"/>
        </w:rPr>
        <w:tab/>
      </w:r>
      <w:r w:rsidRPr="00E10347">
        <w:rPr>
          <w:rFonts w:ascii="Palatino Linotype" w:eastAsia="MS Mincho" w:hAnsi="Palatino Linotype" w:cs="Arial"/>
          <w:sz w:val="21"/>
          <w:szCs w:val="21"/>
        </w:rPr>
        <w:tab/>
      </w:r>
      <w:r w:rsidRPr="00E10347">
        <w:rPr>
          <w:rFonts w:ascii="Palatino Linotype" w:eastAsia="MS Mincho" w:hAnsi="Palatino Linotype" w:cs="Arial"/>
          <w:sz w:val="21"/>
          <w:szCs w:val="21"/>
        </w:rPr>
        <w:tab/>
      </w:r>
    </w:p>
    <w:p w:rsidR="00E10347" w:rsidRPr="00E10347" w:rsidRDefault="00E10347" w:rsidP="00E83320">
      <w:pPr>
        <w:pStyle w:val="Textoindependiente3"/>
        <w:numPr>
          <w:ilvl w:val="0"/>
          <w:numId w:val="11"/>
        </w:numPr>
        <w:spacing w:line="240" w:lineRule="auto"/>
        <w:ind w:left="720" w:hanging="360"/>
        <w:rPr>
          <w:rFonts w:ascii="Palatino Linotype" w:hAnsi="Palatino Linotype" w:cs="Arial"/>
          <w:b/>
          <w:sz w:val="21"/>
          <w:szCs w:val="21"/>
          <w:u w:val="single"/>
        </w:rPr>
      </w:pPr>
      <w:r w:rsidRPr="00E10347">
        <w:rPr>
          <w:rFonts w:ascii="Palatino Linotype" w:hAnsi="Palatino Linotype" w:cs="Arial"/>
          <w:b/>
          <w:sz w:val="21"/>
          <w:szCs w:val="21"/>
          <w:u w:val="single"/>
        </w:rPr>
        <w:t>Dictamen Pericial:</w:t>
      </w:r>
    </w:p>
    <w:p w:rsidR="00E10347" w:rsidRPr="00E10347" w:rsidRDefault="00E10347" w:rsidP="00E10347">
      <w:pPr>
        <w:pStyle w:val="Textoindependiente3"/>
        <w:spacing w:line="240" w:lineRule="auto"/>
        <w:ind w:firstLine="360"/>
        <w:rPr>
          <w:rFonts w:ascii="Palatino Linotype" w:hAnsi="Palatino Linotype" w:cs="Arial"/>
          <w:b/>
          <w:sz w:val="21"/>
          <w:szCs w:val="21"/>
        </w:rPr>
      </w:pPr>
      <w:r w:rsidRPr="00E10347">
        <w:rPr>
          <w:rFonts w:ascii="Palatino Linotype" w:hAnsi="Palatino Linotype" w:cs="Arial"/>
          <w:sz w:val="21"/>
          <w:szCs w:val="21"/>
        </w:rPr>
        <w:t xml:space="preserve">Los aportes de la técnica y la ciencia en las investigaciones  judiciales son inmensos. Gracias a aquellos se les da a estos  más seguridad, más seriedad y se elimina en mayor grado  el riesgo  de errores judiciales. </w:t>
      </w:r>
      <w:r w:rsidRPr="00E10347">
        <w:rPr>
          <w:rStyle w:val="Refdenotaalpie"/>
          <w:rFonts w:ascii="Palatino Linotype" w:hAnsi="Palatino Linotype" w:cs="Arial"/>
          <w:sz w:val="21"/>
          <w:szCs w:val="21"/>
        </w:rPr>
        <w:footnoteReference w:id="701"/>
      </w:r>
    </w:p>
    <w:p w:rsidR="00E10347" w:rsidRPr="00E10347" w:rsidRDefault="00E10347" w:rsidP="00E10347">
      <w:pPr>
        <w:pStyle w:val="Textoindependiente3"/>
        <w:spacing w:line="240" w:lineRule="auto"/>
        <w:ind w:firstLine="708"/>
        <w:rPr>
          <w:rFonts w:ascii="Palatino Linotype" w:hAnsi="Palatino Linotype" w:cs="Arial"/>
          <w:sz w:val="21"/>
          <w:szCs w:val="21"/>
        </w:rPr>
      </w:pPr>
      <w:r w:rsidRPr="00E10347">
        <w:rPr>
          <w:rFonts w:ascii="Palatino Linotype" w:hAnsi="Palatino Linotype" w:cs="Arial"/>
          <w:sz w:val="21"/>
          <w:szCs w:val="21"/>
        </w:rPr>
        <w:t>El perito tiene como principal deber el de desempeñar bien el cargo, para  lo cual deberá utilizar de la mejor manera posible las máximas de la experiencia especializadas en que consisten sus conocimientos científicos.</w:t>
      </w:r>
    </w:p>
    <w:p w:rsidR="00E10347" w:rsidRPr="00E10347" w:rsidRDefault="00E10347" w:rsidP="00E10347">
      <w:pPr>
        <w:pStyle w:val="Textoindependiente3"/>
        <w:spacing w:line="240" w:lineRule="auto"/>
        <w:ind w:firstLine="708"/>
        <w:rPr>
          <w:rFonts w:ascii="Palatino Linotype" w:hAnsi="Palatino Linotype" w:cs="Arial"/>
          <w:sz w:val="21"/>
          <w:szCs w:val="21"/>
        </w:rPr>
      </w:pPr>
      <w:r w:rsidRPr="00E10347">
        <w:rPr>
          <w:rFonts w:ascii="Palatino Linotype" w:hAnsi="Palatino Linotype" w:cs="Arial"/>
          <w:sz w:val="21"/>
          <w:szCs w:val="21"/>
        </w:rPr>
        <w:t>Su aporte al proceso se materializa a través  de un dictamen, el cual debe ser congruente y ajustado a la solicitud hecha por el juez, basado para fijar su valoración, e los conocimientos científicos de sus titulo o profesión, no en hechos y consideraciones ajenas.</w:t>
      </w:r>
    </w:p>
    <w:p w:rsidR="00E10347" w:rsidRPr="00E10347" w:rsidRDefault="00E10347" w:rsidP="001E141B">
      <w:pPr>
        <w:pStyle w:val="Textoindependiente3"/>
        <w:spacing w:line="240" w:lineRule="auto"/>
        <w:ind w:firstLine="708"/>
        <w:rPr>
          <w:rFonts w:ascii="Palatino Linotype" w:hAnsi="Palatino Linotype" w:cs="Arial"/>
          <w:sz w:val="21"/>
          <w:szCs w:val="21"/>
        </w:rPr>
      </w:pPr>
      <w:r w:rsidRPr="00E10347">
        <w:rPr>
          <w:rFonts w:ascii="Palatino Linotype" w:hAnsi="Palatino Linotype" w:cs="Arial"/>
          <w:sz w:val="21"/>
          <w:szCs w:val="21"/>
        </w:rPr>
        <w:t xml:space="preserve">Podemos afirmar categóricamente que el dictamen es el resultado de la actividad pericial. </w:t>
      </w:r>
      <w:r w:rsidRPr="00E10347">
        <w:rPr>
          <w:rStyle w:val="Refdenotaalpie"/>
          <w:rFonts w:ascii="Palatino Linotype" w:hAnsi="Palatino Linotype" w:cs="Arial"/>
          <w:sz w:val="21"/>
          <w:szCs w:val="21"/>
        </w:rPr>
        <w:footnoteReference w:id="702"/>
      </w:r>
    </w:p>
    <w:p w:rsidR="00E10347" w:rsidRPr="00E10347" w:rsidRDefault="00E10347" w:rsidP="00E10347">
      <w:pPr>
        <w:pStyle w:val="Textoindependiente3"/>
        <w:spacing w:line="240" w:lineRule="auto"/>
        <w:ind w:firstLine="708"/>
        <w:rPr>
          <w:rFonts w:ascii="Palatino Linotype" w:hAnsi="Palatino Linotype" w:cs="Arial"/>
          <w:sz w:val="21"/>
          <w:szCs w:val="21"/>
        </w:rPr>
      </w:pPr>
      <w:r w:rsidRPr="00E10347">
        <w:rPr>
          <w:rFonts w:ascii="Palatino Linotype" w:hAnsi="Palatino Linotype" w:cs="Arial"/>
          <w:sz w:val="21"/>
          <w:szCs w:val="21"/>
        </w:rPr>
        <w:lastRenderedPageBreak/>
        <w:t xml:space="preserve">Entre otras cosas el dictamen rendido por el perito debe ser </w:t>
      </w:r>
      <w:r w:rsidRPr="00E10347">
        <w:rPr>
          <w:rFonts w:ascii="Palatino Linotype" w:hAnsi="Palatino Linotype" w:cs="Arial"/>
          <w:b/>
          <w:sz w:val="21"/>
          <w:szCs w:val="21"/>
        </w:rPr>
        <w:t>claro</w:t>
      </w:r>
      <w:r w:rsidRPr="00E10347">
        <w:rPr>
          <w:rFonts w:ascii="Palatino Linotype" w:hAnsi="Palatino Linotype" w:cs="Arial"/>
          <w:sz w:val="21"/>
          <w:szCs w:val="21"/>
        </w:rPr>
        <w:t xml:space="preserve"> y </w:t>
      </w:r>
      <w:r w:rsidRPr="00E10347">
        <w:rPr>
          <w:rFonts w:ascii="Palatino Linotype" w:hAnsi="Palatino Linotype" w:cs="Arial"/>
          <w:b/>
          <w:sz w:val="21"/>
          <w:szCs w:val="21"/>
        </w:rPr>
        <w:t>sencillo</w:t>
      </w:r>
      <w:r w:rsidRPr="00E10347">
        <w:rPr>
          <w:rFonts w:ascii="Palatino Linotype" w:hAnsi="Palatino Linotype" w:cs="Arial"/>
          <w:sz w:val="21"/>
          <w:szCs w:val="21"/>
        </w:rPr>
        <w:t xml:space="preserve"> , explicando las cuestiones científicamente, pero volcado al lenguaje vulgar  los conceptos y relaciones. </w:t>
      </w:r>
    </w:p>
    <w:p w:rsidR="00E10347" w:rsidRPr="00E10347" w:rsidRDefault="00E10347" w:rsidP="00E10347">
      <w:pPr>
        <w:pStyle w:val="Textoindependiente3"/>
        <w:spacing w:line="240" w:lineRule="auto"/>
        <w:ind w:firstLine="708"/>
        <w:rPr>
          <w:rFonts w:ascii="Palatino Linotype" w:hAnsi="Palatino Linotype" w:cs="Arial"/>
          <w:sz w:val="21"/>
          <w:szCs w:val="21"/>
        </w:rPr>
      </w:pPr>
      <w:r w:rsidRPr="00E10347">
        <w:rPr>
          <w:rFonts w:ascii="Palatino Linotype" w:hAnsi="Palatino Linotype" w:cs="Arial"/>
          <w:sz w:val="21"/>
          <w:szCs w:val="21"/>
        </w:rPr>
        <w:t xml:space="preserve">El perito en el dictamen debe relacionar el tema sobre la cual se expide la pericia, indicando las fuentes de las que se ha auxiliado, tanto objetivas como subjetivas, lugar estado en que se encentran indicando  además las operaciones técnicas que ha realizado, cómo las realizó, que fiabilidad se merecen. </w:t>
      </w:r>
    </w:p>
    <w:p w:rsidR="00E10347" w:rsidRPr="00E10347" w:rsidRDefault="00E10347" w:rsidP="00E10347">
      <w:pPr>
        <w:pStyle w:val="Textoindependiente3"/>
        <w:spacing w:line="240" w:lineRule="auto"/>
        <w:ind w:firstLine="360"/>
        <w:rPr>
          <w:rFonts w:ascii="Palatino Linotype" w:hAnsi="Palatino Linotype" w:cs="Arial"/>
          <w:sz w:val="21"/>
          <w:szCs w:val="21"/>
        </w:rPr>
      </w:pPr>
      <w:r w:rsidRPr="00E10347">
        <w:rPr>
          <w:rFonts w:ascii="Palatino Linotype" w:hAnsi="Palatino Linotype" w:cs="Arial"/>
          <w:sz w:val="21"/>
          <w:szCs w:val="21"/>
        </w:rPr>
        <w:t>Sin estas características el dictamen carece de valor.</w:t>
      </w:r>
    </w:p>
    <w:p w:rsidR="001E141B" w:rsidRDefault="001E141B" w:rsidP="001E141B">
      <w:pPr>
        <w:pStyle w:val="Textoindependiente3"/>
        <w:spacing w:line="240" w:lineRule="auto"/>
        <w:rPr>
          <w:rFonts w:ascii="Palatino Linotype" w:hAnsi="Palatino Linotype" w:cs="Arial"/>
          <w:b/>
          <w:sz w:val="21"/>
          <w:szCs w:val="21"/>
          <w:u w:val="single"/>
        </w:rPr>
      </w:pPr>
    </w:p>
    <w:p w:rsidR="00E10347" w:rsidRPr="00E10347" w:rsidRDefault="00E10347" w:rsidP="00E83320">
      <w:pPr>
        <w:pStyle w:val="Textoindependiente3"/>
        <w:numPr>
          <w:ilvl w:val="0"/>
          <w:numId w:val="11"/>
        </w:numPr>
        <w:spacing w:line="240" w:lineRule="auto"/>
        <w:ind w:left="720" w:hanging="360"/>
        <w:rPr>
          <w:rFonts w:ascii="Palatino Linotype" w:hAnsi="Palatino Linotype" w:cs="Arial"/>
          <w:b/>
          <w:sz w:val="21"/>
          <w:szCs w:val="21"/>
          <w:u w:val="single"/>
        </w:rPr>
      </w:pPr>
      <w:r w:rsidRPr="00E10347">
        <w:rPr>
          <w:rFonts w:ascii="Palatino Linotype" w:hAnsi="Palatino Linotype" w:cs="Arial"/>
          <w:b/>
          <w:sz w:val="21"/>
          <w:szCs w:val="21"/>
          <w:u w:val="single"/>
        </w:rPr>
        <w:t>Eficacia Probatoria:</w:t>
      </w:r>
    </w:p>
    <w:p w:rsidR="00E10347" w:rsidRPr="00E10347" w:rsidRDefault="00E10347" w:rsidP="00E10347">
      <w:pPr>
        <w:pStyle w:val="Textoindependiente3"/>
        <w:spacing w:line="240" w:lineRule="auto"/>
        <w:ind w:firstLine="360"/>
        <w:rPr>
          <w:rFonts w:ascii="Palatino Linotype" w:hAnsi="Palatino Linotype" w:cs="Arial"/>
          <w:sz w:val="21"/>
          <w:szCs w:val="21"/>
        </w:rPr>
      </w:pPr>
      <w:r w:rsidRPr="00E10347">
        <w:rPr>
          <w:rFonts w:ascii="Palatino Linotype" w:hAnsi="Palatino Linotype" w:cs="Arial"/>
          <w:sz w:val="21"/>
          <w:szCs w:val="21"/>
        </w:rPr>
        <w:t>En relación con la eficacia probatoria de las pericias debemos acotar lo siguiente:</w:t>
      </w:r>
    </w:p>
    <w:p w:rsidR="00E10347" w:rsidRPr="00E10347" w:rsidRDefault="00E10347" w:rsidP="00E10347">
      <w:pPr>
        <w:jc w:val="both"/>
        <w:rPr>
          <w:rFonts w:ascii="Palatino Linotype" w:eastAsia="MS Mincho" w:hAnsi="Palatino Linotype"/>
          <w:b/>
          <w:sz w:val="21"/>
          <w:szCs w:val="21"/>
          <w:u w:val="single"/>
        </w:rPr>
      </w:pPr>
      <w:r w:rsidRPr="00E10347">
        <w:rPr>
          <w:rFonts w:ascii="Palatino Linotype" w:eastAsia="MS Mincho" w:hAnsi="Palatino Linotype"/>
          <w:sz w:val="21"/>
          <w:szCs w:val="21"/>
        </w:rPr>
        <w:t xml:space="preserve">.(32) </w:t>
      </w:r>
      <w:r w:rsidRPr="00E10347">
        <w:rPr>
          <w:rFonts w:ascii="Palatino Linotype" w:eastAsia="MS Mincho" w:hAnsi="Palatino Linotype"/>
          <w:b/>
          <w:sz w:val="21"/>
          <w:szCs w:val="21"/>
        </w:rPr>
        <w:t>LUCCA</w:t>
      </w:r>
      <w:r w:rsidRPr="00E10347">
        <w:rPr>
          <w:rFonts w:ascii="Palatino Linotype" w:eastAsia="MS Mincho" w:hAnsi="Palatino Linotype"/>
          <w:sz w:val="21"/>
          <w:szCs w:val="21"/>
        </w:rPr>
        <w:t xml:space="preserve"> NIDYNA, </w:t>
      </w:r>
      <w:r w:rsidRPr="00E10347">
        <w:rPr>
          <w:rFonts w:ascii="Palatino Linotype" w:eastAsia="MS Mincho" w:hAnsi="Palatino Linotype"/>
          <w:b/>
          <w:sz w:val="21"/>
          <w:szCs w:val="21"/>
        </w:rPr>
        <w:t>PACHECO</w:t>
      </w:r>
      <w:r w:rsidRPr="00E10347">
        <w:rPr>
          <w:rFonts w:ascii="Palatino Linotype" w:eastAsia="MS Mincho" w:hAnsi="Palatino Linotype"/>
          <w:sz w:val="21"/>
          <w:szCs w:val="21"/>
        </w:rPr>
        <w:t xml:space="preserve"> ANGEL, </w:t>
      </w:r>
      <w:r w:rsidRPr="00E10347">
        <w:rPr>
          <w:rFonts w:ascii="Palatino Linotype" w:eastAsia="MS Mincho" w:hAnsi="Palatino Linotype"/>
          <w:b/>
          <w:sz w:val="21"/>
          <w:szCs w:val="21"/>
          <w:u w:val="single"/>
        </w:rPr>
        <w:t>“El psicólogo como perito en la corte”,</w:t>
      </w:r>
      <w:r w:rsidRPr="00E10347">
        <w:rPr>
          <w:rFonts w:ascii="Palatino Linotype" w:eastAsia="MS Mincho" w:hAnsi="Palatino Linotype"/>
          <w:sz w:val="21"/>
          <w:szCs w:val="21"/>
        </w:rPr>
        <w:t xml:space="preserve"> revista de estudios judiciales, año 5, número 4, Puerto Rico, octubre-diciembre, 1989.Pág.4.</w:t>
      </w:r>
    </w:p>
    <w:p w:rsidR="00E10347" w:rsidRPr="00E10347" w:rsidRDefault="00E10347" w:rsidP="00E10347">
      <w:pPr>
        <w:jc w:val="both"/>
        <w:rPr>
          <w:rFonts w:ascii="Palatino Linotype" w:eastAsia="MS Mincho" w:hAnsi="Palatino Linotype"/>
          <w:sz w:val="21"/>
          <w:szCs w:val="21"/>
        </w:rPr>
      </w:pPr>
      <w:r w:rsidRPr="00E10347">
        <w:rPr>
          <w:rFonts w:ascii="Palatino Linotype" w:eastAsia="MS Mincho" w:hAnsi="Palatino Linotype"/>
          <w:b/>
          <w:sz w:val="21"/>
          <w:szCs w:val="21"/>
        </w:rPr>
        <w:t>a)</w:t>
      </w:r>
      <w:r w:rsidRPr="00E10347">
        <w:rPr>
          <w:rFonts w:ascii="Palatino Linotype" w:eastAsia="MS Mincho" w:hAnsi="Palatino Linotype"/>
          <w:sz w:val="21"/>
          <w:szCs w:val="21"/>
        </w:rPr>
        <w:t xml:space="preserve">.- </w:t>
      </w:r>
      <w:r w:rsidRPr="00E10347">
        <w:rPr>
          <w:rFonts w:ascii="Palatino Linotype" w:eastAsia="MS Mincho" w:hAnsi="Palatino Linotype"/>
          <w:i/>
          <w:sz w:val="21"/>
          <w:szCs w:val="21"/>
        </w:rPr>
        <w:t>La opinión del perito no vincula al Juez</w:t>
      </w:r>
      <w:r w:rsidRPr="00E10347">
        <w:rPr>
          <w:rFonts w:ascii="Palatino Linotype" w:eastAsia="MS Mincho" w:hAnsi="Palatino Linotype"/>
          <w:sz w:val="21"/>
          <w:szCs w:val="21"/>
        </w:rPr>
        <w:t>.</w:t>
      </w:r>
    </w:p>
    <w:p w:rsidR="001E141B" w:rsidRDefault="00E10347" w:rsidP="001E141B">
      <w:pPr>
        <w:ind w:firstLine="708"/>
        <w:jc w:val="both"/>
        <w:rPr>
          <w:rFonts w:ascii="Palatino Linotype" w:eastAsia="MS Mincho" w:hAnsi="Palatino Linotype"/>
          <w:sz w:val="21"/>
          <w:szCs w:val="21"/>
        </w:rPr>
      </w:pPr>
      <w:r w:rsidRPr="00E10347">
        <w:rPr>
          <w:rFonts w:ascii="Palatino Linotype" w:eastAsia="MS Mincho" w:hAnsi="Palatino Linotype"/>
          <w:sz w:val="21"/>
          <w:szCs w:val="21"/>
        </w:rPr>
        <w:t xml:space="preserve">Es que el juez tiene la libertad  de aceptar o rechazar totalmente el dictamen. Pero con la obligación  al hacerlo de </w:t>
      </w:r>
      <w:r w:rsidRPr="00E10347">
        <w:rPr>
          <w:rFonts w:ascii="Palatino Linotype" w:eastAsia="MS Mincho" w:hAnsi="Palatino Linotype"/>
          <w:i/>
          <w:sz w:val="21"/>
          <w:szCs w:val="21"/>
        </w:rPr>
        <w:t>fundamenta</w:t>
      </w:r>
      <w:r w:rsidRPr="00E10347">
        <w:rPr>
          <w:rFonts w:ascii="Palatino Linotype" w:eastAsia="MS Mincho" w:hAnsi="Palatino Linotype"/>
          <w:sz w:val="21"/>
          <w:szCs w:val="21"/>
        </w:rPr>
        <w:t>r  su aceptación o rechazo del respectivo dictamen,  y debiendo observar en dicho  razonamiento  las reglas de la sana critica, ya  que permitirá su control por la vía de recurso respectivo.</w:t>
      </w:r>
      <w:r w:rsidRPr="00E10347">
        <w:rPr>
          <w:rStyle w:val="Refdenotaalpie"/>
          <w:rFonts w:ascii="Palatino Linotype" w:eastAsia="MS Mincho" w:hAnsi="Palatino Linotype"/>
          <w:sz w:val="21"/>
          <w:szCs w:val="21"/>
        </w:rPr>
        <w:footnoteReference w:id="703"/>
      </w:r>
      <w:r w:rsidR="001E141B">
        <w:rPr>
          <w:rFonts w:ascii="Palatino Linotype" w:eastAsia="MS Mincho" w:hAnsi="Palatino Linotype"/>
          <w:sz w:val="21"/>
          <w:szCs w:val="21"/>
        </w:rPr>
        <w:t xml:space="preserve">  </w:t>
      </w:r>
    </w:p>
    <w:p w:rsidR="00E10347" w:rsidRPr="00E10347" w:rsidRDefault="00E10347" w:rsidP="001E141B">
      <w:pPr>
        <w:ind w:firstLine="708"/>
        <w:jc w:val="both"/>
        <w:rPr>
          <w:rFonts w:ascii="Palatino Linotype" w:hAnsi="Palatino Linotype"/>
          <w:sz w:val="21"/>
          <w:szCs w:val="21"/>
          <w:lang w:val="es-CR"/>
        </w:rPr>
      </w:pPr>
      <w:r w:rsidRPr="00E10347">
        <w:rPr>
          <w:rFonts w:ascii="Palatino Linotype" w:hAnsi="Palatino Linotype"/>
          <w:sz w:val="21"/>
          <w:szCs w:val="21"/>
          <w:lang w:val="es-CR"/>
        </w:rPr>
        <w:t>Por otra parte Se a dicho que el Juez es el “</w:t>
      </w:r>
      <w:r w:rsidRPr="00E10347">
        <w:rPr>
          <w:rFonts w:ascii="Palatino Linotype" w:hAnsi="Palatino Linotype"/>
          <w:i/>
          <w:sz w:val="21"/>
          <w:szCs w:val="21"/>
          <w:u w:val="single"/>
          <w:lang w:val="es-CR"/>
        </w:rPr>
        <w:t>Perito de los Peritos”</w:t>
      </w:r>
      <w:r w:rsidRPr="00E10347">
        <w:rPr>
          <w:rFonts w:ascii="Palatino Linotype" w:hAnsi="Palatino Linotype"/>
          <w:sz w:val="21"/>
          <w:szCs w:val="21"/>
          <w:lang w:val="es-CR"/>
        </w:rPr>
        <w:t xml:space="preserve"> porque precisamente es libre de aceptar o rechazar el parecer del perito.</w:t>
      </w:r>
    </w:p>
    <w:p w:rsidR="00E10347" w:rsidRPr="001E141B" w:rsidRDefault="00E10347" w:rsidP="00E10347">
      <w:pPr>
        <w:jc w:val="both"/>
        <w:rPr>
          <w:rFonts w:ascii="Palatino Linotype" w:eastAsia="MS Mincho" w:hAnsi="Palatino Linotype"/>
          <w:sz w:val="21"/>
          <w:szCs w:val="21"/>
          <w:lang w:val="es-CR"/>
        </w:rPr>
      </w:pPr>
    </w:p>
    <w:p w:rsidR="00E10347" w:rsidRPr="00E10347" w:rsidRDefault="00E10347" w:rsidP="00E10347">
      <w:pPr>
        <w:jc w:val="both"/>
        <w:rPr>
          <w:rFonts w:ascii="Palatino Linotype" w:eastAsia="MS Mincho" w:hAnsi="Palatino Linotype"/>
          <w:sz w:val="21"/>
          <w:szCs w:val="21"/>
        </w:rPr>
      </w:pPr>
      <w:r w:rsidRPr="00E10347">
        <w:rPr>
          <w:rFonts w:ascii="Palatino Linotype" w:eastAsia="MS Mincho" w:hAnsi="Palatino Linotype"/>
          <w:b/>
          <w:sz w:val="21"/>
          <w:szCs w:val="21"/>
        </w:rPr>
        <w:t>b)</w:t>
      </w:r>
      <w:r w:rsidRPr="00E10347">
        <w:rPr>
          <w:rFonts w:ascii="Palatino Linotype" w:eastAsia="MS Mincho" w:hAnsi="Palatino Linotype"/>
          <w:sz w:val="21"/>
          <w:szCs w:val="21"/>
        </w:rPr>
        <w:t xml:space="preserve">.- El perito no es el </w:t>
      </w:r>
      <w:r w:rsidRPr="00E10347">
        <w:rPr>
          <w:rFonts w:ascii="Palatino Linotype" w:eastAsia="MS Mincho" w:hAnsi="Palatino Linotype"/>
          <w:i/>
          <w:sz w:val="21"/>
          <w:szCs w:val="21"/>
        </w:rPr>
        <w:t>Señor de los hechos</w:t>
      </w:r>
      <w:r w:rsidRPr="00E10347">
        <w:rPr>
          <w:rFonts w:ascii="Palatino Linotype" w:eastAsia="MS Mincho" w:hAnsi="Palatino Linotype"/>
          <w:sz w:val="21"/>
          <w:szCs w:val="21"/>
        </w:rPr>
        <w:t xml:space="preserve"> como antiguamente se creía.</w:t>
      </w:r>
    </w:p>
    <w:p w:rsidR="00E10347" w:rsidRPr="00E10347" w:rsidRDefault="00E10347" w:rsidP="001E141B">
      <w:pPr>
        <w:ind w:firstLine="360"/>
        <w:jc w:val="both"/>
        <w:rPr>
          <w:rFonts w:ascii="Palatino Linotype" w:hAnsi="Palatino Linotype"/>
          <w:color w:val="000000"/>
          <w:sz w:val="21"/>
          <w:szCs w:val="21"/>
        </w:rPr>
      </w:pPr>
      <w:r w:rsidRPr="00E10347">
        <w:rPr>
          <w:rFonts w:ascii="Palatino Linotype" w:eastAsia="MS Mincho" w:hAnsi="Palatino Linotype"/>
          <w:sz w:val="21"/>
          <w:szCs w:val="21"/>
        </w:rPr>
        <w:t xml:space="preserve">Sobre este apartado la </w:t>
      </w:r>
      <w:r w:rsidRPr="00E10347">
        <w:rPr>
          <w:rFonts w:ascii="Palatino Linotype" w:hAnsi="Palatino Linotype"/>
          <w:b/>
          <w:sz w:val="21"/>
          <w:szCs w:val="21"/>
        </w:rPr>
        <w:t>JURISPRUDENCIA</w:t>
      </w:r>
      <w:r w:rsidRPr="00E10347">
        <w:rPr>
          <w:rFonts w:ascii="Palatino Linotype" w:hAnsi="Palatino Linotype"/>
          <w:sz w:val="21"/>
          <w:szCs w:val="21"/>
        </w:rPr>
        <w:t xml:space="preserve"> nos dice en el </w:t>
      </w:r>
      <w:r w:rsidRPr="00E10347">
        <w:rPr>
          <w:rFonts w:ascii="Palatino Linotype" w:hAnsi="Palatino Linotype"/>
          <w:color w:val="000000"/>
          <w:sz w:val="21"/>
          <w:szCs w:val="21"/>
        </w:rPr>
        <w:t xml:space="preserve">  </w:t>
      </w:r>
      <w:r w:rsidRPr="00E10347">
        <w:rPr>
          <w:rFonts w:ascii="Palatino Linotype" w:hAnsi="Palatino Linotype"/>
          <w:sz w:val="21"/>
          <w:szCs w:val="21"/>
          <w:u w:val="single"/>
        </w:rPr>
        <w:t xml:space="preserve">Voto # </w:t>
      </w:r>
      <w:r w:rsidRPr="00E10347">
        <w:rPr>
          <w:rFonts w:ascii="Palatino Linotype" w:hAnsi="Palatino Linotype"/>
          <w:b/>
          <w:sz w:val="21"/>
          <w:szCs w:val="21"/>
        </w:rPr>
        <w:t xml:space="preserve">252-99 de </w:t>
      </w:r>
      <w:r w:rsidRPr="00E10347">
        <w:rPr>
          <w:rFonts w:ascii="Palatino Linotype" w:hAnsi="Palatino Linotype"/>
          <w:sz w:val="21"/>
          <w:szCs w:val="21"/>
          <w:u w:val="single"/>
        </w:rPr>
        <w:t>Fecha</w:t>
      </w:r>
      <w:r w:rsidRPr="00E10347">
        <w:rPr>
          <w:rFonts w:ascii="Palatino Linotype" w:hAnsi="Palatino Linotype"/>
          <w:sz w:val="21"/>
          <w:szCs w:val="21"/>
        </w:rPr>
        <w:tab/>
      </w:r>
      <w:r w:rsidRPr="00E10347">
        <w:rPr>
          <w:rFonts w:ascii="Palatino Linotype" w:hAnsi="Palatino Linotype"/>
          <w:b/>
          <w:sz w:val="21"/>
          <w:szCs w:val="21"/>
        </w:rPr>
        <w:t>05/03/1999.</w:t>
      </w:r>
      <w:r w:rsidRPr="00E10347">
        <w:rPr>
          <w:rFonts w:ascii="Palatino Linotype" w:hAnsi="Palatino Linotype"/>
          <w:sz w:val="21"/>
          <w:szCs w:val="21"/>
        </w:rPr>
        <w:tab/>
      </w:r>
      <w:r w:rsidRPr="00E10347">
        <w:rPr>
          <w:rFonts w:ascii="Palatino Linotype" w:hAnsi="Palatino Linotype"/>
          <w:sz w:val="21"/>
          <w:szCs w:val="21"/>
          <w:u w:val="single"/>
        </w:rPr>
        <w:t>Hora</w:t>
      </w:r>
      <w:r w:rsidRPr="00E10347">
        <w:rPr>
          <w:rFonts w:ascii="Palatino Linotype" w:hAnsi="Palatino Linotype"/>
          <w:sz w:val="21"/>
          <w:szCs w:val="21"/>
        </w:rPr>
        <w:tab/>
      </w:r>
      <w:r w:rsidRPr="00E10347">
        <w:rPr>
          <w:rFonts w:ascii="Palatino Linotype" w:hAnsi="Palatino Linotype"/>
          <w:b/>
          <w:sz w:val="21"/>
          <w:szCs w:val="21"/>
        </w:rPr>
        <w:t xml:space="preserve">09:42, </w:t>
      </w:r>
      <w:r w:rsidRPr="00E10347">
        <w:rPr>
          <w:rFonts w:ascii="Palatino Linotype" w:hAnsi="Palatino Linotype"/>
          <w:sz w:val="21"/>
          <w:szCs w:val="21"/>
          <w:u w:val="single"/>
        </w:rPr>
        <w:t>Exp</w:t>
      </w:r>
      <w:r w:rsidRPr="00E10347">
        <w:rPr>
          <w:rFonts w:ascii="Palatino Linotype" w:hAnsi="Palatino Linotype"/>
          <w:sz w:val="21"/>
          <w:szCs w:val="21"/>
        </w:rPr>
        <w:t xml:space="preserve">: </w:t>
      </w:r>
      <w:r w:rsidRPr="00E10347">
        <w:rPr>
          <w:rFonts w:ascii="Palatino Linotype" w:hAnsi="Palatino Linotype"/>
          <w:b/>
          <w:sz w:val="21"/>
          <w:szCs w:val="21"/>
        </w:rPr>
        <w:t xml:space="preserve">97-0000288-392-PE, </w:t>
      </w:r>
      <w:r w:rsidRPr="00E10347">
        <w:rPr>
          <w:rFonts w:ascii="Palatino Linotype" w:hAnsi="Palatino Linotype"/>
          <w:sz w:val="21"/>
          <w:szCs w:val="21"/>
          <w:u w:val="single"/>
        </w:rPr>
        <w:t>Res</w:t>
      </w:r>
      <w:r w:rsidRPr="00E10347">
        <w:rPr>
          <w:rFonts w:ascii="Palatino Linotype" w:hAnsi="Palatino Linotype"/>
          <w:sz w:val="21"/>
          <w:szCs w:val="21"/>
        </w:rPr>
        <w:t xml:space="preserve">: </w:t>
      </w:r>
      <w:r w:rsidRPr="00E10347">
        <w:rPr>
          <w:rFonts w:ascii="Palatino Linotype" w:hAnsi="Palatino Linotype"/>
          <w:b/>
          <w:sz w:val="21"/>
          <w:szCs w:val="21"/>
        </w:rPr>
        <w:t xml:space="preserve">000252-99 de la </w:t>
      </w:r>
      <w:r w:rsidRPr="00E10347">
        <w:rPr>
          <w:rFonts w:ascii="Palatino Linotype" w:hAnsi="Palatino Linotype"/>
          <w:sz w:val="21"/>
          <w:szCs w:val="21"/>
        </w:rPr>
        <w:t>SALA TERCERA DE LA CORTE SUPREMA DE COSTA RICA</w:t>
      </w:r>
      <w:r w:rsidRPr="00E10347">
        <w:rPr>
          <w:rFonts w:ascii="Palatino Linotype" w:hAnsi="Palatino Linotype"/>
          <w:b/>
          <w:color w:val="000000"/>
          <w:sz w:val="21"/>
          <w:szCs w:val="21"/>
        </w:rPr>
        <w:t>.</w:t>
      </w:r>
    </w:p>
    <w:p w:rsidR="00E10347" w:rsidRPr="00E10347" w:rsidRDefault="00E10347" w:rsidP="00E83320">
      <w:pPr>
        <w:widowControl/>
        <w:numPr>
          <w:ilvl w:val="0"/>
          <w:numId w:val="40"/>
        </w:numPr>
        <w:autoSpaceDE/>
        <w:autoSpaceDN/>
        <w:adjustRightInd/>
        <w:jc w:val="both"/>
        <w:outlineLvl w:val="0"/>
        <w:rPr>
          <w:rFonts w:ascii="Palatino Linotype" w:hAnsi="Palatino Linotype"/>
          <w:b/>
          <w:sz w:val="21"/>
          <w:szCs w:val="21"/>
        </w:rPr>
      </w:pPr>
      <w:r w:rsidRPr="00E10347">
        <w:rPr>
          <w:rFonts w:ascii="Palatino Linotype" w:hAnsi="Palatino Linotype"/>
          <w:sz w:val="21"/>
          <w:szCs w:val="21"/>
          <w:u w:val="single"/>
        </w:rPr>
        <w:t xml:space="preserve"> “No obstante que el criterio de estos profesionales constituye un valioso apoyo para el órgano jurisdiccional con el fin de apreciar la credibilidad de la prueba testimonio al pronunciarse sobre el mérito de una acusación, siempre le corresponde al Juez -con base en los principios acusatorios de oralidad, inmediación, continuidad y contradictorio-  determinar el valor de cada uno de los elementos probatorios, inclusive de la testimonial, pues ello </w:t>
      </w:r>
      <w:r w:rsidRPr="00E10347">
        <w:rPr>
          <w:rFonts w:ascii="Palatino Linotype" w:hAnsi="Palatino Linotype"/>
          <w:sz w:val="21"/>
          <w:szCs w:val="21"/>
          <w:u w:val="single"/>
        </w:rPr>
        <w:lastRenderedPageBreak/>
        <w:t>constituye una de las funciones primordiales que desarrolla la administración de justicia. Esto significa que si aceptáramos la tesis de que son los psicólogos o psiquiatras los responsables de establecer la veracidad de los testimonios, ello implicaría que a ellos se les estaría trasladando la misma potestad de administrar justicia, por cuanto con dicho criterio se estaría decidiendo la litis. Desde luego, como afirmamos, el juez puede ser asesorado y orientado en esa delicada tarea de apreciar la prueba conforme a las reglas de la sana crítica, pero no puede trasladarse ese deber a otros profesionales.”</w:t>
      </w:r>
    </w:p>
    <w:p w:rsidR="00E10347" w:rsidRPr="00E10347" w:rsidRDefault="00E10347" w:rsidP="00E10347">
      <w:pPr>
        <w:pStyle w:val="Textoindependiente3"/>
        <w:spacing w:line="240" w:lineRule="auto"/>
        <w:rPr>
          <w:rFonts w:ascii="Palatino Linotype" w:hAnsi="Palatino Linotype" w:cs="Arial"/>
          <w:b/>
          <w:sz w:val="21"/>
          <w:szCs w:val="21"/>
          <w:u w:val="single"/>
          <w:lang w:val="es-ES"/>
        </w:rPr>
      </w:pPr>
    </w:p>
    <w:p w:rsidR="00E10347" w:rsidRPr="00E10347" w:rsidRDefault="00E10347" w:rsidP="00E83320">
      <w:pPr>
        <w:pStyle w:val="Textoindependiente3"/>
        <w:numPr>
          <w:ilvl w:val="0"/>
          <w:numId w:val="11"/>
        </w:numPr>
        <w:spacing w:line="240" w:lineRule="auto"/>
        <w:ind w:left="720" w:hanging="360"/>
        <w:rPr>
          <w:rFonts w:ascii="Palatino Linotype" w:hAnsi="Palatino Linotype" w:cs="Arial"/>
          <w:b/>
          <w:sz w:val="21"/>
          <w:szCs w:val="21"/>
          <w:u w:val="single"/>
        </w:rPr>
      </w:pPr>
      <w:r w:rsidRPr="00E10347">
        <w:rPr>
          <w:rFonts w:ascii="Palatino Linotype" w:hAnsi="Palatino Linotype" w:cs="Arial"/>
          <w:b/>
          <w:sz w:val="21"/>
          <w:szCs w:val="21"/>
          <w:u w:val="single"/>
        </w:rPr>
        <w:t>Desarrollo de la figura del Consultor Técnico:</w:t>
      </w:r>
    </w:p>
    <w:p w:rsidR="00E10347" w:rsidRPr="00E10347" w:rsidRDefault="00E10347" w:rsidP="00E10347">
      <w:pPr>
        <w:jc w:val="both"/>
        <w:rPr>
          <w:rFonts w:ascii="Palatino Linotype" w:eastAsia="Calibri" w:hAnsi="Palatino Linotype"/>
          <w:position w:val="-10"/>
          <w:sz w:val="21"/>
          <w:szCs w:val="21"/>
          <w:lang w:eastAsia="es-ES_tradnl"/>
        </w:rPr>
      </w:pPr>
      <w:r w:rsidRPr="00E10347">
        <w:rPr>
          <w:rFonts w:ascii="Palatino Linotype" w:eastAsia="Calibri" w:hAnsi="Palatino Linotype"/>
          <w:position w:val="-10"/>
          <w:sz w:val="21"/>
          <w:szCs w:val="21"/>
          <w:lang w:eastAsia="es-ES_tradnl"/>
        </w:rPr>
        <w:tab/>
      </w:r>
      <w:r w:rsidRPr="00E10347">
        <w:rPr>
          <w:rFonts w:ascii="Palatino Linotype" w:eastAsia="Calibri" w:hAnsi="Palatino Linotype"/>
          <w:sz w:val="21"/>
          <w:szCs w:val="21"/>
          <w:lang w:eastAsia="es-ES_tradnl"/>
        </w:rPr>
        <w:t xml:space="preserve">La figura del consultor técnico no es novedosa.  El artículo 323 del Código Rocco (Código de Procedimiento Penal Italiano de 1930)  establecía:  </w:t>
      </w:r>
    </w:p>
    <w:p w:rsidR="00E10347" w:rsidRPr="00E10347" w:rsidRDefault="00E10347" w:rsidP="00E10347">
      <w:pPr>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w:t>
      </w:r>
      <w:r w:rsidRPr="00E10347">
        <w:rPr>
          <w:rFonts w:ascii="Palatino Linotype" w:eastAsia="Calibri" w:hAnsi="Palatino Linotype"/>
          <w:i/>
          <w:sz w:val="21"/>
          <w:szCs w:val="21"/>
          <w:lang w:eastAsia="es-ES_tradnl"/>
        </w:rPr>
        <w:t xml:space="preserve">Artículo 323. Facultad de las partes de nombrar consultores técnicos. La parte privada que tenga interés en ello, dentro de los tres días desde el vencimiento del plazo establecido por el juez al tenor del parágrafo 320, tiene facultad de nombrar por medio de su defensor y a su propia costa un consultor técnico, escogiéndolo entre las personas que considere idóneas </w:t>
      </w:r>
      <w:r w:rsidRPr="00E10347">
        <w:rPr>
          <w:rFonts w:ascii="Palatino Linotype" w:eastAsia="Calibri" w:hAnsi="Palatino Linotype"/>
          <w:sz w:val="21"/>
          <w:szCs w:val="21"/>
          <w:lang w:eastAsia="es-ES_tradnl"/>
        </w:rPr>
        <w:t xml:space="preserve">(...)”.  </w:t>
      </w:r>
    </w:p>
    <w:p w:rsidR="00E10347" w:rsidRPr="00E10347" w:rsidRDefault="00E10347" w:rsidP="001E141B">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La función principal de los consultores en el Código Rocco era la de aportar observaciones respecto de los peritajes oficiales, y eventualmente participar en la práctica de los mismos.</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 xml:space="preserve">La doctrina italiana ha considerado que la naturaleza de este auxiliar de las partes se asemeja más a la de un defensor que a la de un perito, razón por la cual no se le toma juramento. </w:t>
      </w:r>
    </w:p>
    <w:p w:rsidR="00E10347" w:rsidRPr="00E10347" w:rsidRDefault="00E10347" w:rsidP="003A0C35">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 xml:space="preserve">En el proceso penal alemán anterior a la reforma de 1975 se contemplaba una figura similar a la del consultor técnico, denominada “perito de parte”, el cual era un perito pagado por alguno de los intervinientes en el proceso que se sumaba a los nombrados por el tribunal, lo cual ponía en duda su objetividad.  </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En la Ordenanza Procesal Penal vigente no se establece la figura del consultor técnico aunque la jurisprudencia ha aceptado que los defensores se hagan acompañar de expertos en determinadas materias.</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 xml:space="preserve">El Código Procesal Penal de la Provincia de Córdoba de 1939 –reformado parcialmente en 1970-, se apartó del diseño del instituto del consultor técnico contenido en el Código Rocco, asumiendo el modelo de “perito de parte”,  similar al de la Ordenanza Procesal Penal alemana. El artículo 261 de dicho cuerpo </w:t>
      </w:r>
      <w:r w:rsidRPr="00E10347">
        <w:rPr>
          <w:rFonts w:ascii="Palatino Linotype" w:eastAsia="Calibri" w:hAnsi="Palatino Linotype"/>
          <w:sz w:val="21"/>
          <w:szCs w:val="21"/>
          <w:lang w:eastAsia="es-ES_tradnl"/>
        </w:rPr>
        <w:lastRenderedPageBreak/>
        <w:t>normativo -cuya redacción es prácticamente la misma que la del artículo 244 del Código de Procedimientos Penales de 1973-, establecía que “</w:t>
      </w:r>
      <w:r w:rsidRPr="00E10347">
        <w:rPr>
          <w:rFonts w:ascii="Palatino Linotype" w:eastAsia="Calibri" w:hAnsi="Palatino Linotype"/>
          <w:i/>
          <w:sz w:val="21"/>
          <w:szCs w:val="21"/>
          <w:lang w:eastAsia="es-ES_tradnl"/>
        </w:rPr>
        <w:t>cada parte podrá proponer a su costa otro perito legalmente habilitado</w:t>
      </w:r>
      <w:r w:rsidRPr="00E10347">
        <w:rPr>
          <w:rFonts w:ascii="Palatino Linotype" w:eastAsia="Calibri" w:hAnsi="Palatino Linotype"/>
          <w:sz w:val="21"/>
          <w:szCs w:val="21"/>
          <w:lang w:eastAsia="es-ES_tradnl"/>
        </w:rPr>
        <w:t xml:space="preserve">”. </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Nuestro Código de Procedimientos Penales permitía además, en el artículo 252, la posibilidad de que los peritos de parte fueran miembros del Organismo de Investigación Judicial, sin excluir la posibilidad de que se tratara de peritos nombrados por su cuenta.  En el primer caso los mismos no podían cobrar honorarios. Relativo a este tema la Sala Constitucional señaló:</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sz w:val="21"/>
          <w:szCs w:val="21"/>
          <w:lang w:eastAsia="es-ES_tradnl"/>
        </w:rPr>
        <w:t>“</w:t>
      </w:r>
      <w:r w:rsidRPr="00E10347">
        <w:rPr>
          <w:rFonts w:ascii="Palatino Linotype" w:eastAsia="Calibri" w:hAnsi="Palatino Linotype"/>
          <w:i/>
          <w:sz w:val="21"/>
          <w:szCs w:val="21"/>
          <w:lang w:eastAsia="es-ES_tradnl"/>
        </w:rPr>
        <w:t xml:space="preserve">I.- El recurrente estima que el artículo 252 del Código de Procedimientos Penales es contrario a lo reglado en los artículos 7 y 39 de la Constitución Política y 8 incisos a), b), c) y f) de la Convención Americana sobre Derechos Humanos, en razón de que según su criterio se afecta su derecho de defensa al obligársele a pagar las costas de un peritaje que pidió en causa que en su contra se sigue, en averiguación de varias estafas y fraudes que se le atribuyen como cometidos en la quiebra de la empresa Inversiones El Sol, sociedad anónima. Estima para ello que es "obligación del Estado suministrarle al imputado los medios y posibilidades de prueba". Además, que la norma cuestionada es discriminatoria pues </w:t>
      </w:r>
      <w:r w:rsidR="002A76CC">
        <w:rPr>
          <w:rFonts w:ascii="Palatino Linotype" w:eastAsia="Calibri" w:hAnsi="Palatino Linotype"/>
          <w:i/>
          <w:sz w:val="21"/>
          <w:szCs w:val="21"/>
          <w:lang w:eastAsia="es-ES_tradnl"/>
        </w:rPr>
        <w:t xml:space="preserve">solo </w:t>
      </w:r>
      <w:r w:rsidRPr="00E10347">
        <w:rPr>
          <w:rFonts w:ascii="Palatino Linotype" w:eastAsia="Calibri" w:hAnsi="Palatino Linotype"/>
          <w:i/>
          <w:sz w:val="21"/>
          <w:szCs w:val="21"/>
          <w:lang w:eastAsia="es-ES_tradnl"/>
        </w:rPr>
        <w:t xml:space="preserve">permite ejercer una efectiva defensa a quien es solvente. (...)  </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Redacta el Magistrado Mora Mora:</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 xml:space="preserve"> Considerando:       </w:t>
      </w:r>
    </w:p>
    <w:p w:rsidR="00E10347" w:rsidRPr="00E10347" w:rsidRDefault="00E10347" w:rsidP="00E10347">
      <w:pPr>
        <w:jc w:val="both"/>
        <w:rPr>
          <w:rFonts w:ascii="Palatino Linotype" w:eastAsia="Calibri" w:hAnsi="Palatino Linotype"/>
          <w:sz w:val="21"/>
          <w:szCs w:val="21"/>
          <w:lang w:eastAsia="es-ES_tradnl"/>
        </w:rPr>
      </w:pPr>
      <w:r w:rsidRPr="00E10347">
        <w:rPr>
          <w:rFonts w:ascii="Palatino Linotype" w:eastAsia="Calibri" w:hAnsi="Palatino Linotype"/>
          <w:i/>
          <w:sz w:val="21"/>
          <w:szCs w:val="21"/>
          <w:lang w:eastAsia="es-ES_tradnl"/>
        </w:rPr>
        <w:t xml:space="preserve">I.- Al interpretar el párrafo primero de la Ley de la Jurisdicción Constitucional, en el que se señalan las circunstancias que legitiman la interposición de una acción de inconstitucionalidad, esta Sala señaló en el voto 1781-91 de las quince horas y treinta minutos del diez de setiembre pasado: "...la regulación de la legitimación en las acciones de inconstitucionalidad, no permite aceptar la tesis en cuanto a que la sola consideración particular de la inconstitucionalidad de una disposición normativa, legitime a dicha persona para interponer una acción sin requerir la existencia de un asunto pendiente de resolver, sino que es necesario que se demuestre que la acción es un medio razonable de amparar el derecho o interés que estima lesionado, con indicación precisa de esa lesión y de su por qué, ya que si así no fuere no habría nunca necesidad de haber invocado, en su caso, la infracción dentro de un proceso o procedimiento que le sirva de asunto base, como lo exige el párrafo primero del artículo 75 de la Ley (entre otros, véanse los votos números 234-90 de las 14:00 hrs. del 28 de febrero de 1990 y 248-90 de las 14:00 hrs. del 7 de marzo de 1990). Por otra parte, de haberlo querido de esa manera el legislador, habría simplificado la técnica utilizada, reconociendo expresamente la posibilidad de accionar directamente sin asunto previo, con supresión del párrafo primero del citado artículo 75." II.- De la trascripción anterior se colige </w:t>
      </w:r>
      <w:r w:rsidRPr="00E10347">
        <w:rPr>
          <w:rFonts w:ascii="Palatino Linotype" w:eastAsia="Calibri" w:hAnsi="Palatino Linotype"/>
          <w:i/>
          <w:sz w:val="21"/>
          <w:szCs w:val="21"/>
          <w:lang w:eastAsia="es-ES_tradnl"/>
        </w:rPr>
        <w:lastRenderedPageBreak/>
        <w:t xml:space="preserve">que en el artículo 75 de la Ley de la Jurisdicción Constitucional, exige, para legitimar a una persona para interponer una acción de inconstitucionalidad, que de previo haya invocado dicha inconstitucionalidad como un medio razonable de amparar su derecho. En el caso presente, como bien lo señala la representación del Ministerio Público al contestar la audiencia que le fue conferida sobre la interposición del recurso, y la Procuraduría General de la República en la vista oral que se celebró el diecinueve de setiembre pasado, la eventual supresión del artículo 252 del Código de Procedimientos Penales, en nada contribuiría a resolver el motivo de inconformidad del recurrente sobre el pago de los peritos como circunstancia que incide desfavorablemente en el ejercicio de la defensa, </w:t>
      </w:r>
      <w:r w:rsidRPr="00E10347">
        <w:rPr>
          <w:rFonts w:ascii="Palatino Linotype" w:eastAsia="Calibri" w:hAnsi="Palatino Linotype"/>
          <w:i/>
          <w:sz w:val="21"/>
          <w:szCs w:val="21"/>
          <w:u w:val="single"/>
          <w:lang w:eastAsia="es-ES_tradnl"/>
        </w:rPr>
        <w:t>pues no es el citado artículo el que obliga al interesado al pago del peritaje, sino que simplemente lo faculta, señalando además que los peritos designados tendrán derecho a cobrar honorarios</w:t>
      </w:r>
      <w:r w:rsidRPr="00E10347">
        <w:rPr>
          <w:rFonts w:ascii="Palatino Linotype" w:eastAsia="Calibri" w:hAnsi="Palatino Linotype"/>
          <w:i/>
          <w:sz w:val="21"/>
          <w:szCs w:val="21"/>
          <w:lang w:eastAsia="es-ES_tradnl"/>
        </w:rPr>
        <w:t>. Dispone así la señalada norma:”Artículo 252.- Los peritos nombrados de oficio, cuando el Organismo de Investigación Judicial no esté en posibilidad de dictaminar o los designados a pedido del Ministerio Público, tendrán derecho a cobrar honorarios, a menos que tengan sueldo por cargos oficiales desempeñados en virtud de conocimientos específicos en la ciencia, arte o técnica que el peritaje requiera. El perito nombrado a petición de parte podrá cobrarlos siempre, de previo a dar el dictamen, salvo que el perito sea miembro del Organismo Médico Forense”. De acuerdo con lo expuesto procede rechazar de plano la acción.”</w:t>
      </w:r>
      <w:r w:rsidRPr="00E10347">
        <w:rPr>
          <w:rFonts w:ascii="Palatino Linotype" w:eastAsia="Calibri" w:hAnsi="Palatino Linotype"/>
          <w:sz w:val="21"/>
          <w:szCs w:val="21"/>
          <w:lang w:eastAsia="es-ES_tradnl"/>
        </w:rPr>
        <w:t>.</w:t>
      </w:r>
    </w:p>
    <w:p w:rsidR="00E10347" w:rsidRPr="00E10347" w:rsidRDefault="00E10347" w:rsidP="00E10347">
      <w:pPr>
        <w:jc w:val="both"/>
        <w:rPr>
          <w:rFonts w:ascii="Palatino Linotype" w:eastAsia="Calibri" w:hAnsi="Palatino Linotype"/>
          <w:sz w:val="21"/>
          <w:szCs w:val="21"/>
          <w:lang w:eastAsia="es-ES_tradnl"/>
        </w:rPr>
      </w:pP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 xml:space="preserve">El Código Procesal Penal de 1996, en su artículo 126, retoma la figura del consultor técnico proveniente del Código Rocco. El antecedente inmediato de esa norma, cuya redacción es además muy similar a la de nuestro código vigente, es el artículo 109 del Código Procesal Penal Modelo para Iberoamérica de 1988, redactado en el marco del Instituto Iberoamericano de Derecho Procesal.   </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sz w:val="21"/>
          <w:szCs w:val="21"/>
          <w:lang w:eastAsia="es-ES_tradnl"/>
        </w:rPr>
        <w:tab/>
        <w:t>En la exposición de motivos del mismo se indica: “</w:t>
      </w:r>
      <w:r w:rsidRPr="00E10347">
        <w:rPr>
          <w:rFonts w:ascii="Palatino Linotype" w:eastAsia="Calibri" w:hAnsi="Palatino Linotype"/>
          <w:i/>
          <w:sz w:val="21"/>
          <w:szCs w:val="21"/>
          <w:lang w:eastAsia="es-ES_tradnl"/>
        </w:rPr>
        <w:t xml:space="preserve">Cabe destacar aquí la inclusión de los consultores técnicos como auxiliares de los intervinientes en el procedimiento, en reemplazo de los llamados “peritos de parte” a su verdadera función, la de colaboradores de la defensa de un interés, y, por tanto, evitar la tarea discutible y penosa de intentar conciliar el interés de aquél a quien responden, con el dictamen pericial; ahora representan, inequívocamente, un interés y, por ello, obran </w:t>
      </w:r>
      <w:r w:rsidR="002A76CC">
        <w:rPr>
          <w:rFonts w:ascii="Palatino Linotype" w:eastAsia="Calibri" w:hAnsi="Palatino Linotype"/>
          <w:i/>
          <w:sz w:val="21"/>
          <w:szCs w:val="21"/>
          <w:lang w:eastAsia="es-ES_tradnl"/>
        </w:rPr>
        <w:t xml:space="preserve">solo </w:t>
      </w:r>
      <w:r w:rsidRPr="00E10347">
        <w:rPr>
          <w:rFonts w:ascii="Palatino Linotype" w:eastAsia="Calibri" w:hAnsi="Palatino Linotype"/>
          <w:i/>
          <w:sz w:val="21"/>
          <w:szCs w:val="21"/>
          <w:lang w:eastAsia="es-ES_tradnl"/>
        </w:rPr>
        <w:t>asesorando al titular de ese interés sobre cuestiones referentes a su conocimiento específico, para mejorar la defensa de ese interés</w:t>
      </w:r>
      <w:r w:rsidRPr="00E10347">
        <w:rPr>
          <w:rFonts w:ascii="Palatino Linotype" w:eastAsia="Calibri" w:hAnsi="Palatino Linotype"/>
          <w:sz w:val="21"/>
          <w:szCs w:val="21"/>
          <w:lang w:eastAsia="es-ES_tradnl"/>
        </w:rPr>
        <w:t xml:space="preserve">”.Sin embargo en el artículo 184 del Código Modelo, en forma un tanto contradictoria con la exposición de motivos del mismo, se deja vigente la figura del perito de parte.   El párrafo segundo del artículo 216 del Código Procesal Penal de 1996, de redacción muy similar a la del artículo 184 arriba citado, establece: </w:t>
      </w:r>
      <w:r w:rsidRPr="00E10347">
        <w:rPr>
          <w:rFonts w:ascii="Palatino Linotype" w:eastAsia="Calibri" w:hAnsi="Palatino Linotype"/>
          <w:i/>
          <w:sz w:val="21"/>
          <w:szCs w:val="21"/>
          <w:lang w:eastAsia="es-ES_tradnl"/>
        </w:rPr>
        <w:t xml:space="preserve"> </w:t>
      </w:r>
    </w:p>
    <w:p w:rsidR="00E10347" w:rsidRPr="00E10347" w:rsidRDefault="00E10347" w:rsidP="00E10347">
      <w:pPr>
        <w:jc w:val="both"/>
        <w:rPr>
          <w:rFonts w:ascii="Palatino Linotype" w:eastAsia="Calibri" w:hAnsi="Palatino Linotype"/>
          <w:sz w:val="21"/>
          <w:szCs w:val="21"/>
          <w:lang w:eastAsia="es-ES_tradnl"/>
        </w:rPr>
      </w:pPr>
      <w:r w:rsidRPr="00E10347">
        <w:rPr>
          <w:rFonts w:ascii="Palatino Linotype" w:eastAsia="Calibri" w:hAnsi="Palatino Linotype"/>
          <w:i/>
          <w:sz w:val="21"/>
          <w:szCs w:val="21"/>
          <w:lang w:eastAsia="es-ES_tradnl"/>
        </w:rPr>
        <w:lastRenderedPageBreak/>
        <w:t>“Dentro del plazo que establezca la autoridad que ordenó el peritaje, cualquiera de las partes podrá proponer por su cuenta a otro perito para reemplazar al ya designado o para dictaminar conjuntamente con él, cuando en las circunstancias del caso resulte conveniente su participación por su experiencia o idoneidad especial</w:t>
      </w:r>
      <w:r w:rsidRPr="00E10347">
        <w:rPr>
          <w:rFonts w:ascii="Palatino Linotype" w:eastAsia="Calibri" w:hAnsi="Palatino Linotype"/>
          <w:sz w:val="21"/>
          <w:szCs w:val="21"/>
          <w:lang w:eastAsia="es-ES_tradnl"/>
        </w:rPr>
        <w:t>”.</w:t>
      </w:r>
    </w:p>
    <w:p w:rsidR="00E10347" w:rsidRPr="00E10347" w:rsidRDefault="00E10347" w:rsidP="00E10347">
      <w:pPr>
        <w:jc w:val="both"/>
        <w:rPr>
          <w:rFonts w:ascii="Palatino Linotype" w:eastAsia="Calibri" w:hAnsi="Palatino Linotype"/>
          <w:sz w:val="21"/>
          <w:szCs w:val="21"/>
          <w:lang w:eastAsia="es-ES_tradnl"/>
        </w:rPr>
      </w:pP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 xml:space="preserve">De lo anterior se puede concluir que tanto el Código Modelo para Iberoamérica de 1988 como el Código Procesal Penal de 1996 mantuvieron la figura del “perito de parte” proveniente del Código de Córdoba de 1939 y a su vez la figura del consultor técnico proveniente del Código Rocco de 1930.  </w:t>
      </w:r>
    </w:p>
    <w:p w:rsidR="00E10347" w:rsidRPr="00E10347" w:rsidRDefault="00E10347" w:rsidP="00E10347">
      <w:pPr>
        <w:jc w:val="both"/>
        <w:rPr>
          <w:rFonts w:ascii="Palatino Linotype" w:eastAsia="Calibri" w:hAnsi="Palatino Linotype"/>
          <w:sz w:val="21"/>
          <w:szCs w:val="21"/>
          <w:lang w:eastAsia="es-ES_tradnl"/>
        </w:rPr>
      </w:pPr>
    </w:p>
    <w:p w:rsidR="00E10347" w:rsidRPr="00E10347" w:rsidRDefault="00E10347" w:rsidP="00E83320">
      <w:pPr>
        <w:pStyle w:val="Textoindependiente3"/>
        <w:numPr>
          <w:ilvl w:val="0"/>
          <w:numId w:val="11"/>
        </w:numPr>
        <w:spacing w:line="240" w:lineRule="auto"/>
        <w:ind w:left="720" w:hanging="360"/>
        <w:rPr>
          <w:rFonts w:ascii="Palatino Linotype" w:hAnsi="Palatino Linotype" w:cs="Arial"/>
          <w:b/>
          <w:sz w:val="21"/>
          <w:szCs w:val="21"/>
          <w:u w:val="single"/>
        </w:rPr>
      </w:pPr>
      <w:r w:rsidRPr="00E10347">
        <w:rPr>
          <w:rFonts w:ascii="Palatino Linotype" w:hAnsi="Palatino Linotype" w:cs="Arial"/>
          <w:b/>
          <w:sz w:val="21"/>
          <w:szCs w:val="21"/>
          <w:u w:val="single"/>
        </w:rPr>
        <w:t>Antecedentes de Interés:</w:t>
      </w:r>
    </w:p>
    <w:p w:rsidR="00E10347" w:rsidRPr="00E10347" w:rsidRDefault="00E10347" w:rsidP="00E10347">
      <w:pPr>
        <w:ind w:firstLine="360"/>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Por acta de Corte Plena N° 10-96, del 20 de marzo de 1996, se inicia la discusión sobre la nueva figura del consultor técnico que contempla el Proyecto de Código Procesal Penal.</w:t>
      </w:r>
    </w:p>
    <w:p w:rsidR="00E10347" w:rsidRPr="00E10347" w:rsidRDefault="00E10347" w:rsidP="00E10347">
      <w:pPr>
        <w:ind w:firstLine="360"/>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Por acta del Consejo Superior N° 066-96, del 22 de agosto de 1996, en el artículo LIX, se continuó tratando el tema en cuanto a la recomendación de que se hacía necesario el aseguramiento de la calidad en los laboratorios del Departamento de Ciencias Forenses, por la reglamentación procesal penal de la figura del consultor técnico, el cual podría presenciar las operaciones periciales e interrogar en debate directamente a los peritos.</w:t>
      </w:r>
    </w:p>
    <w:p w:rsidR="00E10347" w:rsidRPr="00E10347" w:rsidRDefault="00E10347" w:rsidP="00E10347">
      <w:pPr>
        <w:ind w:firstLine="360"/>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Por lo que se hacía necesario la actualización profesional de los peritos de Ciencias Forenses, implementar los protocolos de análisis a efecto de lograr la acreditación de los laboratorios por un ente nacional o internacional, la formación de equipos de aseguramiento de calidad en las diversas secciones del Departamento de Ciencias Forenses, proponer un plan de capacitación que asegurara su credibilidad al fungir como peritos en los procesos judiciales e identificar las fuentes internas y externas que podrían cooperar en este esfuerzo.</w:t>
      </w:r>
    </w:p>
    <w:p w:rsidR="00E10347" w:rsidRPr="00E10347" w:rsidRDefault="00E10347" w:rsidP="00E10347">
      <w:pPr>
        <w:ind w:firstLine="360"/>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En el acta del Consejo Superior N° 31-97, del 24 de abril de 1997, en el artículo XLV, en oficio N° 96-340-DLC, la “Comisión de Aseguramiento de la Calidad”, que fue establecida para la preparación de un Manual de Aseguramiento de la Calidad, cuya finalidad fue integrar, delimitar y estandarizar los procedimientos científicos y administrativos relativos a la labor que a diario les ocupa, y que precisamente por la entrada en vigencia del nuevo Código Procesal Penal y específicamente por la forma de aplicación de los artículos N° 126, 216, 217 y 218 del citado Código, formularon las siguientes consultas:</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lastRenderedPageBreak/>
        <w:t>“1- El nuevo Código Procesal Penal contempla la posibilidad de que un consultor técnico (artículo 126) o un perito particular (artículo 216, segundo párrafo), puedan estar presentes o dictaminar conjuntamente con el perito ya designado por parte de este Departamento.  En lo referente, creemos conveniente que sea ese Consejo quien dicte las pautas y recomendaciones acerca de la permanencia de estas personas en las instalaciones físicas del Departamento.  Tomando en cuenta aspectos relativos a la cadena de custodia de indicios, confidencialidad y seguridad.</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2- En el artículo 217 del mismo texto legal, se contempla la posibilidad de que los peritos -suponemos que se trata del perito designado por parte del Departamento de Laboratorio y el perito particular ofrecido por cualquiera de las partes- cuando sea posible practicarán el examen conjuntamente, en ese sentido creemos conveniente que dicho Consejo tome las consideraciones correspondientes que contemplen: el eventual doble gasto de reactivos, la utilización del equipo propio del Poder Judicial por parte de un particular y la forma de responsabilizar a dicho particular por cualquier eventual daño causado a los equipos.</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Por otro lado, ante la eventualidad de que los peritos no pudieren practicar el examen conjuntamente, nos queda la duda de si el equipo con que cuenta este laboratorio, que en algunos casos es el único del país, delicado y de muy alto costo, deberá ser facilitado a los peritos particulares para que éstos realicen sus propios análisis, atrasando la rutina del laboratorio ya de por sí recargada.  Si así lo fuere, sería conveniente la determinación expresa por parte de ese Consejo, de las condiciones bajo las que el equipo será facilitado.</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3- Entendemos de lo dicho en el párrafo final del artículo 218 del nuevo Código Procesal Penal, que estando de acuerdo ambos peritos en cuanto a las opiniones formadas en el peritaje, perfectamente podrán rendir el dictamen conjuntamente por escrito, firmado y fechado.  Al respecto, nos queda la interrogante de cuál sería la condición jurídico-legal en la que, la firma del perito particular, aparecerá en un informe emitido por el Departamento de Ciencias Forenses; informe que tiene ya las formalidades propias establecidas en la Ley Orgánica del Organismo de Investigación Judicial (artículos 39, 55, 56 y 57).</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Comprendemos que cuando opera un cambio en cualquier instancia de nuestras vidas, ello conlleva a una serie de incomodidades, ajustes, y quizás, un esfuerzo humano mayor para adaptarse al cambio.  Objetivo accesorio de esta comisión es dar esos primeros pasos para que las incomodidades y ajustes obligados, sean menores y la adaptación más rápida y eficaz, implementando hoy las medidas y requerimientos necesarios para nuestro quehacer del mañana.”</w:t>
      </w:r>
    </w:p>
    <w:p w:rsidR="00E10347" w:rsidRPr="00E10347" w:rsidRDefault="00E10347" w:rsidP="00E10347">
      <w:pPr>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Se acordó: Trasladar la anterior solicitud a la Comisión de Asuntos Penales, para su atención.</w:t>
      </w:r>
    </w:p>
    <w:p w:rsidR="00E10347" w:rsidRPr="00E10347" w:rsidRDefault="00E10347" w:rsidP="00E10347">
      <w:pPr>
        <w:jc w:val="both"/>
        <w:rPr>
          <w:rFonts w:ascii="Palatino Linotype" w:eastAsia="Calibri" w:hAnsi="Palatino Linotype"/>
          <w:sz w:val="21"/>
          <w:szCs w:val="21"/>
          <w:lang w:eastAsia="es-ES_tradnl"/>
        </w:rPr>
      </w:pPr>
    </w:p>
    <w:p w:rsidR="00E10347" w:rsidRPr="00E10347" w:rsidRDefault="00E10347" w:rsidP="00E10347">
      <w:pPr>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En oficio N° 54-97 del 23 de abril de 1997, el Magistrado  González, Presidente de la Comisión de Asuntos Penales, expresó:</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“En relación con su atenta nota del 21 de noviembre de 1996, N° 12073-96, por medio de la cual pone en conocimiento de la Comisión de Asuntos Penales la nota del 06 de noviembre de 1996 suscrita por los integrantes de la Comisión de Aseguramiento de Calidad del Departamento de Laboratorio de Ciencias Forenses, me permito comunicarle que esta Comisión, en sesión del lunes 14 de abril de 1997, acordó informar lo siguiente:</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“A-  Será inevitable en algunos casos la presencia del perito o consultor técnico en el lugar donde se practica la pericia, conforme se desprende tanto de la realización conjunta del peritaje (art.216 Cpp.) como de la facultad de presenciar el examen (art.126 Cpp.).</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No obstante es evidente que la presencia se limita a las personas autorizadas, únicamente para la finalidad prevista por ley y en todo caso siempre bajo la presencia del perito oficial.</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Aspectos como “la cadena de custodia de indicios, confidencialidad y seguridad” (que se mencionan en dicho oficio), no se verían gravemente comprometidos pues quien realiza la pericia es el experto oficial, el que siempre estará presente.  No obstante podría pensarse en que el perito oficial sea acompañado por un asistente quien colaboraría en diversos aspectos (entre ellos los relativos a seguridad), todo sin perjuicio de otras medidas que se consideren prudentes.</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 xml:space="preserve">B- Respecto a lo dispuesto por el numeral 217 del Código Procesal Penal, debe tenerse presente que la realización del peritaje será conjunta </w:t>
      </w:r>
      <w:r w:rsidR="002A76CC">
        <w:rPr>
          <w:rFonts w:ascii="Palatino Linotype" w:eastAsia="Calibri" w:hAnsi="Palatino Linotype"/>
          <w:i/>
          <w:sz w:val="21"/>
          <w:szCs w:val="21"/>
          <w:lang w:eastAsia="es-ES_tradnl"/>
        </w:rPr>
        <w:t xml:space="preserve">solo </w:t>
      </w:r>
      <w:r w:rsidRPr="00E10347">
        <w:rPr>
          <w:rFonts w:ascii="Palatino Linotype" w:eastAsia="Calibri" w:hAnsi="Palatino Linotype"/>
          <w:i/>
          <w:sz w:val="21"/>
          <w:szCs w:val="21"/>
          <w:lang w:eastAsia="es-ES_tradnl"/>
        </w:rPr>
        <w:t>“cuando sea posible” conforme señala la norma, por lo que si ello no es posible la pericia deberá realizarse por separado.</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 xml:space="preserve">Además la realización conjunta implica una sola realización y no la duplicidad de peritajes.  De allí que no debería, salvo excepciones, existir doble gasto de reactivos y en cuanto a la utilización del equipo el mismo será utilizado por el perito oficial o, en algunos casos, por el particular bajo la vigilancia de éste; en todo caso los gastos extraordinarios y daños que se produzcan por la participación del perito particular deberán ser cubiertos por la parte interesada. </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Por lo anterior el equipo con que cuenta el laboratorio no será facilitado a los peritos particulares para que éstos realicen sus propios análisis ya que, como se dijo, únicamente está prevista la realización conjunta.</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Cabe agregar que esta disposición ya está vigente desde 1975, pues en el artículo 247 del actual Código de Procedimientos Penales se señala que los peritos practicarán conjuntamente el examen “siempre que sea posible y conveniente”.</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 xml:space="preserve">C- Respecto a “la condición jurídico-legal en la que, la firma del perito particular, aparecerá </w:t>
      </w:r>
      <w:r w:rsidRPr="00E10347">
        <w:rPr>
          <w:rFonts w:ascii="Palatino Linotype" w:eastAsia="Calibri" w:hAnsi="Palatino Linotype"/>
          <w:i/>
          <w:sz w:val="21"/>
          <w:szCs w:val="21"/>
          <w:lang w:eastAsia="es-ES_tradnl"/>
        </w:rPr>
        <w:lastRenderedPageBreak/>
        <w:t>en un informe emitido por el Departamento de Ciencias Forenses”, esta no puede ser otra más que la condición de perito particular (al igual que su co-firmante no perderá su condición de perito oficial).  No existiendo en nuestra legislación procesal penal prueba tasada, el peritaje firmado conjuntamente por un perito oficial y uno particular (que concuerdan en sus resultados), no tendrá ni mayor ni menos valor que el derivado de su contenido. Tanto uno como otro deberá ser sometido a análisis conforme a las reglas de la sana crítica, como también ocurre en la actualidad.”</w:t>
      </w:r>
    </w:p>
    <w:p w:rsidR="00E10347" w:rsidRPr="00E10347" w:rsidRDefault="00E10347" w:rsidP="00E10347">
      <w:pPr>
        <w:jc w:val="both"/>
        <w:rPr>
          <w:rFonts w:ascii="Palatino Linotype" w:eastAsia="Calibri" w:hAnsi="Palatino Linotype"/>
          <w:i/>
          <w:sz w:val="21"/>
          <w:szCs w:val="21"/>
          <w:lang w:eastAsia="es-ES_tradnl"/>
        </w:rPr>
      </w:pPr>
    </w:p>
    <w:p w:rsidR="00E10347" w:rsidRPr="00E10347" w:rsidRDefault="00E10347" w:rsidP="003A0C35">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En aquel momento se acordó  acoger el informe, y ponerlo en conocimiento del Jefe del Departamento de Laboratorios de Ciencias Forenses, Dr. González Lizano, y de los interesados.</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Por acta N° 5-98, de las 13:30 horas del 20 de enero de 1998, el Consejo Superior del Poder Judicial, en el artículo CXXVII, se trataron algunas de las necesidades para diligenciar las causas del Banco Anglo, y dentro de las del Ministerio Público y la Defensa Pública estaban las de nombrar un consultor técnico en materia bursátil. Y en ese momento se indicó que en cuanto a los asesores técnicos, estaba la SUGEF para que diera el apoyo a la fiscalía y a su vez la Comisión Nacional de Valores par que ésta apoyara a la Defensa Pública, pero todo ello en forma gratuita.</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Posteriormente por el Consejo Superior, por acta N° 42-98, de las 13:30 horas del 4 de junio de 1998, en su artículo II, se indicó que se había denegado a la Defensa Pública, el uso de los servicios de un perito en Contaduría Pública y Finanzas a efectos de que brindara asesoría en estas causas y en su lugar se dispuso que fueran los funcionarios de la Sección de Investigaciones Contables del Organismo de Investigación Judicial, los que prestaran la colaboración que interesaba. Luego el 3 de junio, se solicitó la reconsideración del acuerdo anterior, con base en los siguientes argumentos:</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 xml:space="preserve">“1- Las causas aquí discutidas implican, entre otras cosas, conocimientos en materia contable, tanto es así que el mismo órgano jurisdiccional ha requerido los servicios de la sección al efecto del Organismo de Investigación Judicial. </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2- Con ocasión de lo anterior existen en todas las causas aludidas amplios dictámenes en esta materia rendidos por dichos expertos del OIJ, los cuales pareciera cuestionan la conducta del defendido por este despacho.</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 xml:space="preserve">3- Ante tal situación la defensa del imputado se ha visto en la necesidad de rebatir dichos criterios además de solicitar las correspondientes aclaraciones y adiciones, situación que </w:t>
      </w:r>
      <w:r w:rsidRPr="00E10347">
        <w:rPr>
          <w:rFonts w:ascii="Palatino Linotype" w:eastAsia="Calibri" w:hAnsi="Palatino Linotype"/>
          <w:i/>
          <w:sz w:val="21"/>
          <w:szCs w:val="21"/>
          <w:lang w:eastAsia="es-ES_tradnl"/>
        </w:rPr>
        <w:lastRenderedPageBreak/>
        <w:t>requiere ineludible e imprescindiblemente la asesoría de un experto en materia contable cuyo criterio sea absolutamente imparcial, hecho difícil de alcanzar cuando la misma proviniera del mismo departamento emisor de la tesis a rebatir.</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4- En razón de lo anterior solicitamos se reconsidere la decisión aquí discutida a fines que se autorice a esta oficina los servicios de un experto en materia contable.</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5- Cabe agregar que los servicios de dicho técnico no se utilizarían únicamente en el debate de los dictámenes de la sección de contables sino también en una asesoría general en todas las causas en análisis, siendo que en todas ellas se manejan criterios contables y financieros avanzados ajenos a los conocimientos usuales de los profesionales en esta oficina.”. Entonces se acordó interceder ante la Comisión Nacional de Valores para que brinde la colaboración con el personal técnico a la Defensa Pública, todo ello en forma gratuita.”</w:t>
      </w:r>
    </w:p>
    <w:p w:rsidR="00E10347" w:rsidRPr="00E10347" w:rsidRDefault="00E10347" w:rsidP="00E10347">
      <w:pPr>
        <w:jc w:val="both"/>
        <w:rPr>
          <w:rFonts w:ascii="Palatino Linotype" w:eastAsia="Calibri" w:hAnsi="Palatino Linotype"/>
          <w:sz w:val="21"/>
          <w:szCs w:val="21"/>
          <w:lang w:eastAsia="es-ES_tradnl"/>
        </w:rPr>
      </w:pP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Vemos como en estos primeros intentos de nombrar consultores técnicos tanto para la Defensa Pública como para el Ministerio Público, existía una confusión entre la figura del consultor técnico y la del perito y sus funciones, que obviamente no son lo mismo.</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Pese a lo anterior, resaltan igualmente algunos aspectos Problemáticos:</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 xml:space="preserve">El Consejo Superior en el acta N° 36-99, de las 14.:30 horas del 11 de mayo de 1999, conoció la inquietud sobre el procedimiento que debía seguirse para designación y nombramiento de consultores técnicos. </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El Dr. Manuel Rojas Salas, Fiscal Adjunto de Delitos Económicos, Corrupción y Tributarios, con el visto bueno del Lic. Carlos Arias Núñez, Fiscal General de la República, en oficio N° 58-FADECT-MRS-99 de 7 de mayo de 1999, comunico lo siguiente:</w:t>
      </w:r>
    </w:p>
    <w:p w:rsidR="00E10347" w:rsidRPr="00E10347" w:rsidRDefault="00E10347" w:rsidP="00E10347">
      <w:pPr>
        <w:jc w:val="both"/>
        <w:rPr>
          <w:rFonts w:ascii="Palatino Linotype" w:eastAsia="Calibri" w:hAnsi="Palatino Linotype"/>
          <w:sz w:val="21"/>
          <w:szCs w:val="21"/>
          <w:lang w:eastAsia="es-ES_tradnl"/>
        </w:rPr>
      </w:pPr>
      <w:r w:rsidRPr="00E10347">
        <w:rPr>
          <w:rFonts w:ascii="Palatino Linotype" w:eastAsia="Calibri" w:hAnsi="Palatino Linotype"/>
          <w:i/>
          <w:sz w:val="21"/>
          <w:szCs w:val="21"/>
          <w:lang w:eastAsia="es-ES_tradnl"/>
        </w:rPr>
        <w:t>“En virtud de la promulgación del vigente Código Procesal Penal, han nacido a la vida jurídica una serie de instituciones cuyo funcionamiento y desempeño, desde la órbita estrictamente administrativa, aún no resultan ampliamente comprendido.</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Una de estas instituciones es la de los consultores técnicos, figura contemplada en los numerales 126 y siguientes del Código Procesal Penal, personas que no llegan a reunir la condición de peritos, pero que se constituyen en un auxilio importante para el Ministerio Público o las partes, en aspectos de determinada ciencia o arte, en lo que tienen particulares conocimientos.</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 xml:space="preserve">El Código Procesal Penal establece que la designación de los consultores técnicos se hará de conformidad con las reglas existentes para los peritos, sin embargo, en días pasados una persona experta en asuntos de correduría de Bolsa presentó su curriculum vitae ante ese </w:t>
      </w:r>
      <w:r w:rsidRPr="00E10347">
        <w:rPr>
          <w:rFonts w:ascii="Palatino Linotype" w:eastAsia="Calibri" w:hAnsi="Palatino Linotype"/>
          <w:i/>
          <w:sz w:val="21"/>
          <w:szCs w:val="21"/>
          <w:lang w:eastAsia="es-ES_tradnl"/>
        </w:rPr>
        <w:lastRenderedPageBreak/>
        <w:t>servidor para efectos de fungir como consultora técnica, pero a la hora de solicitar la información de rigor a la Dirección Ejecutiva, se me informó que no existía ningún procedimiento establecido por la designación de consultores técnicos, por lo que me recomendaron realizar el cuestionamiento al Consejo Superior en cuánto a los pasos a seguir para designar un consultor técnico.</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Debe recalcarse que el trámite que se estipule para las designación y nombramiento de consultores técnicos debe contemplar también lo relativo a la fijación de sus honorarios y procedimiento para el pago de los mismos.”.</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En ese momento se dispuso remitir la anterior gestión a la Comisión de Asuntos Penales, con el ruego atento de su estudio e informe.</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Con ello, se evidencia que a pesar de ya haber entrado en vigencia el Código Procesal Penal, la figura del consultor técnico todavía no alcanzaba el desarrollo necesario para su debida aplicación y utilización en el proceso penal.</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Por acta del Consejo Superior N° 17-00, de las 8:00 del 29 de febrero del 2000, en su artículo LXI: El Lic. Rafael Ángel Morales Monge, Subdirector Ejecutivo, en oficio N° 1061-DE-00 de 21 del febrero, comunicó lo siguiente:</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“Esta Dirección ha recibido la gestión que a solicitud de la Defensa Pública hace el Lic. Hernán Martínez Acevedo, Fiscal Coordinador de la Fiscalía de Delitos Económicos y Tributarios, tendente a que se autorice el pago a favor del señor Melber Antonio Corrales Esquivel como consultor técnico dentro de la causa número 99-12302-042-PE. La labor del consultor consistirá en asesorar a la defensa pública en materia financiero contable para analizar el material probatorio en poder del Ministerio Público; cobra por honorarios la suma de un millón treinta y nueve mil colones (¢1.039.000,00).</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Por constituir la anterior solicitud una novedad dentro del proceso penal y para esta Dirección Ejecutiva, me permito elevar a conocimiento del Consejo Superior la petición del Lic. Martínez Acevedo, a fin de que se dicte la política que debe seguirse en estos casos, en donde de la Defensa Pública se solicita asistencia técnica”.</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En este caso se acordó denegar la anterior solicitud, ya que no era posible autorizar dicho gasto. Al mismo tiempo se dispuso que en casos como el anterior, debiera solicitarse dicha asesoría a los peritos del Poder Judicial.</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 xml:space="preserve">Nuevamente, percibimos como en el año 2000, todavía existía una confusión entre el nombramiento de consultores técnicos, y la figura de perito. Y que tal vez fue necesario que en la solicitud presentada ante el Consejo Superior se explicara claramente en qué consistía la asesoría del consultor técnico y porque no habían recurrido a un perito del Poder Judicial, a fin de diferenciar la utilización entre uno </w:t>
      </w:r>
      <w:r w:rsidRPr="00E10347">
        <w:rPr>
          <w:rFonts w:ascii="Palatino Linotype" w:eastAsia="Calibri" w:hAnsi="Palatino Linotype"/>
          <w:sz w:val="21"/>
          <w:szCs w:val="21"/>
          <w:lang w:eastAsia="es-ES_tradnl"/>
        </w:rPr>
        <w:lastRenderedPageBreak/>
        <w:t>y otro.</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 xml:space="preserve">Y es que para setiembre del 2000, todavía no existía ninguna directriz que reglamentara cuál era el trámite que debía seguirse para el nombramiento de un consultor técnico dentro de un proceso penal. Así fue reconocido por el Consejo Superior en el acta N° 77-2000, de las 8:00 horas del 28 de setiembre del 2000, en su artículo LXXVIII: </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El Lic. Rafael Ángel Morales Monge, Subdirector Ejecutivo, en oficio N° 4590-DE-00 de 22 de setiembre del 2000, manifestó:</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“En nota de fecha 16 de agosto en curso, el Lic. Hugo Porte Aguilar, Juez Penal de Pavas, solicita a esta Dirección que se le informe cuál es el trámite a seguir en los casos en que la defensa pública gestiona el nombramiento de un consultor técnico”.</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En virtud de que la Corte Plena ni el Consejo Superior aún no han dictado una directriz respecto de la forma en que debe aplicarse el artículo 126 del Código Procesal Penal, esta Dirección eleva la consulta del Lic. Porte Aguilar a esas instancias, considerando, además, la repercusión económica que tendría su aplicación sobre el presupuesto del Poder Judicial.</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Es oportuno mencionar que en la sesión celebrada el 17 de julio último, artículo XVIII, la Corte Plena conoció el proyecto de presupuesto del 2001-2002.  El Informe Anexo presentado por la respectiva Comisión, en lo que interesa, literalmente dice:</w:t>
      </w:r>
    </w:p>
    <w:p w:rsidR="00E10347" w:rsidRPr="00E10347" w:rsidRDefault="00E10347" w:rsidP="00E10347">
      <w:pPr>
        <w:jc w:val="both"/>
        <w:rPr>
          <w:rFonts w:ascii="Palatino Linotype" w:eastAsia="Calibri" w:hAnsi="Palatino Linotype"/>
          <w:i/>
          <w:sz w:val="21"/>
          <w:szCs w:val="21"/>
          <w:u w:val="single"/>
          <w:lang w:eastAsia="es-ES_tradnl"/>
        </w:rPr>
      </w:pPr>
      <w:r w:rsidRPr="00E10347">
        <w:rPr>
          <w:rFonts w:ascii="Palatino Linotype" w:eastAsia="Calibri" w:hAnsi="Palatino Linotype"/>
          <w:i/>
          <w:sz w:val="21"/>
          <w:szCs w:val="21"/>
          <w:lang w:eastAsia="es-ES_tradnl"/>
        </w:rPr>
        <w:t xml:space="preserve">“… </w:t>
      </w:r>
      <w:r w:rsidRPr="00E10347">
        <w:rPr>
          <w:rFonts w:ascii="Palatino Linotype" w:eastAsia="Calibri" w:hAnsi="Palatino Linotype"/>
          <w:i/>
          <w:sz w:val="21"/>
          <w:szCs w:val="21"/>
          <w:u w:val="single"/>
          <w:lang w:eastAsia="es-ES_tradnl"/>
        </w:rPr>
        <w:t>7) Pago excesivo de peritazgos:</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El rubro de Consultorías, por el que se pagan los peritajes, asciende a doscientos cuatro millones de colones para el año 2001, lo que resulta excesivo.  No existe racionalización del uso de peritos ajenos a los del Organismo de Investigación Judicial, pues hasta para determinar la competencia material (delito o contravención), se ordenan peritazgos.</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u w:val="single"/>
          <w:lang w:eastAsia="es-ES_tradnl"/>
        </w:rPr>
        <w:t>Soluciones:</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Hacer conciencia entre los funcionarios judiciales para que esta partida se utilice restrictivamente, sea en caso de absolutamente necesario.  Que las autorizaciones para el pago de los peritos, también se hagan siguiendo esas directrices y en la medida de lo posible, no se utilicen para asuntos de competencia.”</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Se acordó: Comunicar a la Dirección Ejecutiva que es de su competencia recordar a todos los Jueces valorar en cada caso la solicitud de un consultor técnico.</w:t>
      </w:r>
    </w:p>
    <w:p w:rsidR="00E10347" w:rsidRPr="00E10347" w:rsidRDefault="00E10347" w:rsidP="00E10347">
      <w:pPr>
        <w:jc w:val="both"/>
        <w:rPr>
          <w:rFonts w:ascii="Palatino Linotype" w:eastAsia="Calibri" w:hAnsi="Palatino Linotype"/>
          <w:sz w:val="21"/>
          <w:szCs w:val="21"/>
          <w:lang w:eastAsia="es-ES_tradnl"/>
        </w:rPr>
      </w:pP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En cuanto a la preocupación que existía por la aplicación de la figura del consultor técnico en el proceso penal y la confusión que existe con el nombramiento de peritos, la Corte Plena, en sesión ordinaria celebrada a las 13:30 del 8 de enero del 2001, en su acta N°1-2001, artículo XXVIII, dispuso lo siguiente.</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lastRenderedPageBreak/>
        <w:t>La señora Sandra Agüero Monge, Secretaria interina de la Comisión de Enlace Corte-Organismo de Investigación Judicial, mediante oficio N° 66-CE-00 de 10 de agosto del 2000, transcribe el artículo VII de la sesión del 24 de julio del presente año, en que remite el informe N° 1305-DE-00 de la Dirección General de ese Organismo, sobre la designación de funcionarios para que colaboren con la Defensa Pública en calidad de “asesores” o “consultores técnicos”.</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El Magistrado Chávez propone que el asunto se pase a estudio de la Jurisdicción Penal.  El problema es el siguiente, ha notado en algunos juicios que han llegado a la Sala por recursos de casación; una confusión que se está dando en que qué es un asesor o consulto técnico que es una cuestión nueva que produjo el Código Procesal Penal, con la función del perito.  A veces los Defensores inclusive confunden y solicitan al Jefe de Medicina Legal, por ejemplo, como asesor, y no puede ser asesor, es un perito.  Le parece que antes cualquier cosa de estas sería bueno que la Comisión de Asuntos Penales les estudie el tema de cómo podría funcionar con funcionarios de Medicina Legal la posibilidad de que asesoren o sean consultores técnicos distinto del perito; por una parte.  Por otra parte, como pudiera la Defensa Pública tener este tipo de consultores o asesores técnicos ajenos, precisamente, a los peritos que tienen en el Organismo.  De lo contrario, cualquier cosa que pueda decir el Magistrado Castro o el Magistrado Rojas desde su punto de vista de la Comisión de Enlace, siempre tendrán que repetirlo a alguien a que les haga esta separación y cómo pueden implementar este procedimiento.  Y, es que repite, en los juicios ha habido, al extremo inclusive se anuló una sentencia si no recuerdan mal, o se recurrió a eso porque los jueces tenían un consultor técnico, pidieron un consultor técnico y en realidad, cree, que en esta materia se está en pañales. Le parecería que una Comisión de la Jurisdicción Penal es la que debería de definirles claramente cómo funcionaría este sistema para efectos de poder aclarar y tomar alguna determinación.  De lo contrario estaría, repite, casi sin poder resolver ellos tampoco.</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El Presidente, Magistrado Mora, indica que efectivamente que está planteado es sobre si servidores del Organismo de Investigación Judicial pueden actuar como asesores o consultores técnicos.  Entiende que la Dirección General del Organismo a la conclusión que llega es que no debería de darse esa doble posibilidad.  Pero, tal vez como lo señala el Magistrado Chaves lo conveniente sería pasar el asunto a conocimiento de la Comisión de la Jurisdicción Penal para que en su oportunidad junto con la Comisión de Enlace con el Organismo, informen a la Corte lo que corresponda para que se tome la determinación que corresponda.</w:t>
      </w:r>
    </w:p>
    <w:p w:rsidR="00E10347" w:rsidRPr="00E10347" w:rsidRDefault="00E10347" w:rsidP="00E10347">
      <w:pPr>
        <w:jc w:val="both"/>
        <w:rPr>
          <w:rFonts w:ascii="Palatino Linotype" w:eastAsia="Calibri" w:hAnsi="Palatino Linotype"/>
          <w:sz w:val="21"/>
          <w:szCs w:val="21"/>
          <w:lang w:eastAsia="es-ES_tradnl"/>
        </w:rPr>
      </w:pPr>
      <w:r w:rsidRPr="00E10347">
        <w:rPr>
          <w:rFonts w:ascii="Palatino Linotype" w:eastAsia="Calibri" w:hAnsi="Palatino Linotype"/>
          <w:i/>
          <w:sz w:val="21"/>
          <w:szCs w:val="21"/>
          <w:lang w:eastAsia="es-ES_tradnl"/>
        </w:rPr>
        <w:t xml:space="preserve">Se dispuso: Acoger la propuesta del Magistrado Chaves y trasladar las diligencias a estudio de las Comisiones de la Jurisdicción Penal y a la de Enlace con el Organismo de Investigación </w:t>
      </w:r>
      <w:r w:rsidRPr="00E10347">
        <w:rPr>
          <w:rFonts w:ascii="Palatino Linotype" w:eastAsia="Calibri" w:hAnsi="Palatino Linotype"/>
          <w:i/>
          <w:sz w:val="21"/>
          <w:szCs w:val="21"/>
          <w:lang w:eastAsia="es-ES_tradnl"/>
        </w:rPr>
        <w:lastRenderedPageBreak/>
        <w:t>Judicial.</w:t>
      </w:r>
    </w:p>
    <w:p w:rsidR="00E10347" w:rsidRPr="00E10347" w:rsidRDefault="00E10347" w:rsidP="00E10347">
      <w:pPr>
        <w:jc w:val="both"/>
        <w:rPr>
          <w:rFonts w:ascii="Palatino Linotype" w:eastAsia="Calibri" w:hAnsi="Palatino Linotype"/>
          <w:sz w:val="21"/>
          <w:szCs w:val="21"/>
          <w:lang w:eastAsia="es-ES_tradnl"/>
        </w:rPr>
      </w:pP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 xml:space="preserve">Ante la dificultades que surgieron con la incorporación de esta nueva figura, el Consejo Superior en acta N° 29-01, de las 8:00 horas del 17 de abril del 2001, en el artículo XXXIII,  acordaron que con el cambio de la legislación procesal penal, existían algunos aspectos que requerían atención especial, como que el personal de los departamentos de  Ciencias Forenses y Medicina legal requerían capacitación en Derecho Procesal Penal, específicamente a los principios generales que lo informan y aspectos de índole probatoria,  abordar en forma inmediata la regulación del perito y el consultor técnico en la nueva legislación, la posibilidad de reproducción de los actos de prueba, etc..  </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Con esta capacitación, se pretendería transmitir conocimientos que no permitan interpretaciones personales y prácticas alejadas de la realidad normativa.  Frente a esta necesidad y como respuesta a ella, la Unidad de Capacitación del Ministerio Público, pretende ofrecer un curso mediante el cual se les suministraría una visión integral y sinóptica del nuevo proceso, haciendo énfasis en los principios y temas directamente vinculados con su labor, para facilitar la tarea del fiscal en la etapa preparatoria.</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También se evidenció la necesidad de que los fiscales del Ministerio Público recibieran capacitación en temas como: medicina legal, traumatología forense, valoración médico legal, investigación de la escena de la muerte, muerte no violenta, contenido de los dictámenes, elementos que debe contener la solicitud de los mismos, etc.  Los profesionales de los Departamentos de Ciencias Forenses y Medicina Legal ofrecen dar la capacitación a los fiscales con el fin de optimizar el servicio y mejorar la comunicación entre fiscales y funcionarios del Complejo de Ciencias Forenses y Medicina legal.</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Sin embargo, en aquél momento se dejó por fuera la capacitación para la Defensa Pública, que también tenía que enfrentarse a los cambios de legislación procesal penal que se habían dado.</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 xml:space="preserve">Para el año 2004, se nota un cambio en cuanto al nombramiento de consultores técnicos en el proceso penal, ya que ante la solicitud de un Juez de que se le designe un Consultor Técnico en la especialidad de Psiquiatría, con el propósito de que colaborara con las partes el día del contradictorio, el Consejo Superior, antes de tomar un acuerdo sobre el nombramiento del Consultor Técnico, le solicitó al juez que indicara las razones por las cuales debía contratarse un perito para brindar </w:t>
      </w:r>
      <w:r w:rsidRPr="00E10347">
        <w:rPr>
          <w:rFonts w:ascii="Palatino Linotype" w:eastAsia="Calibri" w:hAnsi="Palatino Linotype"/>
          <w:sz w:val="21"/>
          <w:szCs w:val="21"/>
          <w:lang w:eastAsia="es-ES_tradnl"/>
        </w:rPr>
        <w:lastRenderedPageBreak/>
        <w:t>ese servicio, si contaba con un especialista en ese campo en la Sección de Psiquiatría. Acta del Consejo Superior del Poder Judicial N° 54-04, de las 8:00 horas del 23 de julio del 2003. Artículo LXVI.</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 xml:space="preserve">En sesión ordinaria de la Corte Plena  N° 31-2004, celebrada a las 13:30 del 6 de setiembre del 2004, en el artículo XXII, se conoció </w:t>
      </w:r>
      <w:r w:rsidRPr="00E10347">
        <w:rPr>
          <w:rFonts w:ascii="Palatino Linotype" w:eastAsia="Calibri" w:hAnsi="Palatino Linotype"/>
          <w:color w:val="000000"/>
          <w:sz w:val="21"/>
          <w:szCs w:val="21"/>
          <w:lang w:eastAsia="es-ES_tradnl"/>
        </w:rPr>
        <w:t>la conclusión del criterio de la Comisión de Asuntos Penales, oficio N° CAP002-04, del 8 de julio del 2004</w:t>
      </w:r>
      <w:r w:rsidRPr="00E10347">
        <w:rPr>
          <w:rFonts w:ascii="Palatino Linotype" w:eastAsia="Calibri" w:hAnsi="Palatino Linotype"/>
          <w:sz w:val="21"/>
          <w:szCs w:val="21"/>
          <w:lang w:eastAsia="es-ES_tradnl"/>
        </w:rPr>
        <w:t>, en relación con la designación de funcionarios para que colaboren con la Defensa Pública en calidad de “asesores” o “consultores técnicos” y las Comisiones de la Jurisdicción Penal y la de Enlace con el Organismo de Investigación Judicial:</w:t>
      </w:r>
    </w:p>
    <w:p w:rsidR="00E10347" w:rsidRPr="00E10347" w:rsidRDefault="00E10347" w:rsidP="00E10347">
      <w:pPr>
        <w:jc w:val="both"/>
        <w:rPr>
          <w:rFonts w:ascii="Palatino Linotype" w:eastAsia="Calibri" w:hAnsi="Palatino Linotype"/>
          <w:i/>
          <w:color w:val="000000"/>
          <w:sz w:val="21"/>
          <w:szCs w:val="21"/>
          <w:lang w:eastAsia="es-ES_tradnl"/>
        </w:rPr>
      </w:pPr>
      <w:r w:rsidRPr="00E10347">
        <w:rPr>
          <w:rFonts w:ascii="Palatino Linotype" w:eastAsia="Calibri" w:hAnsi="Palatino Linotype"/>
          <w:i/>
          <w:color w:val="000000"/>
          <w:sz w:val="21"/>
          <w:szCs w:val="21"/>
          <w:lang w:eastAsia="es-ES_tradnl"/>
        </w:rPr>
        <w:t>“V. NATURALEZA DE LA ASESORIA QUE EL PODER JUDICIAL PUEDE BRINDAR A LAS PARTES DESDE EL PUNTO DE VISTA PRESUPUESTARIO.</w:t>
      </w:r>
    </w:p>
    <w:p w:rsidR="00E10347" w:rsidRPr="00E10347" w:rsidRDefault="00E10347" w:rsidP="00E10347">
      <w:pPr>
        <w:jc w:val="both"/>
        <w:rPr>
          <w:rFonts w:ascii="Palatino Linotype" w:eastAsia="Calibri" w:hAnsi="Palatino Linotype"/>
          <w:i/>
          <w:color w:val="000000"/>
          <w:sz w:val="21"/>
          <w:szCs w:val="21"/>
          <w:lang w:eastAsia="es-ES_tradnl"/>
        </w:rPr>
      </w:pPr>
      <w:r w:rsidRPr="00E10347">
        <w:rPr>
          <w:rFonts w:ascii="Palatino Linotype" w:eastAsia="Calibri" w:hAnsi="Palatino Linotype"/>
          <w:i/>
          <w:color w:val="000000"/>
          <w:sz w:val="21"/>
          <w:szCs w:val="21"/>
          <w:lang w:eastAsia="es-ES_tradnl"/>
        </w:rPr>
        <w:t xml:space="preserve">En cuanto a la naturaleza de la asesoría que puede brindar el consultor técnico a cargo del estado, hay razones de tipo económico y presupuestario que no pueden ser obviadas.  Dadas las características económicas y de desarrollo de nuestro país, es imposible brindar en forma gratuita a las partes consultores técnicos que las acompañen en las audiencias orales o en la ejecución de los peritajes ordenados por el juez.  </w:t>
      </w:r>
      <w:r w:rsidRPr="00E10347">
        <w:rPr>
          <w:rFonts w:ascii="Palatino Linotype" w:eastAsia="Calibri" w:hAnsi="Palatino Linotype"/>
          <w:i/>
          <w:color w:val="000000"/>
          <w:sz w:val="21"/>
          <w:szCs w:val="21"/>
          <w:u w:val="single"/>
          <w:lang w:eastAsia="es-ES_tradnl"/>
        </w:rPr>
        <w:t>Pensando en un punto de equilibrio entre las funciones encomendadas al Poder Judicial sin el respectivo contenido presupuestario y las posibilidades reales de la institución de ofrecerlas gratuitamente, lo conveniente es que el Organismo de Investigación Judicial ceda a sus funcionarios para que, con anterioridad al juicio oral, evacuen las dudas que tengan respecto de los peritajes oficiales.  Esta asesoría es la única que se puede ofrecer dadas las condiciones económicas del Poder Judicial.  En casos muy calificados, a juicio de  el Departamento de Medicina Legal así como el Departamento de Laboratorio de Ciencias Forenses u otras dependencias análogas del Organismo de Investigación Judicial, se podrá asignar consultores técnicos que acompañen a las partes a los señalamientos hechos por las autoridades judiciales o a la ejecución de determinados peritajes</w:t>
      </w:r>
      <w:r w:rsidRPr="00E10347">
        <w:rPr>
          <w:rFonts w:ascii="Palatino Linotype" w:eastAsia="Calibri" w:hAnsi="Palatino Linotype"/>
          <w:i/>
          <w:color w:val="000000"/>
          <w:sz w:val="21"/>
          <w:szCs w:val="21"/>
          <w:lang w:eastAsia="es-ES_tradnl"/>
        </w:rPr>
        <w:t xml:space="preserve">. Esta recomendación debe permanecer, a juicio de esta comisión, mientras no se asignen a la institución recursos adicionales tendientes a ampliar el ámbito del servicio que aquí se recomienda. Todo lo anterior está referido a la participación de los consultores técnicos cuando deban ser cubiertos por el Poder Judicial, y sin perjuicio de la facultad que tiene la parte interesada de costear dicha asesoría en los casos en que sea procedente, para que intervenga el tiempo indispensable en juicio o en otras diligencias bajo su costo.  </w:t>
      </w:r>
    </w:p>
    <w:p w:rsidR="00E10347" w:rsidRPr="00E10347" w:rsidRDefault="00E10347" w:rsidP="00E10347">
      <w:pPr>
        <w:jc w:val="both"/>
        <w:rPr>
          <w:rFonts w:ascii="Palatino Linotype" w:eastAsia="Calibri" w:hAnsi="Palatino Linotype"/>
          <w:i/>
          <w:color w:val="000000"/>
          <w:sz w:val="21"/>
          <w:szCs w:val="21"/>
          <w:lang w:eastAsia="es-ES_tradnl"/>
        </w:rPr>
      </w:pPr>
      <w:r w:rsidRPr="00E10347">
        <w:rPr>
          <w:rFonts w:ascii="Palatino Linotype" w:eastAsia="Calibri" w:hAnsi="Palatino Linotype"/>
          <w:i/>
          <w:color w:val="000000"/>
          <w:sz w:val="21"/>
          <w:szCs w:val="21"/>
          <w:lang w:eastAsia="es-ES_tradnl"/>
        </w:rPr>
        <w:t>Excepto en los casos en que la parte lleve consultores por su cuenta, caso en el que podrán asistir el tiempo indispensable en juicio.”</w:t>
      </w:r>
    </w:p>
    <w:p w:rsidR="00E10347" w:rsidRPr="00E10347" w:rsidRDefault="00E10347" w:rsidP="00E10347">
      <w:pPr>
        <w:jc w:val="both"/>
        <w:rPr>
          <w:rFonts w:ascii="Palatino Linotype" w:eastAsia="Calibri" w:hAnsi="Palatino Linotype"/>
          <w:sz w:val="21"/>
          <w:szCs w:val="21"/>
          <w:lang w:eastAsia="es-ES_tradnl"/>
        </w:rPr>
      </w:pP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 xml:space="preserve">El Licenciado Jorge Rojas Vargas, Director para ese entonces del Organismo </w:t>
      </w:r>
      <w:r w:rsidRPr="00E10347">
        <w:rPr>
          <w:rFonts w:ascii="Palatino Linotype" w:eastAsia="Calibri" w:hAnsi="Palatino Linotype"/>
          <w:sz w:val="21"/>
          <w:szCs w:val="21"/>
          <w:lang w:eastAsia="es-ES_tradnl"/>
        </w:rPr>
        <w:lastRenderedPageBreak/>
        <w:t xml:space="preserve">de Investigación Judicial, manifestó que revisado el documento emitido por  la Comisión de Asuntos Penales, en relación con la designación de funcionarios para que colaboren con la Defensa Pública en calidad de “asesores” o “consultores técnicos”, a su entender hay una marcada diferencia entre la función del “perito” y el “consultor técnico”. El perito es independiente, imparcial, objetivo y perita para el proceso, mientras que el consultor técnico es un asesor del defensor, quien vela por los intereses del imputado y se estima incluso como perito de parte. </w:t>
      </w:r>
    </w:p>
    <w:p w:rsidR="00E10347" w:rsidRPr="00E10347" w:rsidRDefault="00E10347" w:rsidP="00E10347">
      <w:pPr>
        <w:ind w:firstLine="708"/>
        <w:jc w:val="both"/>
        <w:rPr>
          <w:rFonts w:ascii="Palatino Linotype" w:eastAsia="Calibri" w:hAnsi="Palatino Linotype"/>
          <w:color w:val="000000"/>
          <w:sz w:val="21"/>
          <w:szCs w:val="21"/>
          <w:lang w:eastAsia="es-ES_tradnl"/>
        </w:rPr>
      </w:pPr>
      <w:r w:rsidRPr="00E10347">
        <w:rPr>
          <w:rFonts w:ascii="Palatino Linotype" w:eastAsia="Calibri" w:hAnsi="Palatino Linotype"/>
          <w:color w:val="000000"/>
          <w:sz w:val="21"/>
          <w:szCs w:val="21"/>
          <w:lang w:eastAsia="es-ES_tradnl"/>
        </w:rPr>
        <w:t xml:space="preserve">Que ante esta posición estima inconveniente que los peritos oficiales puedan fungir como consultores técnicos, pues sus posiciones se contraponen. </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 xml:space="preserve">Que si el Poder Judicial pretende dar ese servicio de “consultores técnicos”, debe buscar recursos para hacerlo independientemente de los peritos con que cuenta el Organismo de Investigación Judicial, dado que por el principio de transparencia y objetividad, podría cuestionarse que el Poder Judicial ponga a disposición del abogado defensor,  como “consultores técnicos o asesores” de la defensa, a quienes pertenecen a las mismas oficinas que han realizado la experticia. </w:t>
      </w:r>
    </w:p>
    <w:p w:rsidR="00E10347" w:rsidRPr="00E10347" w:rsidRDefault="00E10347" w:rsidP="00E10347">
      <w:pPr>
        <w:jc w:val="both"/>
        <w:rPr>
          <w:rFonts w:ascii="Palatino Linotype" w:eastAsia="Calibri" w:hAnsi="Palatino Linotype"/>
          <w:sz w:val="21"/>
          <w:szCs w:val="21"/>
          <w:lang w:eastAsia="es-ES_tradnl"/>
        </w:rPr>
      </w:pPr>
    </w:p>
    <w:p w:rsidR="00E10347" w:rsidRPr="00E10347" w:rsidRDefault="00E10347" w:rsidP="00E83320">
      <w:pPr>
        <w:pStyle w:val="Textoindependiente3"/>
        <w:numPr>
          <w:ilvl w:val="0"/>
          <w:numId w:val="11"/>
        </w:numPr>
        <w:spacing w:line="240" w:lineRule="auto"/>
        <w:ind w:left="720" w:hanging="360"/>
        <w:rPr>
          <w:rFonts w:ascii="Palatino Linotype" w:hAnsi="Palatino Linotype" w:cs="Arial"/>
          <w:b/>
          <w:sz w:val="21"/>
          <w:szCs w:val="21"/>
          <w:u w:val="single"/>
        </w:rPr>
      </w:pPr>
      <w:r w:rsidRPr="00E10347">
        <w:rPr>
          <w:rFonts w:ascii="Palatino Linotype" w:hAnsi="Palatino Linotype" w:cs="Arial"/>
          <w:b/>
          <w:sz w:val="21"/>
          <w:szCs w:val="21"/>
          <w:u w:val="single"/>
        </w:rPr>
        <w:t>Concepto y Requisitos:</w:t>
      </w:r>
    </w:p>
    <w:p w:rsidR="00E10347" w:rsidRPr="00E10347" w:rsidRDefault="00E10347" w:rsidP="00E10347">
      <w:pPr>
        <w:ind w:firstLine="360"/>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El consultor técnico es en principio un asesor de la parte sobre puntos técnicos, puede resultar su asesoramiento un elemento de juicio que se invoque en la sentencia, y hasta constituir base exclusiva de ella.</w:t>
      </w:r>
    </w:p>
    <w:p w:rsidR="00E10347" w:rsidRPr="00E10347" w:rsidRDefault="00E10347" w:rsidP="00E10347">
      <w:pPr>
        <w:ind w:firstLine="360"/>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El consultor técnico no es un perito externo, sino que más bien realiza una labor de asesoría sobre cierto tipo de materia que implica necesariamente un conocimiento especializado, sobre todo cuando el delito se ha cometido en el ejercicio de alguna profesión ajena a la abogacía.</w:t>
      </w:r>
    </w:p>
    <w:p w:rsidR="00E10347" w:rsidRPr="00E10347" w:rsidRDefault="00E10347" w:rsidP="00E10347">
      <w:pPr>
        <w:ind w:firstLine="360"/>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Aunque inicialmente sea un auxiliar de parte, su inmersión en el proceso y las facultades que se le reconocen, le asigna la condición de auxiliar de la justicia.</w:t>
      </w:r>
    </w:p>
    <w:p w:rsidR="00E10347" w:rsidRPr="00E10347" w:rsidRDefault="00E10347" w:rsidP="00E10347">
      <w:pPr>
        <w:ind w:firstLine="360"/>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En algunas legislaciones, como la italiana, la brasileña, la del vaticano, la colombiana, se autoriza a la parte designar un consulto técnico para que la asesore en el estudio de los dictámenes de peritos e informes técnicos que se produzcan en el proceso.</w:t>
      </w:r>
    </w:p>
    <w:p w:rsidR="00E10347" w:rsidRPr="00E10347" w:rsidRDefault="00E10347" w:rsidP="00E10347">
      <w:pPr>
        <w:ind w:firstLine="360"/>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Se trata de un auxiliar de dicha parte, que no está obligado a emitir su opinión cuando resulte desfavorable a ella y que por ningún aspecto puede equipararse al perito.En nuestro Código Procesal Penal, se encuentra regulado en el Título VII, auxiliares de las partes, artículo 126:</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“ARTÍCULO 126.- Consultores técnicos</w:t>
      </w:r>
    </w:p>
    <w:p w:rsidR="00E10347" w:rsidRPr="00E10347" w:rsidRDefault="00E10347" w:rsidP="00E10347">
      <w:pPr>
        <w:ind w:firstLine="708"/>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lastRenderedPageBreak/>
        <w:t>Si, por las particularidades del caso, el Ministerio Público o alguno de los intervinientes consideran necesaria la asistencia de un consultor en una ciencia, arte o técnica, lo propondrán al Ministerio Público o al tribunal, el cual decidirá sobre su designación, según las reglas aplicables a los peritos, sin que por ello asuman tal carácter.</w:t>
      </w:r>
    </w:p>
    <w:p w:rsidR="00E10347" w:rsidRPr="00E10347" w:rsidRDefault="00E10347" w:rsidP="00E10347">
      <w:pPr>
        <w:ind w:firstLine="708"/>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El consultor técnico podrá presenciar las operaciones periciales, acotar observaciones durante su transcurso, sin emitir dictamen, y se dejará constancia de sus observaciones.</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ab/>
        <w:t>Podrán acompañar, en las audiencias, a la parte con quien colaboran, auxiliarla en los actos propios de su función o interrogar, directamente, a peritos, traductores o intérpretes, siempre bajo la dirección de la parte a la que asisten.”</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 xml:space="preserve">Nuestra actual legislación procesal penal, se refiere a los consultores técnicos en los artículos  55, 108, 126, 217 y 218.  </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En el artículo 126 se establece que la designación de los consultores técnicos se debe hacer “</w:t>
      </w:r>
      <w:r w:rsidRPr="00E10347">
        <w:rPr>
          <w:rFonts w:ascii="Palatino Linotype" w:eastAsia="Calibri" w:hAnsi="Palatino Linotype"/>
          <w:i/>
          <w:sz w:val="21"/>
          <w:szCs w:val="21"/>
          <w:lang w:eastAsia="es-ES_tradnl"/>
        </w:rPr>
        <w:t>según las reglas aplicables a los peritos</w:t>
      </w:r>
      <w:r w:rsidRPr="00E10347">
        <w:rPr>
          <w:rFonts w:ascii="Palatino Linotype" w:eastAsia="Calibri" w:hAnsi="Palatino Linotype"/>
          <w:sz w:val="21"/>
          <w:szCs w:val="21"/>
          <w:lang w:eastAsia="es-ES_tradnl"/>
        </w:rPr>
        <w:t xml:space="preserve">”, lo cual nos remite necesariamente a los artículos 213 al 224 del Código Procesal Penal. </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 xml:space="preserve">En ellas se establece la potestad del Ministerio Público o del Juez, según sea el caso, de escoger a los peritos –y por lo tanto a los consultores técnicos- atendiendo las sugerencias de los intervinientes, los cuales deberán tener título habilitante en la materia sobre el cual dictaminarán siempre y cuando el arte o la técnica estén reglamentados.  </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 xml:space="preserve">Se  contempla la posibilidad de nombrar “peritos de parte” además de los consultores técnicos: </w:t>
      </w:r>
    </w:p>
    <w:p w:rsidR="00E10347" w:rsidRPr="00E10347" w:rsidRDefault="00E10347" w:rsidP="00E10347">
      <w:pPr>
        <w:jc w:val="both"/>
        <w:rPr>
          <w:rFonts w:ascii="Palatino Linotype" w:eastAsia="Calibri" w:hAnsi="Palatino Linotype"/>
          <w:sz w:val="21"/>
          <w:szCs w:val="21"/>
          <w:lang w:eastAsia="es-ES_tradnl"/>
        </w:rPr>
      </w:pPr>
      <w:r w:rsidRPr="00E10347">
        <w:rPr>
          <w:rFonts w:ascii="Palatino Linotype" w:eastAsia="Calibri" w:hAnsi="Palatino Linotype"/>
          <w:i/>
          <w:sz w:val="21"/>
          <w:szCs w:val="21"/>
          <w:lang w:eastAsia="es-ES_tradnl"/>
        </w:rPr>
        <w:t>“Dentro del plazo que establezca la autoridad que ordenó el peritaje, cualquiera de las partes podrá proponer por su cuenta a otro perito para reemplazar al ya designado o para dictaminar conjuntamente con él, cuando en las circunstancias del caso resulte conveniente su participación por su experiencia o idoneidad especial</w:t>
      </w:r>
      <w:r w:rsidRPr="00E10347">
        <w:rPr>
          <w:rFonts w:ascii="Palatino Linotype" w:eastAsia="Calibri" w:hAnsi="Palatino Linotype"/>
          <w:sz w:val="21"/>
          <w:szCs w:val="21"/>
          <w:lang w:eastAsia="es-ES_tradnl"/>
        </w:rPr>
        <w:t xml:space="preserve">”. </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 xml:space="preserve">Los consultores técnicos pueden asistir a los peritajes, incluso a aquellos realizados por los peritos de parte descritos en el artículo 216, y pueden además hacer observaciones que deben ser tomadas en cuenta por los peritos. </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 xml:space="preserve">El consultor técnico debe guardar reserva de cuanto conozca con motivo de su actuación. </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 xml:space="preserve">Todo lo anterior debe complementarse con la Ley Orgánica del Organismo de Investigación Judicial, que encarga a esta dependencia la realización de peritaciones. </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 xml:space="preserve">El Dr. Castillo indica que se ha escrito que el juez debe creer al perito de parte en los límites en que cree al abogado de ésta y que la función de este perito de </w:t>
      </w:r>
      <w:r w:rsidRPr="00E10347">
        <w:rPr>
          <w:rFonts w:ascii="Palatino Linotype" w:eastAsia="Calibri" w:hAnsi="Palatino Linotype"/>
          <w:sz w:val="21"/>
          <w:szCs w:val="21"/>
          <w:lang w:eastAsia="es-ES_tradnl"/>
        </w:rPr>
        <w:lastRenderedPageBreak/>
        <w:t xml:space="preserve">parte consiste en aportar observaciones críticas sobre la pericia oficial, por medio de las cuales pueda dar al juez ulteriores elementos lógicos para la formación de su convencimiento. </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Una de las principales dudas generadas en la práctica, es el procedimiento a seguir para la designación de un consultor técnico.</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Como vimos anteriormente, el consultor técnico es un auxiliar de las partes, y éstas deberán proponerlo “</w:t>
      </w:r>
      <w:r w:rsidRPr="00E10347">
        <w:rPr>
          <w:rFonts w:ascii="Palatino Linotype" w:eastAsia="Calibri" w:hAnsi="Palatino Linotype"/>
          <w:i/>
          <w:sz w:val="21"/>
          <w:szCs w:val="21"/>
          <w:lang w:eastAsia="es-ES_tradnl"/>
        </w:rPr>
        <w:t>al Ministerio Público o al tribunal, el cual decidirá sobre su designación, según las reglas aplicables a los peritos, sin que por ello asuman tal carácter”</w:t>
      </w:r>
      <w:r w:rsidRPr="00E10347">
        <w:rPr>
          <w:rFonts w:ascii="Palatino Linotype" w:eastAsia="Calibri" w:hAnsi="Palatino Linotype"/>
          <w:sz w:val="21"/>
          <w:szCs w:val="21"/>
          <w:lang w:eastAsia="es-ES_tradnl"/>
        </w:rPr>
        <w:t>, según lo establece el artículo 126 antes citado.</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Si partimos que para su designación se emplearan las reglas aplicables a los peritos, en principio deberían de reunir los mismos requisitos:</w:t>
      </w:r>
    </w:p>
    <w:p w:rsidR="00E10347" w:rsidRPr="00E10347" w:rsidRDefault="00E10347" w:rsidP="00E83320">
      <w:pPr>
        <w:pStyle w:val="Prrafodelista"/>
        <w:widowControl/>
        <w:numPr>
          <w:ilvl w:val="0"/>
          <w:numId w:val="43"/>
        </w:numPr>
        <w:autoSpaceDE/>
        <w:autoSpaceDN/>
        <w:adjustRightInd/>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Dos fotografía tamaño pasaporte.</w:t>
      </w:r>
    </w:p>
    <w:p w:rsidR="00E10347" w:rsidRPr="00E10347" w:rsidRDefault="00E10347" w:rsidP="00E83320">
      <w:pPr>
        <w:pStyle w:val="Prrafodelista"/>
        <w:widowControl/>
        <w:numPr>
          <w:ilvl w:val="0"/>
          <w:numId w:val="43"/>
        </w:numPr>
        <w:autoSpaceDE/>
        <w:autoSpaceDN/>
        <w:adjustRightInd/>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Currículo vitae.</w:t>
      </w:r>
    </w:p>
    <w:p w:rsidR="00E10347" w:rsidRPr="00E10347" w:rsidRDefault="00E10347" w:rsidP="00E83320">
      <w:pPr>
        <w:pStyle w:val="Prrafodelista"/>
        <w:widowControl/>
        <w:numPr>
          <w:ilvl w:val="0"/>
          <w:numId w:val="43"/>
        </w:numPr>
        <w:autoSpaceDE/>
        <w:autoSpaceDN/>
        <w:adjustRightInd/>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Fotocopia de la cédula de identidad.</w:t>
      </w:r>
    </w:p>
    <w:p w:rsidR="00E10347" w:rsidRPr="00E10347" w:rsidRDefault="00E10347" w:rsidP="00E83320">
      <w:pPr>
        <w:pStyle w:val="Prrafodelista"/>
        <w:widowControl/>
        <w:numPr>
          <w:ilvl w:val="0"/>
          <w:numId w:val="43"/>
        </w:numPr>
        <w:autoSpaceDE/>
        <w:autoSpaceDN/>
        <w:adjustRightInd/>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Fotocopia del título de profesional, o en su caso de los títulos profesionales que lo avalen para desempeñar el cargo (deberán mostrar los títulos originales para efectos de confrontación.</w:t>
      </w:r>
    </w:p>
    <w:p w:rsidR="00E10347" w:rsidRPr="00E10347" w:rsidRDefault="00E10347" w:rsidP="00E83320">
      <w:pPr>
        <w:pStyle w:val="Prrafodelista"/>
        <w:widowControl/>
        <w:numPr>
          <w:ilvl w:val="0"/>
          <w:numId w:val="43"/>
        </w:numPr>
        <w:autoSpaceDE/>
        <w:autoSpaceDN/>
        <w:adjustRightInd/>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Certificación expedida por el Colegio Profesional respectivo, en la que específicamente se indicará que el interesado se encuentran al día en el pago de las debidas cuotas, y además que no existe ningún impedimento para que preste como perito.</w:t>
      </w:r>
    </w:p>
    <w:p w:rsidR="00E10347" w:rsidRPr="00E10347" w:rsidRDefault="00E10347" w:rsidP="00E83320">
      <w:pPr>
        <w:pStyle w:val="Prrafodelista"/>
        <w:widowControl/>
        <w:numPr>
          <w:ilvl w:val="0"/>
          <w:numId w:val="43"/>
        </w:numPr>
        <w:autoSpaceDE/>
        <w:autoSpaceDN/>
        <w:adjustRightInd/>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Nota dirigida a la Dirección Ejecutiva del Poder Judicial, en la que se indique la zona del país y la materia en las cuales desea prestar servicios de Auxiliar Perito (salvo excepciones muy calificadas, no es posible inscribirse para todo el país).</w:t>
      </w:r>
    </w:p>
    <w:p w:rsidR="00E10347" w:rsidRPr="00E10347" w:rsidRDefault="00E10347" w:rsidP="00E83320">
      <w:pPr>
        <w:pStyle w:val="Prrafodelista"/>
        <w:widowControl/>
        <w:numPr>
          <w:ilvl w:val="0"/>
          <w:numId w:val="43"/>
        </w:numPr>
        <w:autoSpaceDE/>
        <w:autoSpaceDN/>
        <w:adjustRightInd/>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Declaración jurada en la que el interesado exprese que no trabaja para ninguna institución del Estado (no es necesario que sea autenticada por una Abogado).</w:t>
      </w:r>
    </w:p>
    <w:p w:rsidR="00E10347" w:rsidRPr="00E10347" w:rsidRDefault="00E10347" w:rsidP="00E83320">
      <w:pPr>
        <w:pStyle w:val="Prrafodelista"/>
        <w:widowControl/>
        <w:numPr>
          <w:ilvl w:val="0"/>
          <w:numId w:val="43"/>
        </w:numPr>
        <w:autoSpaceDE/>
        <w:autoSpaceDN/>
        <w:adjustRightInd/>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Indicar números de teléfono, fax o dirección electrónica en los que pueda ser localizado.</w:t>
      </w:r>
    </w:p>
    <w:p w:rsidR="00E10347" w:rsidRPr="00E10347" w:rsidRDefault="00E10347" w:rsidP="00E10347">
      <w:pPr>
        <w:ind w:firstLine="360"/>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Sin embargo, en la práctica no es así. Si el consultor técnico es ofrecido por alguna de las partes que no sea ni el Ministerio Público ni la Defensa, simplemente se presenta la solicitud ante el Ministerio Público o ante el Juez, y ellos decidirán si se acepta o no. Solo en casos muy excepcionales se le solicita a la parte que presente los atestados profesionales del consultor propuesto.</w:t>
      </w:r>
    </w:p>
    <w:p w:rsidR="00E10347" w:rsidRPr="00E10347" w:rsidRDefault="00E10347" w:rsidP="00E10347">
      <w:pPr>
        <w:ind w:firstLine="360"/>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lastRenderedPageBreak/>
        <w:t>Si el consultor técnico es propuesto por el Ministerio Público o la Defensa, el procedimiento es distinto, primero es necesario presentar la solicitud ante el juez, éste debe analizar si la intervención del consultor técnico es absolutamente necesaria, luego una vez aceptado, debe dirigirse una nota al Consejo Superior de la Corte, explicando su necesidad y las razones por las cuáles no se puede utilizar uno de los peritos del Complejo Forense, y cuáles son sus honorarios, así el Consejo Superior decidirá si procede o no su participación en el proceso penal, verificara que haya presupuesto para los honorarios del mismo, y en caso afirmativo, enviara una nota del nombramiento a la Dirección Ejecutiva, para que el consultor técnico una vez concluida la función se le giren sus honorarios.</w:t>
      </w:r>
    </w:p>
    <w:p w:rsidR="00E10347" w:rsidRPr="00E10347" w:rsidRDefault="00E10347" w:rsidP="00E10347">
      <w:pPr>
        <w:ind w:firstLine="360"/>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En Costa Rica no tenemos una “</w:t>
      </w:r>
      <w:r w:rsidRPr="00E10347">
        <w:rPr>
          <w:rFonts w:ascii="Palatino Linotype" w:eastAsia="Calibri" w:hAnsi="Palatino Linotype"/>
          <w:i/>
          <w:sz w:val="21"/>
          <w:szCs w:val="21"/>
          <w:lang w:eastAsia="es-ES_tradnl"/>
        </w:rPr>
        <w:t>lista oficial de consultores técnicos</w:t>
      </w:r>
      <w:r w:rsidRPr="00E10347">
        <w:rPr>
          <w:rFonts w:ascii="Palatino Linotype" w:eastAsia="Calibri" w:hAnsi="Palatino Linotype"/>
          <w:sz w:val="21"/>
          <w:szCs w:val="21"/>
          <w:lang w:eastAsia="es-ES_tradnl"/>
        </w:rPr>
        <w:t xml:space="preserve">”, por lo que las partes deberán buscar el profesional que se adecue a las necesidades y exigencias del proceso. </w:t>
      </w:r>
    </w:p>
    <w:p w:rsidR="00E10347" w:rsidRPr="00E10347" w:rsidRDefault="00E10347" w:rsidP="00E10347">
      <w:pPr>
        <w:ind w:firstLine="360"/>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 xml:space="preserve">El nombramiento de consultores técnicos en el proceso penal, ha presentado varios problemas y disconformidades; en la Comisión de Enlace Corte-O.I.J., conocieron la problemática que se presentaba con las solicitudes de la Defensa Pública para designar a miembros del área técnico-científica del O.I.J., como “asesores” o “consultores técnicos”, de acuerdo con lo que establece el artículo 126 del Código de Procesal Penal. </w:t>
      </w:r>
    </w:p>
    <w:p w:rsidR="00E10347" w:rsidRPr="00E10347" w:rsidRDefault="00E10347" w:rsidP="00E10347">
      <w:pPr>
        <w:ind w:firstLine="360"/>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 xml:space="preserve">El planteamiento que se hizo fue con relación a algunas situaciones (si se quieren un tanto conflictivas para la propia administración del Organismo de Investigación Judicial) en el sentido de que por un lado, cualquiera de los funcionarios de esa área, dictaminaba con respecto a alguna situación que le solicitaba un Tribunal en calidad de perito y la Defensa solicitaba que se asignara a otro funcionario para que lo asesorara o para hacerles consultas en relación precisamente con el mismo tema. Entonces, en la práctica lo que ha ocurrido en algunas situaciones, es un conflicto entre dos peritos que forman parte de determinada sección o en algunos casos inclusive, lo que es peor, entre un subalterno y un jefe. </w:t>
      </w:r>
    </w:p>
    <w:p w:rsidR="00E10347" w:rsidRPr="00E10347" w:rsidRDefault="00E10347" w:rsidP="00E10347">
      <w:pPr>
        <w:ind w:firstLine="360"/>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En el Boletín Judicial N° 225 de 17 de noviembre del 2004, se publicó la Lista Oficial de Auxiliares Peritos, al servicio de las autoridades judiciales, la cual fue ampliada posteriormente por la Circular 07-2005, del 17 de febrero del 2005, emitida por la Dirección Ejecutiva, Sección de Asesoría Legal del Poder Judicial. Que es la que se utiliza en algunos casos para el nombramiento de consultores técnicos.</w:t>
      </w:r>
    </w:p>
    <w:p w:rsidR="00E10347" w:rsidRPr="00E10347" w:rsidRDefault="00E10347" w:rsidP="00E10347">
      <w:pPr>
        <w:jc w:val="both"/>
        <w:rPr>
          <w:rFonts w:ascii="Palatino Linotype" w:eastAsia="Calibri" w:hAnsi="Palatino Linotype"/>
          <w:sz w:val="21"/>
          <w:szCs w:val="21"/>
          <w:lang w:eastAsia="es-ES_tradnl"/>
        </w:rPr>
      </w:pPr>
    </w:p>
    <w:p w:rsidR="00E10347" w:rsidRPr="00E10347" w:rsidRDefault="00E10347" w:rsidP="00E83320">
      <w:pPr>
        <w:pStyle w:val="Textoindependiente3"/>
        <w:numPr>
          <w:ilvl w:val="0"/>
          <w:numId w:val="11"/>
        </w:numPr>
        <w:spacing w:line="240" w:lineRule="auto"/>
        <w:ind w:left="720" w:hanging="360"/>
        <w:rPr>
          <w:rFonts w:ascii="Palatino Linotype" w:hAnsi="Palatino Linotype" w:cs="Arial"/>
          <w:b/>
          <w:sz w:val="21"/>
          <w:szCs w:val="21"/>
          <w:u w:val="single"/>
        </w:rPr>
      </w:pPr>
      <w:r w:rsidRPr="00E10347">
        <w:rPr>
          <w:rFonts w:ascii="Palatino Linotype" w:hAnsi="Palatino Linotype" w:cs="Arial"/>
          <w:b/>
          <w:sz w:val="21"/>
          <w:szCs w:val="21"/>
          <w:u w:val="single"/>
        </w:rPr>
        <w:t>Funciones del Consultor Técnico:</w:t>
      </w:r>
    </w:p>
    <w:p w:rsidR="00E10347" w:rsidRPr="00E10347" w:rsidRDefault="00E10347" w:rsidP="00E10347">
      <w:pPr>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lastRenderedPageBreak/>
        <w:t xml:space="preserve">Como lo señala el artículo 126 del Código Procesal Penal: </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“...El consultor técnico podrá presenciar las operaciones periciales, acotar observaciones durante su transcurso, sin emitir dictamen, y se dejará constancia de sus observaci</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Podrán acompañar, en las audiencias, a la parte con quien colaboran, auxiliarla en los actos propios de su función o interrogar, directamente, a peritos, traductores o intérpretes, siempre bajo la dirección de la parte a la que asisten.”</w:t>
      </w:r>
    </w:p>
    <w:p w:rsidR="00E10347" w:rsidRPr="00E10347" w:rsidRDefault="00E10347" w:rsidP="00E10347">
      <w:pPr>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ab/>
        <w:t xml:space="preserve">La Sala Tercera, en resolución número 22 de las 9:15 horas del 28 de enero del 2005, indicó que es improcedente que el consultor técnico declare en debate e interrogue a testigos: </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 xml:space="preserve">"I. [...] Por otra parte, el impugnante indica en el recurso que el consultor técnico era indispensable para que interrogara a la agraviada, olvidando que de conformidad con el numeral 126 del Código de rito, el consultor solo puede </w:t>
      </w:r>
      <w:r w:rsidRPr="00E10347">
        <w:rPr>
          <w:rFonts w:ascii="Palatino Linotype" w:eastAsia="Calibri" w:hAnsi="Palatino Linotype"/>
          <w:i/>
          <w:sz w:val="21"/>
          <w:szCs w:val="21"/>
          <w:u w:val="single"/>
          <w:lang w:eastAsia="es-ES_tradnl"/>
        </w:rPr>
        <w:t>interrogar directamente</w:t>
      </w:r>
      <w:r w:rsidRPr="00E10347">
        <w:rPr>
          <w:rFonts w:ascii="Palatino Linotype" w:eastAsia="Calibri" w:hAnsi="Palatino Linotype"/>
          <w:i/>
          <w:sz w:val="21"/>
          <w:szCs w:val="21"/>
          <w:lang w:eastAsia="es-ES_tradnl"/>
        </w:rPr>
        <w:t xml:space="preserve"> a peritos, traductores e intérpretes, no así a quienes tienen la categoría de testigos. Finalmente, el licenciado Castrillo Fernández considera que el consultor técnico podía rendir declaración en el debate, posición que es absolutamente errónea ya que no se trata de un perito o un testigo, sino de un auxiliar de la parte." </w:t>
      </w:r>
    </w:p>
    <w:p w:rsidR="00E10347" w:rsidRPr="00E10347" w:rsidRDefault="00E10347" w:rsidP="00E10347">
      <w:pPr>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Sin embargo, vemos como las partes procesales confunden las funciones de un perito con las de un consultor técnico.</w:t>
      </w:r>
    </w:p>
    <w:p w:rsidR="00E10347" w:rsidRPr="00E10347" w:rsidRDefault="00E10347" w:rsidP="00E10347">
      <w:pPr>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En cuanto a la ejecución del peritaje, el consultor técnico puede presenciar la realización del mismo y solicitar las aclaraciones que estimen convenientes, pero no puede estar presente durante la deliberación de los peritos</w:t>
      </w:r>
    </w:p>
    <w:p w:rsidR="00E10347" w:rsidRPr="00E10347" w:rsidRDefault="00E10347" w:rsidP="00E10347">
      <w:pPr>
        <w:jc w:val="both"/>
        <w:rPr>
          <w:rFonts w:ascii="Palatino Linotype" w:eastAsia="Calibri" w:hAnsi="Palatino Linotype"/>
          <w:sz w:val="21"/>
          <w:szCs w:val="21"/>
          <w:lang w:eastAsia="es-ES_tradnl"/>
        </w:rPr>
      </w:pPr>
    </w:p>
    <w:p w:rsidR="00E10347" w:rsidRPr="00E10347" w:rsidRDefault="00E10347" w:rsidP="00E83320">
      <w:pPr>
        <w:pStyle w:val="Textoindependiente3"/>
        <w:numPr>
          <w:ilvl w:val="0"/>
          <w:numId w:val="11"/>
        </w:numPr>
        <w:spacing w:line="240" w:lineRule="auto"/>
        <w:ind w:left="720" w:hanging="360"/>
        <w:rPr>
          <w:rFonts w:ascii="Palatino Linotype" w:hAnsi="Palatino Linotype" w:cs="Arial"/>
          <w:b/>
          <w:sz w:val="21"/>
          <w:szCs w:val="21"/>
          <w:u w:val="single"/>
        </w:rPr>
      </w:pPr>
      <w:r w:rsidRPr="00E10347">
        <w:rPr>
          <w:rFonts w:ascii="Palatino Linotype" w:hAnsi="Palatino Linotype" w:cs="Arial"/>
          <w:b/>
          <w:sz w:val="21"/>
          <w:szCs w:val="21"/>
          <w:u w:val="single"/>
        </w:rPr>
        <w:t>Excusa y Recusación:</w:t>
      </w:r>
    </w:p>
    <w:p w:rsidR="00E10347" w:rsidRPr="00E10347" w:rsidRDefault="00E10347" w:rsidP="00E10347">
      <w:pPr>
        <w:ind w:firstLine="360"/>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Nuestro Código Procesal Penal, en el Capítulo II, Excusa y recusaciones, establece que la excusa de un consultor técnico, debiera de darse por lo siguiente:</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“ARTÍCULO 55.- Motivos de excusa</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El juez deberá excusarse de conocer en la causa:</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Cuando en el mismo proceso hubiera pronunciado o concurrido a pronunciar el auto de apertura a juicio o la sentencia, o hubiera intervenido como funcionario del Ministerio Público, defensor, mandatario, denunciante o querellante, o hubiera actuado como perito, consultor técnico o conociera del hecho investigado como testigo, o tenga interés directo en el proceso...”.</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En cuanto al trámite de la excusa, se realizara de la forma establecida en el artículo 56 del Código de rito:</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 xml:space="preserve">“Trámite de la excusa: El juez que se excuse remitirá las actuaciones, por resolución fundada, </w:t>
      </w:r>
      <w:r w:rsidRPr="00E10347">
        <w:rPr>
          <w:rFonts w:ascii="Palatino Linotype" w:eastAsia="Calibri" w:hAnsi="Palatino Linotype"/>
          <w:i/>
          <w:sz w:val="21"/>
          <w:szCs w:val="21"/>
          <w:lang w:eastAsia="es-ES_tradnl"/>
        </w:rPr>
        <w:lastRenderedPageBreak/>
        <w:t>a quien deba reemplazarlo. Este tomará conocimiento del asunto de inmediato y dispondrá el trámite por seguir, sin perjuicio de que eleve los antecedentes, en igual forma, al tribunal respectivo, si estima que la excusa no tiene fundamento. La incidencia será resuelta sin trámite.</w:t>
      </w:r>
    </w:p>
    <w:p w:rsidR="00E10347" w:rsidRPr="00E10347" w:rsidRDefault="00E10347" w:rsidP="00E10347">
      <w:pPr>
        <w:jc w:val="both"/>
        <w:rPr>
          <w:rFonts w:ascii="Palatino Linotype" w:eastAsia="Calibri" w:hAnsi="Palatino Linotype"/>
          <w:sz w:val="21"/>
          <w:szCs w:val="21"/>
          <w:lang w:eastAsia="es-ES_tradnl"/>
        </w:rPr>
      </w:pPr>
      <w:r w:rsidRPr="00E10347">
        <w:rPr>
          <w:rFonts w:ascii="Palatino Linotype" w:eastAsia="Calibri" w:hAnsi="Palatino Linotype"/>
          <w:i/>
          <w:sz w:val="21"/>
          <w:szCs w:val="21"/>
          <w:lang w:eastAsia="es-ES_tradnl"/>
        </w:rPr>
        <w:t>Cuando el juez forme parte de un tribunal colegiado y reconozca un motivo de excusa, pedirá a los restantes miembros que dispongan su separación”</w:t>
      </w:r>
    </w:p>
    <w:p w:rsidR="00E10347" w:rsidRPr="00E10347" w:rsidRDefault="00E10347" w:rsidP="00E10347">
      <w:pPr>
        <w:ind w:firstLine="708"/>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Para la recusación de un consultor técnico, el Ministerio Público y las partes podrán recusarlo cuando estimen que concurre en él la causal por la cual debió excusarse. Y para el trámite se debe de tomar en consideración lo establecido en la legislación procesal penal:</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“ARTÍCULO 58.- Tiempo y forma de recusar: Al formularse la recusación se indicarán por escrito, bajo pena de inadmisibilidad, los motivos en que se funda y los elementos de prueba pertinentes.</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La recusación será formulada dentro de las veinticuatro horas de conocerse los motivos en que se funda.</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Durante las audiencias, la recusación será deducida oralmente, bajo las mismas condiciones de admisibilidad de las presentaciones escritas y se dejará constancia en acta de sus motivos.”</w:t>
      </w:r>
    </w:p>
    <w:p w:rsidR="00E10347" w:rsidRPr="00E10347" w:rsidRDefault="00E10347" w:rsidP="00E10347">
      <w:pPr>
        <w:jc w:val="both"/>
        <w:rPr>
          <w:rFonts w:ascii="Palatino Linotype" w:eastAsia="Calibri" w:hAnsi="Palatino Linotype"/>
          <w:i/>
          <w:sz w:val="21"/>
          <w:szCs w:val="21"/>
          <w:lang w:eastAsia="es-ES_tradnl"/>
        </w:rPr>
      </w:pP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ARTÍCULO 59.- Trámite de la Recusación: Si el juez admite la recusación, aplicará el procedimiento previsto para la excusa. En caso contrario, remitirá el escrito de recusación y su informe al tribunal competente o, si el juez integra un tribunal colegiado, pedirá el rechazo de aquella a los restantes miembros.</w:t>
      </w:r>
    </w:p>
    <w:p w:rsidR="00E10347" w:rsidRPr="00E10347" w:rsidRDefault="00E10347" w:rsidP="00E10347">
      <w:pPr>
        <w:jc w:val="both"/>
        <w:rPr>
          <w:rFonts w:ascii="Palatino Linotype" w:eastAsia="Calibri" w:hAnsi="Palatino Linotype"/>
          <w:i/>
          <w:sz w:val="21"/>
          <w:szCs w:val="21"/>
          <w:lang w:eastAsia="es-ES_tradnl"/>
        </w:rPr>
      </w:pPr>
      <w:r w:rsidRPr="00E10347">
        <w:rPr>
          <w:rFonts w:ascii="Palatino Linotype" w:eastAsia="Calibri" w:hAnsi="Palatino Linotype"/>
          <w:i/>
          <w:sz w:val="21"/>
          <w:szCs w:val="21"/>
          <w:lang w:eastAsia="es-ES_tradnl"/>
        </w:rPr>
        <w:t>Si se estima necesario, se fijará fecha para celebrar una audiencia en la que se recibirá la prueba y se informará a las partes. El tribunal competente resolverá el incidente dentro de las veinticuatro horas, sin recurso alguno”.</w:t>
      </w:r>
    </w:p>
    <w:p w:rsidR="00E10347" w:rsidRPr="00E10347" w:rsidRDefault="00E10347" w:rsidP="00E10347">
      <w:pPr>
        <w:jc w:val="both"/>
        <w:rPr>
          <w:rFonts w:ascii="Palatino Linotype" w:eastAsia="Calibri" w:hAnsi="Palatino Linotype"/>
          <w:i/>
          <w:sz w:val="21"/>
          <w:szCs w:val="21"/>
          <w:lang w:eastAsia="es-ES_tradnl"/>
        </w:rPr>
      </w:pPr>
    </w:p>
    <w:p w:rsidR="00E10347" w:rsidRPr="00E10347" w:rsidRDefault="00E10347" w:rsidP="00E83320">
      <w:pPr>
        <w:pStyle w:val="Textoindependiente3"/>
        <w:numPr>
          <w:ilvl w:val="0"/>
          <w:numId w:val="11"/>
        </w:numPr>
        <w:spacing w:line="240" w:lineRule="auto"/>
        <w:ind w:left="720" w:hanging="360"/>
        <w:rPr>
          <w:rFonts w:ascii="Palatino Linotype" w:hAnsi="Palatino Linotype" w:cs="Arial"/>
          <w:b/>
          <w:sz w:val="21"/>
          <w:szCs w:val="21"/>
          <w:u w:val="single"/>
        </w:rPr>
      </w:pPr>
      <w:r w:rsidRPr="00E10347">
        <w:rPr>
          <w:rFonts w:ascii="Palatino Linotype" w:hAnsi="Palatino Linotype" w:cs="Arial"/>
          <w:b/>
          <w:sz w:val="21"/>
          <w:szCs w:val="21"/>
          <w:u w:val="single"/>
        </w:rPr>
        <w:t>Similitudes y Diferencias:</w:t>
      </w:r>
    </w:p>
    <w:p w:rsidR="00E10347" w:rsidRPr="00E10347" w:rsidRDefault="00E10347" w:rsidP="00E10347">
      <w:pPr>
        <w:ind w:firstLine="360"/>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En la práctica, es usual que se confunda la figura del perito con la del consultor técnico, por lo que se hace necesario establecer sus diferencias:</w:t>
      </w:r>
    </w:p>
    <w:p w:rsidR="00E10347" w:rsidRPr="00E10347" w:rsidRDefault="00E10347" w:rsidP="00E83320">
      <w:pPr>
        <w:pStyle w:val="Prrafodelista"/>
        <w:widowControl/>
        <w:numPr>
          <w:ilvl w:val="0"/>
          <w:numId w:val="44"/>
        </w:numPr>
        <w:autoSpaceDE/>
        <w:autoSpaceDN/>
        <w:adjustRightInd/>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El perito es llamado al proceso para aportar un conocimiento especial, que al Proceso le falta o puede faltarle, necesario para la percepción y apreciación de los hechos que no pueden captarse sin tal saber especial. Es un auxiliar del Proceso Penal que busca la verdad real de los hechos.</w:t>
      </w:r>
    </w:p>
    <w:p w:rsidR="00E10347" w:rsidRPr="00E10347" w:rsidRDefault="00E10347" w:rsidP="00E83320">
      <w:pPr>
        <w:pStyle w:val="Prrafodelista"/>
        <w:widowControl/>
        <w:numPr>
          <w:ilvl w:val="0"/>
          <w:numId w:val="44"/>
        </w:numPr>
        <w:autoSpaceDE/>
        <w:autoSpaceDN/>
        <w:adjustRightInd/>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lastRenderedPageBreak/>
        <w:t>Como mencionamos anteriormente, el consultor técnico realiza una labor de asesoría sobre cierto tipo de materia que implica necesariamente un conocimiento especializado, le aconseja a las partes. Es un auxiliar de parte.</w:t>
      </w:r>
    </w:p>
    <w:p w:rsidR="00E10347" w:rsidRPr="00E10347" w:rsidRDefault="00E10347" w:rsidP="00E83320">
      <w:pPr>
        <w:pStyle w:val="Prrafodelista"/>
        <w:widowControl/>
        <w:numPr>
          <w:ilvl w:val="0"/>
          <w:numId w:val="44"/>
        </w:numPr>
        <w:autoSpaceDE/>
        <w:autoSpaceDN/>
        <w:adjustRightInd/>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El consultor técnico tiene la posibilidad de ser él, quien interroga a los peritos en juicio, de participar en la realización de los peritajes, puede cuestionar la labor de los peritos confrontando sus peritajes.</w:t>
      </w:r>
    </w:p>
    <w:p w:rsidR="00E10347" w:rsidRPr="00E10347" w:rsidRDefault="00E10347" w:rsidP="00E83320">
      <w:pPr>
        <w:pStyle w:val="Prrafodelista"/>
        <w:widowControl/>
        <w:numPr>
          <w:ilvl w:val="0"/>
          <w:numId w:val="44"/>
        </w:numPr>
        <w:autoSpaceDE/>
        <w:autoSpaceDN/>
        <w:adjustRightInd/>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Aunque el consultor puede estar presente en la realización de la pericia, no emite un dictamen o al menos éste no será incluido dentro del expediente principal. El perito si emite un dictamen que debe estar en el expediente judicial.</w:t>
      </w:r>
    </w:p>
    <w:p w:rsidR="00E10347" w:rsidRPr="00E10347" w:rsidRDefault="00E10347" w:rsidP="00E83320">
      <w:pPr>
        <w:pStyle w:val="Prrafodelista"/>
        <w:widowControl/>
        <w:numPr>
          <w:ilvl w:val="0"/>
          <w:numId w:val="44"/>
        </w:numPr>
        <w:autoSpaceDE/>
        <w:autoSpaceDN/>
        <w:adjustRightInd/>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El consultor técnico es un asesor quien vela por los intereses de la parte que lo solicitó, mientras que el perito es independiente, imparcial, objetivo y perita para el proceso.</w:t>
      </w:r>
    </w:p>
    <w:p w:rsidR="00E10347" w:rsidRPr="00E10347" w:rsidRDefault="00E10347" w:rsidP="00E10347">
      <w:pPr>
        <w:jc w:val="both"/>
        <w:rPr>
          <w:rFonts w:ascii="Palatino Linotype" w:eastAsia="Calibri" w:hAnsi="Palatino Linotype"/>
          <w:bCs/>
          <w:kern w:val="32"/>
          <w:sz w:val="21"/>
          <w:szCs w:val="21"/>
          <w:u w:val="single"/>
          <w:lang w:val="es-CR" w:eastAsia="es-CR"/>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41"/>
        <w:gridCol w:w="3042"/>
        <w:gridCol w:w="3042"/>
      </w:tblGrid>
      <w:tr w:rsidR="00E10347" w:rsidRPr="00E10347" w:rsidTr="00E10347">
        <w:trPr>
          <w:trHeight w:val="340"/>
        </w:trPr>
        <w:tc>
          <w:tcPr>
            <w:tcW w:w="3041" w:type="dxa"/>
            <w:shd w:val="clear" w:color="auto" w:fill="C0C0C0"/>
          </w:tcPr>
          <w:p w:rsidR="00E10347" w:rsidRPr="00E10347" w:rsidRDefault="00E10347" w:rsidP="00E10347">
            <w:pPr>
              <w:jc w:val="both"/>
              <w:rPr>
                <w:rFonts w:ascii="Palatino Linotype" w:eastAsia="Calibri" w:hAnsi="Palatino Linotype"/>
                <w:bCs/>
                <w:kern w:val="32"/>
                <w:sz w:val="21"/>
                <w:szCs w:val="21"/>
                <w:lang w:val="es-CR" w:eastAsia="es-CR"/>
              </w:rPr>
            </w:pPr>
            <w:r w:rsidRPr="00E10347">
              <w:rPr>
                <w:rFonts w:ascii="Palatino Linotype" w:eastAsia="Calibri" w:hAnsi="Palatino Linotype"/>
                <w:bCs/>
                <w:kern w:val="32"/>
                <w:sz w:val="21"/>
                <w:szCs w:val="21"/>
                <w:lang w:val="es-CR" w:eastAsia="es-CR"/>
              </w:rPr>
              <w:t>Perito</w:t>
            </w:r>
          </w:p>
        </w:tc>
        <w:tc>
          <w:tcPr>
            <w:tcW w:w="3042" w:type="dxa"/>
            <w:shd w:val="clear" w:color="auto" w:fill="C0C0C0"/>
          </w:tcPr>
          <w:p w:rsidR="00E10347" w:rsidRPr="00E10347" w:rsidRDefault="00E10347" w:rsidP="00E10347">
            <w:pPr>
              <w:jc w:val="both"/>
              <w:rPr>
                <w:rFonts w:ascii="Palatino Linotype" w:eastAsia="Calibri" w:hAnsi="Palatino Linotype"/>
                <w:bCs/>
                <w:kern w:val="32"/>
                <w:sz w:val="21"/>
                <w:szCs w:val="21"/>
                <w:lang w:val="es-CR" w:eastAsia="es-CR"/>
              </w:rPr>
            </w:pPr>
            <w:r w:rsidRPr="00E10347">
              <w:rPr>
                <w:rFonts w:ascii="Palatino Linotype" w:eastAsia="Calibri" w:hAnsi="Palatino Linotype"/>
                <w:bCs/>
                <w:kern w:val="32"/>
                <w:sz w:val="21"/>
                <w:szCs w:val="21"/>
                <w:lang w:val="es-CR" w:eastAsia="es-CR"/>
              </w:rPr>
              <w:t>Testigo-Perito</w:t>
            </w:r>
          </w:p>
        </w:tc>
        <w:tc>
          <w:tcPr>
            <w:tcW w:w="3042" w:type="dxa"/>
            <w:shd w:val="clear" w:color="auto" w:fill="C0C0C0"/>
          </w:tcPr>
          <w:p w:rsidR="00E10347" w:rsidRPr="00E10347" w:rsidRDefault="00E10347" w:rsidP="00E10347">
            <w:pPr>
              <w:jc w:val="both"/>
              <w:rPr>
                <w:rFonts w:ascii="Palatino Linotype" w:eastAsia="Calibri" w:hAnsi="Palatino Linotype"/>
                <w:bCs/>
                <w:kern w:val="32"/>
                <w:sz w:val="21"/>
                <w:szCs w:val="21"/>
                <w:lang w:val="es-CR" w:eastAsia="es-CR"/>
              </w:rPr>
            </w:pPr>
            <w:r w:rsidRPr="00E10347">
              <w:rPr>
                <w:rFonts w:ascii="Palatino Linotype" w:eastAsia="Calibri" w:hAnsi="Palatino Linotype"/>
                <w:bCs/>
                <w:kern w:val="32"/>
                <w:sz w:val="21"/>
                <w:szCs w:val="21"/>
                <w:lang w:val="es-CR" w:eastAsia="es-CR"/>
              </w:rPr>
              <w:t>Consultor Técnico</w:t>
            </w:r>
          </w:p>
        </w:tc>
      </w:tr>
      <w:tr w:rsidR="00E10347" w:rsidRPr="00E10347" w:rsidTr="00E10347">
        <w:trPr>
          <w:trHeight w:val="539"/>
        </w:trPr>
        <w:tc>
          <w:tcPr>
            <w:tcW w:w="3041" w:type="dxa"/>
          </w:tcPr>
          <w:p w:rsidR="00E10347" w:rsidRPr="00E10347" w:rsidRDefault="00E10347" w:rsidP="00E10347">
            <w:pPr>
              <w:jc w:val="both"/>
              <w:rPr>
                <w:rFonts w:ascii="Palatino Linotype" w:eastAsia="Calibri" w:hAnsi="Palatino Linotype"/>
                <w:bCs/>
                <w:kern w:val="32"/>
                <w:sz w:val="21"/>
                <w:szCs w:val="21"/>
                <w:lang w:val="es-CR" w:eastAsia="es-CR"/>
              </w:rPr>
            </w:pPr>
            <w:r w:rsidRPr="00E10347">
              <w:rPr>
                <w:rFonts w:ascii="Palatino Linotype" w:eastAsia="Calibri" w:hAnsi="Palatino Linotype"/>
                <w:bCs/>
                <w:kern w:val="32"/>
                <w:sz w:val="21"/>
                <w:szCs w:val="21"/>
                <w:lang w:val="es-CR" w:eastAsia="es-CR"/>
              </w:rPr>
              <w:t>Es llamado al Proceso para aportar un conocimiento especial, que normalmente al Juez le falta o puede faltarle, necesario para la percepción y apreciación de los hechos que no pueden captarse sin tal saber especial.</w:t>
            </w:r>
          </w:p>
        </w:tc>
        <w:tc>
          <w:tcPr>
            <w:tcW w:w="3042" w:type="dxa"/>
          </w:tcPr>
          <w:p w:rsidR="00E10347" w:rsidRPr="00E10347" w:rsidRDefault="00E10347" w:rsidP="00E10347">
            <w:pPr>
              <w:jc w:val="both"/>
              <w:rPr>
                <w:rFonts w:ascii="Palatino Linotype" w:eastAsia="Calibri" w:hAnsi="Palatino Linotype"/>
                <w:bCs/>
                <w:kern w:val="32"/>
                <w:sz w:val="21"/>
                <w:szCs w:val="21"/>
                <w:lang w:val="es-CR" w:eastAsia="es-CR"/>
              </w:rPr>
            </w:pPr>
            <w:r w:rsidRPr="00E10347">
              <w:rPr>
                <w:rFonts w:ascii="Palatino Linotype" w:eastAsia="Calibri" w:hAnsi="Palatino Linotype"/>
                <w:bCs/>
                <w:kern w:val="32"/>
                <w:sz w:val="21"/>
                <w:szCs w:val="21"/>
                <w:lang w:val="es-CR" w:eastAsia="es-CR"/>
              </w:rPr>
              <w:t>Persona que poseyendo determinados conocimientos técnicos o artísticos percibe un hecho, y se le llama al proceso para que refiera cuanto sepa sobre este.</w:t>
            </w:r>
          </w:p>
        </w:tc>
        <w:tc>
          <w:tcPr>
            <w:tcW w:w="3042" w:type="dxa"/>
          </w:tcPr>
          <w:p w:rsidR="00E10347" w:rsidRPr="00E10347" w:rsidRDefault="00E10347" w:rsidP="00E10347">
            <w:pPr>
              <w:jc w:val="both"/>
              <w:rPr>
                <w:rFonts w:ascii="Palatino Linotype" w:eastAsia="Calibri" w:hAnsi="Palatino Linotype"/>
                <w:bCs/>
                <w:kern w:val="32"/>
                <w:sz w:val="21"/>
                <w:szCs w:val="21"/>
                <w:lang w:val="es-CR" w:eastAsia="es-CR"/>
              </w:rPr>
            </w:pPr>
            <w:r w:rsidRPr="00E10347">
              <w:rPr>
                <w:rFonts w:ascii="Palatino Linotype" w:eastAsia="Calibri" w:hAnsi="Palatino Linotype"/>
                <w:bCs/>
                <w:kern w:val="32"/>
                <w:sz w:val="21"/>
                <w:szCs w:val="21"/>
                <w:lang w:val="es-CR" w:eastAsia="es-CR"/>
              </w:rPr>
              <w:t>Realiza una labor de asesoría sobre cierto tipo de materia que implica necesariamente un conocimiento especializado.</w:t>
            </w:r>
            <w:r w:rsidRPr="00E10347">
              <w:rPr>
                <w:rFonts w:ascii="Palatino Linotype" w:eastAsia="Calibri" w:hAnsi="Palatino Linotype"/>
                <w:bCs/>
                <w:kern w:val="32"/>
                <w:sz w:val="21"/>
                <w:szCs w:val="21"/>
                <w:u w:val="single"/>
                <w:lang w:val="es-CR" w:eastAsia="es-CR"/>
              </w:rPr>
              <w:t xml:space="preserve"> </w:t>
            </w:r>
          </w:p>
        </w:tc>
      </w:tr>
      <w:tr w:rsidR="00E10347" w:rsidRPr="00E10347" w:rsidTr="00E10347">
        <w:trPr>
          <w:trHeight w:val="353"/>
        </w:trPr>
        <w:tc>
          <w:tcPr>
            <w:tcW w:w="3041" w:type="dxa"/>
          </w:tcPr>
          <w:p w:rsidR="00E10347" w:rsidRPr="00E10347" w:rsidRDefault="00E10347" w:rsidP="00E10347">
            <w:pPr>
              <w:jc w:val="both"/>
              <w:rPr>
                <w:rFonts w:ascii="Palatino Linotype" w:eastAsia="Calibri" w:hAnsi="Palatino Linotype"/>
                <w:bCs/>
                <w:kern w:val="32"/>
                <w:sz w:val="21"/>
                <w:szCs w:val="21"/>
                <w:lang w:val="es-CR" w:eastAsia="es-CR"/>
              </w:rPr>
            </w:pPr>
            <w:r w:rsidRPr="00E10347">
              <w:rPr>
                <w:rFonts w:ascii="Palatino Linotype" w:eastAsia="Calibri" w:hAnsi="Palatino Linotype"/>
                <w:bCs/>
                <w:kern w:val="32"/>
                <w:sz w:val="21"/>
                <w:szCs w:val="21"/>
                <w:lang w:val="es-CR" w:eastAsia="es-CR"/>
              </w:rPr>
              <w:t>Ayuda al Proceso.</w:t>
            </w:r>
          </w:p>
        </w:tc>
        <w:tc>
          <w:tcPr>
            <w:tcW w:w="3042" w:type="dxa"/>
          </w:tcPr>
          <w:p w:rsidR="00E10347" w:rsidRPr="00E10347" w:rsidRDefault="00E10347" w:rsidP="00E10347">
            <w:pPr>
              <w:jc w:val="both"/>
              <w:rPr>
                <w:rFonts w:ascii="Palatino Linotype" w:eastAsia="Calibri" w:hAnsi="Palatino Linotype"/>
                <w:bCs/>
                <w:kern w:val="32"/>
                <w:sz w:val="21"/>
                <w:szCs w:val="21"/>
                <w:lang w:val="es-CR" w:eastAsia="es-CR"/>
              </w:rPr>
            </w:pPr>
          </w:p>
        </w:tc>
        <w:tc>
          <w:tcPr>
            <w:tcW w:w="3042" w:type="dxa"/>
          </w:tcPr>
          <w:p w:rsidR="00E10347" w:rsidRPr="00E10347" w:rsidRDefault="00E10347" w:rsidP="00E10347">
            <w:pPr>
              <w:jc w:val="both"/>
              <w:rPr>
                <w:rFonts w:ascii="Palatino Linotype" w:eastAsia="Calibri" w:hAnsi="Palatino Linotype"/>
                <w:bCs/>
                <w:kern w:val="32"/>
                <w:sz w:val="21"/>
                <w:szCs w:val="21"/>
                <w:lang w:val="es-CR" w:eastAsia="es-CR"/>
              </w:rPr>
            </w:pPr>
            <w:r w:rsidRPr="00E10347">
              <w:rPr>
                <w:rFonts w:ascii="Palatino Linotype" w:eastAsia="Calibri" w:hAnsi="Palatino Linotype"/>
                <w:bCs/>
                <w:kern w:val="32"/>
                <w:sz w:val="21"/>
                <w:szCs w:val="21"/>
                <w:lang w:val="es-CR" w:eastAsia="es-CR"/>
              </w:rPr>
              <w:t>Ayuda a las partes.</w:t>
            </w:r>
          </w:p>
        </w:tc>
      </w:tr>
    </w:tbl>
    <w:p w:rsidR="00E10347" w:rsidRPr="00E10347" w:rsidRDefault="00E10347" w:rsidP="00E10347">
      <w:pPr>
        <w:jc w:val="both"/>
        <w:rPr>
          <w:rFonts w:ascii="Palatino Linotype" w:eastAsia="Calibri" w:hAnsi="Palatino Linotype"/>
          <w:bCs/>
          <w:kern w:val="32"/>
          <w:sz w:val="21"/>
          <w:szCs w:val="21"/>
          <w:lang w:val="es-CR" w:eastAsia="es-CR"/>
        </w:rPr>
      </w:pPr>
    </w:p>
    <w:p w:rsidR="00E10347" w:rsidRPr="00E10347" w:rsidRDefault="00E10347" w:rsidP="00E10347">
      <w:pPr>
        <w:jc w:val="both"/>
        <w:rPr>
          <w:rFonts w:ascii="Palatino Linotype" w:eastAsia="Calibri" w:hAnsi="Palatino Linotype"/>
          <w:bCs/>
          <w:kern w:val="32"/>
          <w:sz w:val="21"/>
          <w:szCs w:val="21"/>
          <w:u w:val="single"/>
          <w:lang w:val="es-CR" w:eastAsia="es-CR"/>
        </w:rPr>
      </w:pPr>
    </w:p>
    <w:p w:rsidR="00E10347" w:rsidRPr="00E10347" w:rsidRDefault="00E10347" w:rsidP="00E10347">
      <w:pPr>
        <w:jc w:val="both"/>
        <w:rPr>
          <w:rFonts w:ascii="Palatino Linotype" w:eastAsia="Calibri" w:hAnsi="Palatino Linotype"/>
          <w:bCs/>
          <w:kern w:val="32"/>
          <w:sz w:val="21"/>
          <w:szCs w:val="21"/>
          <w:u w:val="single"/>
          <w:lang w:val="es-CR" w:eastAsia="es-CR"/>
        </w:rPr>
      </w:pPr>
      <w:r w:rsidRPr="00E10347">
        <w:rPr>
          <w:rFonts w:ascii="Palatino Linotype" w:eastAsia="Calibri" w:hAnsi="Palatino Linotype"/>
          <w:bCs/>
          <w:kern w:val="32"/>
          <w:sz w:val="21"/>
          <w:szCs w:val="21"/>
          <w:u w:val="single"/>
          <w:lang w:val="es-CR" w:eastAsia="es-CR"/>
        </w:rPr>
        <w:t>Artículo 126 Código Procesal Penal:</w:t>
      </w:r>
    </w:p>
    <w:p w:rsidR="00E10347" w:rsidRPr="00E10347" w:rsidRDefault="00E10347" w:rsidP="00E10347">
      <w:pPr>
        <w:jc w:val="both"/>
        <w:rPr>
          <w:rFonts w:ascii="Palatino Linotype" w:eastAsia="Calibri" w:hAnsi="Palatino Linotype"/>
          <w:bCs/>
          <w:i/>
          <w:kern w:val="32"/>
          <w:sz w:val="21"/>
          <w:szCs w:val="21"/>
          <w:lang w:val="es-CR" w:eastAsia="es-CR"/>
        </w:rPr>
      </w:pPr>
      <w:r w:rsidRPr="00E10347">
        <w:rPr>
          <w:rFonts w:ascii="Palatino Linotype" w:eastAsia="Calibri" w:hAnsi="Palatino Linotype"/>
          <w:bCs/>
          <w:i/>
          <w:kern w:val="32"/>
          <w:sz w:val="21"/>
          <w:szCs w:val="21"/>
          <w:lang w:val="es-CR" w:eastAsia="es-CR"/>
        </w:rPr>
        <w:tab/>
        <w:t xml:space="preserve"> “Si, por las particularidades del caso, el ministerio Público o alguno de los intervinientes consideran necesaria la asistencia de un consultor en una ciencia o técnica, lo propondrán al Ministerio Público o al Tribunal, el cual decidirá sobre su designación, según las reglas aplicables a los peritos, sin que por ello asuman tal carácter.</w:t>
      </w:r>
    </w:p>
    <w:p w:rsidR="00E10347" w:rsidRPr="00E10347" w:rsidRDefault="00E10347" w:rsidP="00E10347">
      <w:pPr>
        <w:jc w:val="both"/>
        <w:rPr>
          <w:rFonts w:ascii="Palatino Linotype" w:eastAsia="Calibri" w:hAnsi="Palatino Linotype"/>
          <w:bCs/>
          <w:i/>
          <w:kern w:val="32"/>
          <w:sz w:val="21"/>
          <w:szCs w:val="21"/>
          <w:lang w:val="es-CR" w:eastAsia="es-CR"/>
        </w:rPr>
      </w:pPr>
      <w:r w:rsidRPr="00E10347">
        <w:rPr>
          <w:rFonts w:ascii="Palatino Linotype" w:eastAsia="Calibri" w:hAnsi="Palatino Linotype"/>
          <w:bCs/>
          <w:i/>
          <w:kern w:val="32"/>
          <w:sz w:val="21"/>
          <w:szCs w:val="21"/>
          <w:lang w:val="es-CR" w:eastAsia="es-CR"/>
        </w:rPr>
        <w:tab/>
        <w:t xml:space="preserve">El consultor técnico podrá presenciar las operaciones periciales, acotar observaciones durante su transcurso, sin emitir dictamen, y se dejará constancia de sus observaciones. Podrán acompañar, en las audiencias, a la parte con quien colaboran, auxiliarla en los actos </w:t>
      </w:r>
      <w:r w:rsidRPr="00E10347">
        <w:rPr>
          <w:rFonts w:ascii="Palatino Linotype" w:eastAsia="Calibri" w:hAnsi="Palatino Linotype"/>
          <w:bCs/>
          <w:i/>
          <w:kern w:val="32"/>
          <w:sz w:val="21"/>
          <w:szCs w:val="21"/>
          <w:lang w:val="es-CR" w:eastAsia="es-CR"/>
        </w:rPr>
        <w:lastRenderedPageBreak/>
        <w:t>propios de su función o interrogar, directamente, a peritos, traductores o intérpretes, siempre bajo la dirección de la parte a la que asisten”.</w:t>
      </w:r>
    </w:p>
    <w:p w:rsidR="00E10347" w:rsidRPr="00E10347" w:rsidRDefault="00E10347" w:rsidP="00E10347">
      <w:pPr>
        <w:jc w:val="both"/>
        <w:rPr>
          <w:rFonts w:ascii="Palatino Linotype" w:eastAsia="Calibri" w:hAnsi="Palatino Linotype"/>
          <w:bCs/>
          <w:kern w:val="32"/>
          <w:sz w:val="21"/>
          <w:szCs w:val="21"/>
          <w:lang w:val="es-CR" w:eastAsia="es-CR"/>
        </w:rPr>
      </w:pPr>
    </w:p>
    <w:p w:rsidR="00E10347" w:rsidRPr="00E10347" w:rsidRDefault="00E10347" w:rsidP="00E10347">
      <w:pPr>
        <w:jc w:val="both"/>
        <w:rPr>
          <w:rFonts w:ascii="Palatino Linotype" w:eastAsia="Calibri" w:hAnsi="Palatino Linotype"/>
          <w:bCs/>
          <w:kern w:val="32"/>
          <w:sz w:val="21"/>
          <w:szCs w:val="21"/>
          <w:u w:val="single"/>
          <w:lang w:val="es-CR" w:eastAsia="es-CR"/>
        </w:rPr>
      </w:pPr>
      <w:r w:rsidRPr="00E10347">
        <w:rPr>
          <w:rFonts w:ascii="Palatino Linotype" w:eastAsia="Calibri" w:hAnsi="Palatino Linotype"/>
          <w:b/>
          <w:bCs/>
          <w:kern w:val="32"/>
          <w:sz w:val="21"/>
          <w:szCs w:val="21"/>
          <w:u w:val="single"/>
          <w:lang w:val="es-CR" w:eastAsia="es-CR"/>
        </w:rPr>
        <w:t>Jurisprudencia</w:t>
      </w:r>
      <w:r w:rsidRPr="00E10347">
        <w:rPr>
          <w:rFonts w:ascii="Palatino Linotype" w:eastAsia="Calibri" w:hAnsi="Palatino Linotype"/>
          <w:bCs/>
          <w:kern w:val="32"/>
          <w:sz w:val="21"/>
          <w:szCs w:val="21"/>
          <w:u w:val="single"/>
          <w:lang w:val="es-CR" w:eastAsia="es-CR"/>
        </w:rPr>
        <w:t>:</w:t>
      </w:r>
    </w:p>
    <w:p w:rsidR="00E10347" w:rsidRPr="00E10347" w:rsidRDefault="00E10347" w:rsidP="00E10347">
      <w:pPr>
        <w:jc w:val="both"/>
        <w:rPr>
          <w:rFonts w:ascii="Palatino Linotype" w:eastAsia="Calibri" w:hAnsi="Palatino Linotype"/>
          <w:bCs/>
          <w:kern w:val="32"/>
          <w:sz w:val="21"/>
          <w:szCs w:val="21"/>
          <w:lang w:val="es-CR" w:eastAsia="es-CR"/>
        </w:rPr>
      </w:pPr>
      <w:r w:rsidRPr="00E10347">
        <w:rPr>
          <w:rFonts w:ascii="Palatino Linotype" w:eastAsia="Calibri" w:hAnsi="Palatino Linotype"/>
          <w:bCs/>
          <w:kern w:val="32"/>
          <w:sz w:val="21"/>
          <w:szCs w:val="21"/>
          <w:lang w:val="es-CR" w:eastAsia="es-CR"/>
        </w:rPr>
        <w:t xml:space="preserve">Sala Tercera de la Corte suprema de Justicia. No 127 de las 9:40h del 4 febrero del 2000. </w:t>
      </w:r>
      <w:r w:rsidRPr="00E10347">
        <w:rPr>
          <w:rFonts w:ascii="Palatino Linotype" w:eastAsia="Calibri" w:hAnsi="Palatino Linotype"/>
          <w:bCs/>
          <w:kern w:val="32"/>
          <w:sz w:val="21"/>
          <w:szCs w:val="21"/>
          <w:lang w:val="es-CR" w:eastAsia="es-CR"/>
        </w:rPr>
        <w:tab/>
      </w:r>
    </w:p>
    <w:p w:rsidR="00E10347" w:rsidRPr="00E10347" w:rsidRDefault="00E10347" w:rsidP="00E10347">
      <w:pPr>
        <w:jc w:val="both"/>
        <w:rPr>
          <w:rFonts w:ascii="Palatino Linotype" w:eastAsia="Calibri" w:hAnsi="Palatino Linotype"/>
          <w:bCs/>
          <w:kern w:val="32"/>
          <w:sz w:val="21"/>
          <w:szCs w:val="21"/>
          <w:lang w:val="es-CR" w:eastAsia="es-CR"/>
        </w:rPr>
      </w:pPr>
      <w:r w:rsidRPr="00E10347">
        <w:rPr>
          <w:rFonts w:ascii="Palatino Linotype" w:eastAsia="Calibri" w:hAnsi="Palatino Linotype"/>
          <w:bCs/>
          <w:kern w:val="32"/>
          <w:sz w:val="21"/>
          <w:szCs w:val="21"/>
          <w:lang w:val="es-CR" w:eastAsia="es-CR"/>
        </w:rPr>
        <w:tab/>
        <w:t>Consultor técnico: circunstancias en las que procede</w:t>
      </w:r>
    </w:p>
    <w:p w:rsidR="00E10347" w:rsidRPr="00E10347" w:rsidRDefault="00E10347" w:rsidP="00E10347">
      <w:pPr>
        <w:jc w:val="both"/>
        <w:rPr>
          <w:rFonts w:ascii="Palatino Linotype" w:eastAsia="Calibri" w:hAnsi="Palatino Linotype"/>
          <w:bCs/>
          <w:kern w:val="32"/>
          <w:sz w:val="21"/>
          <w:szCs w:val="21"/>
          <w:lang w:val="es-CR" w:eastAsia="es-CR"/>
        </w:rPr>
      </w:pPr>
      <w:r w:rsidRPr="00E10347">
        <w:rPr>
          <w:rFonts w:ascii="Palatino Linotype" w:eastAsia="Calibri" w:hAnsi="Palatino Linotype"/>
          <w:bCs/>
          <w:kern w:val="32"/>
          <w:sz w:val="21"/>
          <w:szCs w:val="21"/>
          <w:lang w:val="es-CR" w:eastAsia="es-CR"/>
        </w:rPr>
        <w:t>La figura del Consultor Técnico constituye una prerrogativa exclusiva de las partes a quienes debe asistir.</w:t>
      </w:r>
    </w:p>
    <w:p w:rsidR="00E10347" w:rsidRPr="00E10347" w:rsidRDefault="00E10347" w:rsidP="003A0C35">
      <w:pPr>
        <w:ind w:firstLine="360"/>
        <w:jc w:val="both"/>
        <w:rPr>
          <w:rFonts w:ascii="Palatino Linotype" w:eastAsia="Calibri" w:hAnsi="Palatino Linotype"/>
          <w:bCs/>
          <w:kern w:val="32"/>
          <w:sz w:val="21"/>
          <w:szCs w:val="21"/>
          <w:lang w:val="es-CR" w:eastAsia="es-CR"/>
        </w:rPr>
      </w:pPr>
      <w:r w:rsidRPr="00E10347">
        <w:rPr>
          <w:rFonts w:ascii="Palatino Linotype" w:eastAsia="Calibri" w:hAnsi="Palatino Linotype"/>
          <w:bCs/>
          <w:kern w:val="32"/>
          <w:sz w:val="21"/>
          <w:szCs w:val="21"/>
          <w:lang w:val="es-CR" w:eastAsia="es-CR"/>
        </w:rPr>
        <w:t>Es improcedente que “... los jueces, poniéndose al nivel de las partes, se asignen un consultor técnico, pues la idea de que puedan ser asesorados o de que reciban consejo, aun sea con el propósito de hacerse inteligibles las manifestaciones de los testigos o definir líneas de interrogatorio, puede eventualmente llevarlos a vulnerar los principios de imparcialidad e independencia de criterio que deben regir sus actos y decisiones ... Por último, la actitud de los juzgadores de consultar a su asesor “a espaldas de las partes” o “confidencialmente”, afecta la transparencia que debe caracterizar al proceso”.</w:t>
      </w:r>
    </w:p>
    <w:p w:rsidR="00E10347" w:rsidRPr="00E10347" w:rsidRDefault="00E10347" w:rsidP="00E10347">
      <w:pPr>
        <w:ind w:firstLine="360"/>
        <w:jc w:val="both"/>
        <w:rPr>
          <w:rFonts w:ascii="Palatino Linotype" w:eastAsia="Calibri" w:hAnsi="Palatino Linotype"/>
          <w:bCs/>
          <w:kern w:val="32"/>
          <w:sz w:val="21"/>
          <w:szCs w:val="21"/>
          <w:lang w:val="es-CR" w:eastAsia="es-CR"/>
        </w:rPr>
      </w:pPr>
      <w:r w:rsidRPr="00E10347">
        <w:rPr>
          <w:rFonts w:ascii="Palatino Linotype" w:eastAsia="Calibri" w:hAnsi="Palatino Linotype"/>
          <w:bCs/>
          <w:kern w:val="32"/>
          <w:sz w:val="21"/>
          <w:szCs w:val="21"/>
          <w:lang w:val="es-CR" w:eastAsia="es-CR"/>
        </w:rPr>
        <w:t xml:space="preserve">Así entonces, los consultores técnicos </w:t>
      </w:r>
      <w:r w:rsidR="002A76CC">
        <w:rPr>
          <w:rFonts w:ascii="Palatino Linotype" w:eastAsia="Calibri" w:hAnsi="Palatino Linotype"/>
          <w:bCs/>
          <w:kern w:val="32"/>
          <w:sz w:val="21"/>
          <w:szCs w:val="21"/>
          <w:lang w:val="es-CR" w:eastAsia="es-CR"/>
        </w:rPr>
        <w:t xml:space="preserve">solo </w:t>
      </w:r>
      <w:r w:rsidRPr="00E10347">
        <w:rPr>
          <w:rFonts w:ascii="Palatino Linotype" w:eastAsia="Calibri" w:hAnsi="Palatino Linotype"/>
          <w:bCs/>
          <w:kern w:val="32"/>
          <w:sz w:val="21"/>
          <w:szCs w:val="21"/>
          <w:lang w:val="es-CR" w:eastAsia="es-CR"/>
        </w:rPr>
        <w:t>pueden ser designados para asistir a las partes y nunca al juzgador.</w:t>
      </w:r>
    </w:p>
    <w:p w:rsidR="003A0C35" w:rsidRDefault="003A0C35" w:rsidP="00E10347">
      <w:pPr>
        <w:ind w:firstLine="709"/>
        <w:jc w:val="both"/>
        <w:rPr>
          <w:rFonts w:ascii="Palatino Linotype" w:hAnsi="Palatino Linotype"/>
          <w:b/>
          <w:sz w:val="21"/>
          <w:szCs w:val="21"/>
          <w:lang w:val="es-ES_tradnl" w:eastAsia="es-CR"/>
        </w:rPr>
      </w:pPr>
    </w:p>
    <w:p w:rsidR="00E10347" w:rsidRPr="00E10347" w:rsidRDefault="00E10347" w:rsidP="00E10347">
      <w:pPr>
        <w:ind w:firstLine="709"/>
        <w:jc w:val="both"/>
        <w:rPr>
          <w:rFonts w:ascii="Palatino Linotype" w:hAnsi="Palatino Linotype"/>
          <w:b/>
          <w:sz w:val="21"/>
          <w:szCs w:val="21"/>
          <w:lang w:val="es-ES_tradnl" w:eastAsia="es-CR"/>
        </w:rPr>
      </w:pPr>
      <w:r w:rsidRPr="00E10347">
        <w:rPr>
          <w:rFonts w:ascii="Palatino Linotype" w:hAnsi="Palatino Linotype"/>
          <w:b/>
          <w:sz w:val="21"/>
          <w:szCs w:val="21"/>
          <w:lang w:val="es-ES_tradnl" w:eastAsia="es-CR"/>
        </w:rPr>
        <w:t xml:space="preserve">Sala III, Voto 127-2000 de las 9:40 hrs. Del 4 de febrero </w:t>
      </w:r>
    </w:p>
    <w:p w:rsidR="00E10347" w:rsidRPr="00E10347" w:rsidRDefault="00E10347" w:rsidP="00E10347">
      <w:pPr>
        <w:ind w:firstLine="709"/>
        <w:jc w:val="both"/>
        <w:rPr>
          <w:rFonts w:ascii="Palatino Linotype" w:hAnsi="Palatino Linotype"/>
          <w:sz w:val="21"/>
          <w:szCs w:val="21"/>
          <w:lang w:val="es-ES_tradnl" w:eastAsia="es-CR"/>
        </w:rPr>
      </w:pPr>
      <w:r w:rsidRPr="00E10347">
        <w:rPr>
          <w:rFonts w:ascii="Palatino Linotype" w:hAnsi="Palatino Linotype"/>
          <w:sz w:val="21"/>
          <w:szCs w:val="21"/>
          <w:lang w:val="es-ES_tradnl" w:eastAsia="es-CR"/>
        </w:rPr>
        <w:t xml:space="preserve">“…Las reglas de garantía en torno a la imparcialidad del juzgador persiguen que este se encuentre sometido únicamente a la ley, libre de injerencias externas e internas, en tanto estas últimas dependan de sus propios intereses, posición personal o de sus decisiones particulares.  En el presente asunto, se extrae del acta de debate que el Tribunal, en efecto, dispuso designar un consultor técnico para sí y que el funcionario, no obstante las protestas de varias de las partes, asistió a los jueces, manteniendo con ellos conversaciones “confidenciales” e incluso ocupó un asiento en el estrado (cfr. folios 495 y 496).  Con ello el a quo se arrogó facultades que no le asisten, pues lo cierto es que la figura del consultor técnico -que resulta una innovación en nuestra normativa procesal-, </w:t>
      </w:r>
      <w:r w:rsidRPr="00E10347">
        <w:rPr>
          <w:rFonts w:ascii="Palatino Linotype" w:hAnsi="Palatino Linotype"/>
          <w:b/>
          <w:sz w:val="21"/>
          <w:szCs w:val="21"/>
          <w:u w:val="single"/>
          <w:lang w:val="es-ES_tradnl" w:eastAsia="es-CR"/>
        </w:rPr>
        <w:t>constituye una prerrogativa exclusiva de las partes a quienes debe asistir</w:t>
      </w:r>
      <w:r w:rsidRPr="00E10347">
        <w:rPr>
          <w:rFonts w:ascii="Palatino Linotype" w:hAnsi="Palatino Linotype"/>
          <w:sz w:val="21"/>
          <w:szCs w:val="21"/>
          <w:lang w:val="es-ES_tradnl" w:eastAsia="es-CR"/>
        </w:rPr>
        <w:t xml:space="preserve">.  Así se colige no solo del texto expreso de la ley, que la regula en el Título VII del Libro I, bajo la denominación </w:t>
      </w:r>
      <w:r w:rsidRPr="00E10347">
        <w:rPr>
          <w:rFonts w:ascii="Palatino Linotype" w:hAnsi="Palatino Linotype"/>
          <w:i/>
          <w:sz w:val="21"/>
          <w:szCs w:val="21"/>
          <w:lang w:val="es-ES_tradnl" w:eastAsia="es-CR"/>
        </w:rPr>
        <w:t>“Auxiliares de las partes”</w:t>
      </w:r>
      <w:r w:rsidRPr="00E10347">
        <w:rPr>
          <w:rFonts w:ascii="Palatino Linotype" w:hAnsi="Palatino Linotype"/>
          <w:sz w:val="21"/>
          <w:szCs w:val="21"/>
          <w:lang w:val="es-ES_tradnl" w:eastAsia="es-CR"/>
        </w:rPr>
        <w:t xml:space="preserve"> y lo reitera el artículo 126 al señalar que el consultor debe actuar </w:t>
      </w:r>
      <w:r w:rsidRPr="00E10347">
        <w:rPr>
          <w:rFonts w:ascii="Palatino Linotype" w:hAnsi="Palatino Linotype"/>
          <w:i/>
          <w:sz w:val="21"/>
          <w:szCs w:val="21"/>
          <w:lang w:val="es-ES_tradnl" w:eastAsia="es-CR"/>
        </w:rPr>
        <w:t>“... siempre bajo la dirección de la parte a la que asisten”</w:t>
      </w:r>
      <w:r w:rsidRPr="00E10347">
        <w:rPr>
          <w:rFonts w:ascii="Palatino Linotype" w:hAnsi="Palatino Linotype"/>
          <w:sz w:val="21"/>
          <w:szCs w:val="21"/>
          <w:lang w:val="es-ES_tradnl" w:eastAsia="es-CR"/>
        </w:rPr>
        <w:t xml:space="preserve">; sino también de que su </w:t>
      </w:r>
      <w:r w:rsidRPr="00E10347">
        <w:rPr>
          <w:rFonts w:ascii="Palatino Linotype" w:hAnsi="Palatino Linotype"/>
          <w:sz w:val="21"/>
          <w:szCs w:val="21"/>
          <w:lang w:val="es-ES_tradnl" w:eastAsia="es-CR"/>
        </w:rPr>
        <w:lastRenderedPageBreak/>
        <w:t xml:space="preserve">origen obedece a la voluntad del legislador de dotar a las partes –entiéndase:  Ministerio Público, querellante, defensor, actor y demandado civil, coadyuvantes u otras personas o instituciones facultadas por la ley para intervenir en defensa de algún interés en litigio-, de los instrumentos necesarios para asegurar el mejor ejercicio de sus poderes y derechos y, en especial, para alcanzar cierta igualdad entre las distintas partes, algunas de las cuales no tienen idéntico acceso a los medios técnicos y científicos capaces de auxiliarlos en sus gestiones, sobre todo al producirse la prueba ante el juzgador. Tanto los asistentes como los consultores técnicos responden, entonces, al principio de amplitud de los poderes y las facultades de las partes de manera que estas puedan cumplir sus funciones en la forma más adecuada para perseguir la tutela de sus intereses.  Ahora bien, el juez no es una parte, sino el tercero objetivo e imparcial ante quien han de desarrollarse las pruebas para determinar los hechos y que por ley está llamado a escuchar los alegatos contrapuestos para, finalmente, aplicar las normas de acuerdo con su correcto sentido.  Ello evidencia, de nuevo, lo improcedente de que los jueces –poniéndose al nivel de las partes- se asignen un consultor técnico, pues la idea de que puedan ser asesorados o de que reciban consejo, aun sea con el propósito de hacerse inteligibles las manifestaciones de los testigos o definir líneas de interrogatorio, puede eventualmente llevarlos a vulnerar los principios de imparcialidad e independencia de criterio que deben regir sus actos y decisiones.  Es, además, innecesario, pues para auxiliar al juez en su interpretación de aspectos científicos o técnicos relacionados con las afirmaciones de hechos, existe la prueba pericial y nada obsta para que se convoque al experto cuantas veces resulte apropiado o conveniente y se le interrogue sobre los temas surgidos en el debate que requieran una explicación técnica, en presencia de las partes y con su irrestricta intervención.  Por último, la actitud de los juzgadores de consultar a su asesor “a espaldas de las partes” o “confidencialmente”, afecta la transparencia que debe caracterizar al proceso y, particularmente, a los actos del Tribunal, pues aquellas no tuvieron acceso a esas conversaciones privadas o secretas producidas entre los funcionarios llamados a dictar sentencia y su consejero, aun cuando sí las pudiesen conocer indirectamente, a través de las preguntas que luego formularon los jueces a los testigos y peritos.  Debe reiterarse, entonces, que los consultores técnicos </w:t>
      </w:r>
      <w:r w:rsidRPr="00E10347">
        <w:rPr>
          <w:rFonts w:ascii="Palatino Linotype" w:hAnsi="Palatino Linotype"/>
          <w:b/>
          <w:sz w:val="21"/>
          <w:szCs w:val="21"/>
          <w:u w:val="single"/>
          <w:lang w:val="es-ES_tradnl" w:eastAsia="es-CR"/>
        </w:rPr>
        <w:t>solo pueden ser designados para asistir a las partes y nunca al juzgador</w:t>
      </w:r>
      <w:r w:rsidRPr="00E10347">
        <w:rPr>
          <w:rFonts w:ascii="Palatino Linotype" w:hAnsi="Palatino Linotype"/>
          <w:sz w:val="21"/>
          <w:szCs w:val="21"/>
          <w:lang w:val="es-ES_tradnl" w:eastAsia="es-CR"/>
        </w:rPr>
        <w:t xml:space="preserve">, quien debe permanecer ajeno a cualquier injerencia, por así exigirlo una regla de garantía establecida a favor del acusado y las restantes partes.  Ahora bien, la constatación </w:t>
      </w:r>
      <w:r w:rsidRPr="00E10347">
        <w:rPr>
          <w:rFonts w:ascii="Palatino Linotype" w:hAnsi="Palatino Linotype"/>
          <w:sz w:val="21"/>
          <w:szCs w:val="21"/>
          <w:lang w:val="es-ES_tradnl" w:eastAsia="es-CR"/>
        </w:rPr>
        <w:lastRenderedPageBreak/>
        <w:t xml:space="preserve">de la irregularidad no importa, de modo necesario, la nulidad del fallo, ya que debe concurrir agravio.  En este aspecto, el impugnante se conforma con cuestionar la sola presencia del consultor técnico del Tribunal en las condiciones que se han referido –criticable, como se ha hecho ver-, pero no demuestra que ella tuviese efecto alguno en las decisiones del a quo, es decir, que estas encuentren sustento en medios de prueba distintos de los evacuados y sometidos al contradictorio y, en concreto, en las apreciaciones del consultor.  Lo cierto, conforme se adelantó, es que el auxilio del asesor, si bien resta transparencia al proceso y es, además, capaz de incidir negativamente sobre la imparcialidad del juez, esto último no debe predicarse como un efecto necesario de su sola intervención.  En el fallo de mérito los razonamientos del a quo son fácilmente reconducibles a los elementos de prueba recibidos en forma oral, pública y contradictoria, sin que pueda siquiera sugerirse que se apoyen en las presuntas manifestaciones del consultor técnico.  Todos los datos relevantes que cimentan las conclusiones se extraen, así, de lo dicho por los testigos y peritos; la deliberación y lo decidido sobre el valor que se otorgara a cada una de las probanzas, correspondió en forma exclusiva a los jueces, por lo que, en consecuencia, no encuentra la Sala indicio alguno de que estos hayan sido influenciados al extremo de poner en riesgo su imparcialidad u objetividad y de allí que la declaratoria de una nulidad como la pedida, no obedecería más que a la nulidad misma, en tanto ningún agravio se ocasionó a los derechos e intereses de las partes.  En virtud de lo expuesto, procede declarar </w:t>
      </w:r>
      <w:r w:rsidRPr="00E10347">
        <w:rPr>
          <w:rFonts w:ascii="Palatino Linotype" w:hAnsi="Palatino Linotype"/>
          <w:b/>
          <w:sz w:val="21"/>
          <w:szCs w:val="21"/>
          <w:lang w:val="es-ES_tradnl" w:eastAsia="es-CR"/>
        </w:rPr>
        <w:t>sin lugar el reclamo</w:t>
      </w:r>
      <w:r w:rsidRPr="00E10347">
        <w:rPr>
          <w:rFonts w:ascii="Palatino Linotype" w:hAnsi="Palatino Linotype"/>
          <w:sz w:val="21"/>
          <w:szCs w:val="21"/>
          <w:lang w:val="es-ES_tradnl" w:eastAsia="es-CR"/>
        </w:rPr>
        <w:t>, formulando, sin embargo, una severa llamada de atención al a quo para que evite incurrir en lo sucesivo en este tipo de irregularidades y vele por asegurar los principios que deben regir sus actuaciones y las garantías reconocidas a las partes…”.</w:t>
      </w:r>
    </w:p>
    <w:p w:rsidR="003A0C35" w:rsidRDefault="003A0C35" w:rsidP="003A0C35">
      <w:pPr>
        <w:pStyle w:val="Textoindependiente3"/>
        <w:spacing w:line="240" w:lineRule="auto"/>
        <w:ind w:left="720"/>
        <w:rPr>
          <w:rFonts w:ascii="Palatino Linotype" w:hAnsi="Palatino Linotype" w:cs="Arial"/>
          <w:b/>
          <w:sz w:val="21"/>
          <w:szCs w:val="21"/>
          <w:u w:val="single"/>
        </w:rPr>
      </w:pPr>
    </w:p>
    <w:p w:rsidR="00E10347" w:rsidRPr="00E10347" w:rsidRDefault="00E10347" w:rsidP="00E83320">
      <w:pPr>
        <w:pStyle w:val="Textoindependiente3"/>
        <w:numPr>
          <w:ilvl w:val="0"/>
          <w:numId w:val="11"/>
        </w:numPr>
        <w:spacing w:line="240" w:lineRule="auto"/>
        <w:ind w:left="720" w:hanging="360"/>
        <w:rPr>
          <w:rFonts w:ascii="Palatino Linotype" w:hAnsi="Palatino Linotype" w:cs="Arial"/>
          <w:b/>
          <w:sz w:val="21"/>
          <w:szCs w:val="21"/>
          <w:u w:val="single"/>
        </w:rPr>
      </w:pPr>
      <w:r w:rsidRPr="00E10347">
        <w:rPr>
          <w:rFonts w:ascii="Palatino Linotype" w:hAnsi="Palatino Linotype" w:cs="Arial"/>
          <w:b/>
          <w:sz w:val="21"/>
          <w:szCs w:val="21"/>
          <w:u w:val="single"/>
        </w:rPr>
        <w:t>Testigo Experto o Expert Witness:</w:t>
      </w:r>
    </w:p>
    <w:p w:rsidR="00E10347" w:rsidRPr="00E10347" w:rsidRDefault="00E10347" w:rsidP="00E10347">
      <w:pPr>
        <w:ind w:firstLine="360"/>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Frente a una cuestión científica, artística o técnica, entonces, en la cual no está versado, el juez se halla en la necesidad de solicitar el apoyo de expertos para comprobar hecho o determinar sus características particulares. Tales expertos actúan en calidad de peritos.</w:t>
      </w:r>
    </w:p>
    <w:p w:rsidR="00E10347" w:rsidRPr="00E10347" w:rsidRDefault="00E10347" w:rsidP="00E10347">
      <w:pPr>
        <w:ind w:firstLine="360"/>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 xml:space="preserve">Pero puede ocurrir, sin embargo, que el dictamen de peritos pueda obviarse, en algunos casos, con los testimonios técnicos que hayan observado los hechos que requieren conocimientos especiales para su verificación o calificación, ya que tales testigos pueden hallarse capacitados para emitir juicios técnicos para la descripción </w:t>
      </w:r>
      <w:r w:rsidRPr="00E10347">
        <w:rPr>
          <w:rFonts w:ascii="Palatino Linotype" w:eastAsia="Calibri" w:hAnsi="Palatino Linotype"/>
          <w:sz w:val="21"/>
          <w:szCs w:val="21"/>
          <w:lang w:eastAsia="es-ES_tradnl"/>
        </w:rPr>
        <w:lastRenderedPageBreak/>
        <w:t>e identificación del hecho percibido por ellos.</w:t>
      </w:r>
    </w:p>
    <w:p w:rsidR="00E10347" w:rsidRPr="00E10347" w:rsidRDefault="00E10347" w:rsidP="00E10347">
      <w:pPr>
        <w:ind w:firstLine="360"/>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Estos testimonios son conducentes, inclusive, para determinar la causa o los efectos del hecho, si aquélla o éstos fueron observados por los declarantes.</w:t>
      </w:r>
    </w:p>
    <w:p w:rsidR="00E10347" w:rsidRPr="00E10347" w:rsidRDefault="00E10347" w:rsidP="00E10347">
      <w:pPr>
        <w:ind w:firstLine="360"/>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El testigo técnico relata lo que observó merced a sus conocimientos técnicos, dándole las calificaciones pertinentes, pero no puede emitir dictámenes sobre las causas y efectos de lo que observó, ni sobre avalúos, fundado en deducciones técnicas, porque entonces penetra en el campo exclusivo de los peritos.</w:t>
      </w:r>
    </w:p>
    <w:p w:rsidR="00E10347" w:rsidRPr="00E10347" w:rsidRDefault="00E10347" w:rsidP="00E10347">
      <w:pPr>
        <w:ind w:firstLine="360"/>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Un testigo experto, es aquella persona que es especialista en cierta área y que puede dar testimonio de lo que ha percibido por medio de su especial conocimiento y tratamiento que ha brindado, es decir eventualmente un psicólogo podría ser llamado como perito testigo ante el tribunal, tanto en la etapa oral, como durante su investigación, pero no irá a presentar un peritaje sino a declarar sobre lo que percibió o percibe en el caso.</w:t>
      </w:r>
    </w:p>
    <w:p w:rsidR="00E10347" w:rsidRPr="00E10347" w:rsidRDefault="00E10347" w:rsidP="00E10347">
      <w:pPr>
        <w:ind w:firstLine="360"/>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 xml:space="preserve">Generalmente hasta dos dictámenes u opiniones de profesionales son permitidos por el tribunal, sea en su calidad de peritos, o bien de testigos, en razón del tratamiento brindando al paciente. </w:t>
      </w:r>
    </w:p>
    <w:p w:rsidR="00E10347" w:rsidRPr="00E10347" w:rsidRDefault="00E10347" w:rsidP="00E10347">
      <w:pPr>
        <w:ind w:firstLine="360"/>
        <w:jc w:val="both"/>
        <w:rPr>
          <w:rFonts w:ascii="Palatino Linotype" w:eastAsia="Calibri" w:hAnsi="Palatino Linotype"/>
          <w:sz w:val="21"/>
          <w:szCs w:val="21"/>
          <w:lang w:eastAsia="es-ES_tradnl"/>
        </w:rPr>
      </w:pPr>
      <w:r w:rsidRPr="00E10347">
        <w:rPr>
          <w:rFonts w:ascii="Palatino Linotype" w:eastAsia="Calibri" w:hAnsi="Palatino Linotype"/>
          <w:sz w:val="21"/>
          <w:szCs w:val="21"/>
          <w:lang w:eastAsia="es-ES_tradnl"/>
        </w:rPr>
        <w:t>Hay que anotar que en ocasiones existen extralimitaciones evidentes tanto del tribunal como de las partes en cuanto a las expectativas de la participación de los expertos en la búsqueda de la verdad real de los hechos, en contraposición a la actitud responsablemente cautelosa y apegada a la valoración estrictamente científico-técnica que debe desarrollo tanto el perito como el testigo en su calidad de experto.</w:t>
      </w:r>
    </w:p>
    <w:p w:rsidR="003A0C35" w:rsidRDefault="003A0C35" w:rsidP="00E10347">
      <w:pPr>
        <w:jc w:val="center"/>
        <w:rPr>
          <w:rFonts w:ascii="Palatino Linotype" w:hAnsi="Palatino Linotype"/>
          <w:b/>
          <w:sz w:val="21"/>
          <w:szCs w:val="21"/>
          <w:u w:val="single"/>
          <w:lang w:val="es-MX"/>
        </w:rPr>
      </w:pPr>
    </w:p>
    <w:p w:rsidR="00E10347" w:rsidRPr="00E10347" w:rsidRDefault="00E10347" w:rsidP="00E10347">
      <w:pPr>
        <w:jc w:val="center"/>
        <w:rPr>
          <w:rFonts w:ascii="Palatino Linotype" w:hAnsi="Palatino Linotype"/>
          <w:b/>
          <w:sz w:val="21"/>
          <w:szCs w:val="21"/>
          <w:u w:val="single"/>
          <w:lang w:val="es-MX"/>
        </w:rPr>
      </w:pPr>
      <w:r w:rsidRPr="00E10347">
        <w:rPr>
          <w:rFonts w:ascii="Palatino Linotype" w:hAnsi="Palatino Linotype"/>
          <w:b/>
          <w:sz w:val="21"/>
          <w:szCs w:val="21"/>
          <w:u w:val="single"/>
          <w:lang w:val="es-MX"/>
        </w:rPr>
        <w:t>CONCLUSIONES</w:t>
      </w:r>
    </w:p>
    <w:p w:rsidR="00E10347" w:rsidRPr="00E10347" w:rsidRDefault="00E10347" w:rsidP="00E10347">
      <w:pPr>
        <w:ind w:firstLine="708"/>
        <w:jc w:val="both"/>
        <w:rPr>
          <w:rFonts w:ascii="Palatino Linotype" w:hAnsi="Palatino Linotype"/>
          <w:sz w:val="21"/>
          <w:szCs w:val="21"/>
          <w:lang w:val="es-MX"/>
        </w:rPr>
      </w:pPr>
      <w:r w:rsidRPr="00E10347">
        <w:rPr>
          <w:rFonts w:ascii="Palatino Linotype" w:hAnsi="Palatino Linotype"/>
          <w:sz w:val="21"/>
          <w:szCs w:val="21"/>
          <w:lang w:val="es-MX"/>
        </w:rPr>
        <w:t xml:space="preserve">La labor del Perito y del Consultor Técnico no puede improvisarse, especialmente si esta sirve para ilustrar sobre un tema especifico en el juicio respectivo, por lo que quien realiza dicha tarea debe haber adquirido vastos conocimientos en un determinado campo de la ciencia la que solo puede conseguir con la especialización. </w:t>
      </w:r>
    </w:p>
    <w:p w:rsidR="00E10347" w:rsidRPr="00E10347" w:rsidRDefault="00E10347" w:rsidP="00E10347">
      <w:pPr>
        <w:ind w:firstLine="708"/>
        <w:jc w:val="both"/>
        <w:rPr>
          <w:rFonts w:ascii="Palatino Linotype" w:hAnsi="Palatino Linotype"/>
          <w:sz w:val="21"/>
          <w:szCs w:val="21"/>
          <w:lang w:val="es-MX"/>
        </w:rPr>
      </w:pPr>
      <w:r w:rsidRPr="00E10347">
        <w:rPr>
          <w:rFonts w:ascii="Palatino Linotype" w:hAnsi="Palatino Linotype"/>
          <w:sz w:val="21"/>
          <w:szCs w:val="21"/>
          <w:lang w:val="es-MX"/>
        </w:rPr>
        <w:t xml:space="preserve">Al ser el Perito un auxiliar para la justicia, dicha especialización debe encausarse en la aplicación de las nociones científicas al campo jurisdiccional. </w:t>
      </w:r>
    </w:p>
    <w:p w:rsidR="00E10347" w:rsidRPr="00E10347" w:rsidRDefault="00E10347" w:rsidP="00E10347">
      <w:pPr>
        <w:ind w:firstLine="708"/>
        <w:jc w:val="both"/>
        <w:rPr>
          <w:rFonts w:ascii="Palatino Linotype" w:hAnsi="Palatino Linotype"/>
          <w:sz w:val="21"/>
          <w:szCs w:val="21"/>
          <w:lang w:val="es-MX"/>
        </w:rPr>
      </w:pPr>
      <w:r w:rsidRPr="00E10347">
        <w:rPr>
          <w:rFonts w:ascii="Palatino Linotype" w:hAnsi="Palatino Linotype"/>
          <w:sz w:val="21"/>
          <w:szCs w:val="21"/>
          <w:lang w:val="es-MX"/>
        </w:rPr>
        <w:t xml:space="preserve">Es por esta razón que los colegios profesionales deben velar por la preparación de sus profesionales, impulsando programas de especialidades orientadas al campo forense.  </w:t>
      </w:r>
    </w:p>
    <w:p w:rsidR="00E10347" w:rsidRPr="00E10347" w:rsidRDefault="00E10347" w:rsidP="00E10347">
      <w:pPr>
        <w:ind w:firstLine="708"/>
        <w:jc w:val="both"/>
        <w:rPr>
          <w:rFonts w:ascii="Palatino Linotype" w:hAnsi="Palatino Linotype"/>
          <w:sz w:val="21"/>
          <w:szCs w:val="21"/>
          <w:lang w:val="es-MX"/>
        </w:rPr>
      </w:pPr>
      <w:r w:rsidRPr="00E10347">
        <w:rPr>
          <w:rFonts w:ascii="Palatino Linotype" w:hAnsi="Palatino Linotype"/>
          <w:sz w:val="21"/>
          <w:szCs w:val="21"/>
          <w:lang w:val="es-MX"/>
        </w:rPr>
        <w:t xml:space="preserve">Se debería agilizar el trámite en Costa Rica y propiamente en el Poder </w:t>
      </w:r>
      <w:r w:rsidRPr="00E10347">
        <w:rPr>
          <w:rFonts w:ascii="Palatino Linotype" w:hAnsi="Palatino Linotype"/>
          <w:sz w:val="21"/>
          <w:szCs w:val="21"/>
          <w:lang w:val="es-MX"/>
        </w:rPr>
        <w:lastRenderedPageBreak/>
        <w:t xml:space="preserve">Judicial para el registro de peritos, haciéndolo menos engorroso. </w:t>
      </w:r>
    </w:p>
    <w:p w:rsidR="003A0C35" w:rsidRDefault="00E10347" w:rsidP="003A0C35">
      <w:pPr>
        <w:ind w:firstLine="708"/>
        <w:jc w:val="both"/>
        <w:rPr>
          <w:rFonts w:ascii="Palatino Linotype" w:hAnsi="Palatino Linotype"/>
          <w:sz w:val="21"/>
          <w:szCs w:val="21"/>
          <w:lang w:val="es-MX"/>
        </w:rPr>
      </w:pPr>
      <w:r w:rsidRPr="00E10347">
        <w:rPr>
          <w:rFonts w:ascii="Palatino Linotype" w:hAnsi="Palatino Linotype"/>
          <w:sz w:val="21"/>
          <w:szCs w:val="21"/>
          <w:lang w:val="es-MX"/>
        </w:rPr>
        <w:t>Igualmente, se debería hacer más expedito el pago por las labores realizadas por dichos profesionales, así como elevar la remuneración a dichos expertos, la cual debe estar acorde con el salario que ellos ganan en sus ocupaciones normales, esto vendría a estimular el interés para muchos profesionales a querer ingresar a dichos listados oficiales.</w:t>
      </w:r>
      <w:r w:rsidR="003A0C35">
        <w:rPr>
          <w:rFonts w:ascii="Palatino Linotype" w:hAnsi="Palatino Linotype"/>
          <w:sz w:val="21"/>
          <w:szCs w:val="21"/>
          <w:lang w:val="es-MX"/>
        </w:rPr>
        <w:t xml:space="preserve">  </w:t>
      </w:r>
    </w:p>
    <w:p w:rsidR="00E10347" w:rsidRPr="003A0C35" w:rsidRDefault="00E10347" w:rsidP="003A0C35">
      <w:pPr>
        <w:ind w:firstLine="360"/>
        <w:jc w:val="both"/>
        <w:rPr>
          <w:rFonts w:ascii="Palatino Linotype" w:hAnsi="Palatino Linotype"/>
          <w:sz w:val="21"/>
          <w:szCs w:val="21"/>
          <w:lang w:val="es-CR"/>
        </w:rPr>
      </w:pPr>
      <w:r w:rsidRPr="003A0C35">
        <w:rPr>
          <w:rFonts w:ascii="Palatino Linotype" w:hAnsi="Palatino Linotype"/>
          <w:sz w:val="21"/>
          <w:szCs w:val="21"/>
          <w:lang w:val="es-CR"/>
        </w:rPr>
        <w:t>No todos los colegios profesionales por su parte, no poseen un listado de profesionales especialistas en distintos campos, pero en los que sí existen, deberían ser prioritariamente los nombrados por la Dirección Ejecutiva del Poder Judicial, salvo casos fundamentados de inopia, y no como sucede en la actualidad que no se exigen especializaciones respectivas para laborar de forma especializada en el campo Forense.</w:t>
      </w:r>
    </w:p>
    <w:p w:rsidR="00E10347" w:rsidRPr="00E10347" w:rsidRDefault="00E10347" w:rsidP="003A0C35">
      <w:pPr>
        <w:ind w:firstLine="360"/>
        <w:jc w:val="both"/>
        <w:rPr>
          <w:rFonts w:ascii="Palatino Linotype" w:eastAsia="Calibri" w:hAnsi="Palatino Linotype"/>
          <w:bCs/>
          <w:kern w:val="32"/>
          <w:sz w:val="21"/>
          <w:szCs w:val="21"/>
          <w:u w:val="single"/>
          <w:lang w:val="es-CR" w:eastAsia="es-CR"/>
        </w:rPr>
      </w:pPr>
      <w:r w:rsidRPr="00E10347">
        <w:rPr>
          <w:rFonts w:ascii="Palatino Linotype" w:eastAsia="Calibri" w:hAnsi="Palatino Linotype"/>
          <w:bCs/>
          <w:kern w:val="32"/>
          <w:sz w:val="21"/>
          <w:szCs w:val="21"/>
          <w:u w:val="single"/>
          <w:lang w:val="es-CR" w:eastAsia="es-CR"/>
        </w:rPr>
        <w:t xml:space="preserve">El Consultor Técnico no es un perito externo, sino que más bien realiza una labor de asesoría a favor de la parte que lo utiliza, sobre cierto tipo de materia que implica necesariamente un conocimiento especializado, </w:t>
      </w:r>
      <w:r w:rsidRPr="00E10347">
        <w:rPr>
          <w:rFonts w:ascii="Palatino Linotype" w:eastAsia="Calibri" w:hAnsi="Palatino Linotype"/>
          <w:bCs/>
          <w:kern w:val="32"/>
          <w:sz w:val="21"/>
          <w:szCs w:val="21"/>
          <w:lang w:val="es-CR" w:eastAsia="es-CR"/>
        </w:rPr>
        <w:t>sobre todo cuando el delito se ha cometido en el ejercicio de alguna otra profesión ajena a la abogacía.</w:t>
      </w:r>
    </w:p>
    <w:p w:rsidR="00E10347" w:rsidRPr="00E10347" w:rsidRDefault="00E10347" w:rsidP="003A0C35">
      <w:pPr>
        <w:ind w:firstLine="360"/>
        <w:jc w:val="both"/>
        <w:rPr>
          <w:rFonts w:ascii="Palatino Linotype" w:eastAsia="Calibri" w:hAnsi="Palatino Linotype"/>
          <w:bCs/>
          <w:kern w:val="32"/>
          <w:sz w:val="21"/>
          <w:szCs w:val="21"/>
          <w:lang w:val="es-CR" w:eastAsia="es-CR"/>
        </w:rPr>
      </w:pPr>
      <w:r w:rsidRPr="00E10347">
        <w:rPr>
          <w:rFonts w:ascii="Palatino Linotype" w:eastAsia="Calibri" w:hAnsi="Palatino Linotype"/>
          <w:bCs/>
          <w:kern w:val="32"/>
          <w:sz w:val="21"/>
          <w:szCs w:val="21"/>
          <w:lang w:val="es-CR" w:eastAsia="es-CR"/>
        </w:rPr>
        <w:t xml:space="preserve">El consultor ayuda a las partes, les aconseja e incluso tiene la posibilidad de ser él quien interroga a los peritos en juicio. </w:t>
      </w:r>
    </w:p>
    <w:p w:rsidR="00E10347" w:rsidRPr="00E10347" w:rsidRDefault="00E10347" w:rsidP="00E10347">
      <w:pPr>
        <w:ind w:firstLine="360"/>
        <w:jc w:val="both"/>
        <w:rPr>
          <w:rFonts w:ascii="Palatino Linotype" w:eastAsia="Calibri" w:hAnsi="Palatino Linotype"/>
          <w:bCs/>
          <w:kern w:val="32"/>
          <w:sz w:val="21"/>
          <w:szCs w:val="21"/>
          <w:lang w:val="es-CR" w:eastAsia="es-CR"/>
        </w:rPr>
      </w:pPr>
      <w:r w:rsidRPr="00E10347">
        <w:rPr>
          <w:rFonts w:ascii="Palatino Linotype" w:eastAsia="Calibri" w:hAnsi="Palatino Linotype"/>
          <w:bCs/>
          <w:kern w:val="32"/>
          <w:sz w:val="21"/>
          <w:szCs w:val="21"/>
          <w:lang w:val="es-CR" w:eastAsia="es-CR"/>
        </w:rPr>
        <w:t>Tiene la oportunidad de estar presente en la realización del peritaje. (Art.217 párrafo 2).</w:t>
      </w:r>
    </w:p>
    <w:p w:rsidR="00E10347" w:rsidRPr="00E10347" w:rsidRDefault="00E10347" w:rsidP="00E10347">
      <w:pPr>
        <w:ind w:firstLine="360"/>
        <w:jc w:val="both"/>
        <w:rPr>
          <w:rFonts w:ascii="Palatino Linotype" w:eastAsia="Calibri" w:hAnsi="Palatino Linotype"/>
          <w:bCs/>
          <w:kern w:val="32"/>
          <w:sz w:val="21"/>
          <w:szCs w:val="21"/>
          <w:lang w:val="es-CR" w:eastAsia="es-CR"/>
        </w:rPr>
      </w:pPr>
      <w:r w:rsidRPr="00E10347">
        <w:rPr>
          <w:rFonts w:ascii="Palatino Linotype" w:eastAsia="Calibri" w:hAnsi="Palatino Linotype"/>
          <w:bCs/>
          <w:kern w:val="32"/>
          <w:sz w:val="21"/>
          <w:szCs w:val="21"/>
          <w:lang w:val="es-CR" w:eastAsia="es-CR"/>
        </w:rPr>
        <w:t>Se regirá por las mismas reglas aplicables a los peritos sin que asuman la misma naturaleza de éstos. (Art. 213 a 218 C.P.P).</w:t>
      </w:r>
    </w:p>
    <w:p w:rsidR="00E10347" w:rsidRPr="00E10347" w:rsidRDefault="00E10347" w:rsidP="00E10347">
      <w:pPr>
        <w:ind w:firstLine="360"/>
        <w:jc w:val="both"/>
        <w:rPr>
          <w:rFonts w:ascii="Palatino Linotype" w:eastAsia="Calibri" w:hAnsi="Palatino Linotype"/>
          <w:bCs/>
          <w:kern w:val="32"/>
          <w:sz w:val="21"/>
          <w:szCs w:val="21"/>
          <w:lang w:val="es-CR" w:eastAsia="es-CR"/>
        </w:rPr>
      </w:pPr>
      <w:r w:rsidRPr="00E10347">
        <w:rPr>
          <w:rFonts w:ascii="Palatino Linotype" w:eastAsia="Calibri" w:hAnsi="Palatino Linotype"/>
          <w:bCs/>
          <w:kern w:val="32"/>
          <w:sz w:val="21"/>
          <w:szCs w:val="21"/>
          <w:lang w:val="es-CR" w:eastAsia="es-CR"/>
        </w:rPr>
        <w:t>Podrá interrogar a los peritos (126 C.P.P), hacer observaciones con respecto al peritaje (218 párrafo 2 C.P.P) y participar en la discusión final del juicio oral y público. Incluso puede participar en la emisión de las conclusiones.</w:t>
      </w:r>
    </w:p>
    <w:p w:rsidR="00E10347" w:rsidRPr="00E10347" w:rsidRDefault="00E10347" w:rsidP="00E10347">
      <w:pPr>
        <w:ind w:firstLine="360"/>
        <w:jc w:val="both"/>
        <w:rPr>
          <w:rFonts w:ascii="Palatino Linotype" w:eastAsia="Calibri" w:hAnsi="Palatino Linotype"/>
          <w:bCs/>
          <w:kern w:val="32"/>
          <w:sz w:val="21"/>
          <w:szCs w:val="21"/>
          <w:lang w:val="es-CR" w:eastAsia="es-CR"/>
        </w:rPr>
      </w:pPr>
      <w:r w:rsidRPr="00E10347">
        <w:rPr>
          <w:rFonts w:ascii="Palatino Linotype" w:eastAsia="Calibri" w:hAnsi="Palatino Linotype"/>
          <w:bCs/>
          <w:kern w:val="32"/>
          <w:sz w:val="21"/>
          <w:szCs w:val="21"/>
          <w:lang w:val="es-CR" w:eastAsia="es-CR"/>
        </w:rPr>
        <w:t>Su participación no se reduce a un peritaje en particular.</w:t>
      </w:r>
    </w:p>
    <w:p w:rsidR="00E10347" w:rsidRPr="00E10347" w:rsidRDefault="00E10347" w:rsidP="00E10347">
      <w:pPr>
        <w:ind w:firstLine="360"/>
        <w:jc w:val="both"/>
        <w:rPr>
          <w:rFonts w:ascii="Palatino Linotype" w:eastAsia="Calibri" w:hAnsi="Palatino Linotype"/>
          <w:bCs/>
          <w:kern w:val="32"/>
          <w:sz w:val="21"/>
          <w:szCs w:val="21"/>
          <w:u w:val="single"/>
          <w:lang w:val="es-CR" w:eastAsia="es-CR"/>
        </w:rPr>
      </w:pPr>
      <w:r w:rsidRPr="00E10347">
        <w:rPr>
          <w:rFonts w:ascii="Palatino Linotype" w:eastAsia="Calibri" w:hAnsi="Palatino Linotype"/>
          <w:bCs/>
          <w:kern w:val="32"/>
          <w:sz w:val="21"/>
          <w:szCs w:val="21"/>
          <w:lang w:val="es-CR" w:eastAsia="es-CR"/>
        </w:rPr>
        <w:t>Al no contar la Dirección Ejecutiva de la Corte Suprema de Justicia con una lista clasificada de consultores, se ha estado utilizando hasta el momento la misma lista de peritos externos.</w:t>
      </w:r>
    </w:p>
    <w:p w:rsidR="003A0C35" w:rsidRDefault="003A0C35">
      <w:pPr>
        <w:widowControl/>
        <w:autoSpaceDE/>
        <w:autoSpaceDN/>
        <w:adjustRightInd/>
        <w:rPr>
          <w:rFonts w:ascii="Palatino Linotype" w:eastAsia="Times New Roman" w:hAnsi="Palatino Linotype" w:cs="Times New Roman"/>
          <w:b/>
          <w:bCs/>
          <w:sz w:val="21"/>
          <w:szCs w:val="21"/>
          <w:lang w:val="es-CR"/>
        </w:rPr>
      </w:pPr>
      <w:r>
        <w:rPr>
          <w:rFonts w:ascii="Palatino Linotype" w:hAnsi="Palatino Linotype"/>
          <w:sz w:val="21"/>
          <w:szCs w:val="21"/>
          <w:lang w:val="es-CR"/>
        </w:rPr>
        <w:br w:type="page"/>
      </w:r>
    </w:p>
    <w:p w:rsidR="00E10347" w:rsidRPr="00E10347" w:rsidRDefault="00E10347" w:rsidP="00E10347">
      <w:pPr>
        <w:pStyle w:val="Ttulo4"/>
        <w:spacing w:before="0" w:after="0"/>
        <w:jc w:val="center"/>
        <w:rPr>
          <w:rFonts w:ascii="Palatino Linotype" w:hAnsi="Palatino Linotype"/>
          <w:sz w:val="21"/>
          <w:szCs w:val="21"/>
          <w:lang w:val="es-CR"/>
        </w:rPr>
      </w:pPr>
      <w:r w:rsidRPr="00E10347">
        <w:rPr>
          <w:rFonts w:ascii="Palatino Linotype" w:hAnsi="Palatino Linotype"/>
          <w:sz w:val="21"/>
          <w:szCs w:val="21"/>
          <w:lang w:val="es-CR"/>
        </w:rPr>
        <w:lastRenderedPageBreak/>
        <w:t>BIBLIOGRAFÍA</w:t>
      </w:r>
    </w:p>
    <w:p w:rsidR="00E10347" w:rsidRPr="00E10347" w:rsidRDefault="00E10347" w:rsidP="00E10347">
      <w:pPr>
        <w:rPr>
          <w:rFonts w:ascii="Palatino Linotype" w:hAnsi="Palatino Linotype"/>
          <w:sz w:val="21"/>
          <w:szCs w:val="21"/>
          <w:lang w:val="es-ES_tradnl"/>
        </w:rPr>
      </w:pPr>
    </w:p>
    <w:p w:rsidR="00E10347" w:rsidRPr="00E10347" w:rsidRDefault="00E10347" w:rsidP="00E10347">
      <w:pPr>
        <w:rPr>
          <w:rFonts w:ascii="Palatino Linotype" w:hAnsi="Palatino Linotype"/>
          <w:sz w:val="21"/>
          <w:szCs w:val="21"/>
          <w:lang w:val="es-MX"/>
        </w:rPr>
      </w:pPr>
      <w:r w:rsidRPr="00E10347">
        <w:rPr>
          <w:rFonts w:ascii="Palatino Linotype" w:hAnsi="Palatino Linotype"/>
          <w:b/>
          <w:sz w:val="21"/>
          <w:szCs w:val="21"/>
          <w:u w:val="single"/>
          <w:lang w:val="es-MX"/>
        </w:rPr>
        <w:t>LIBROS</w:t>
      </w:r>
      <w:r w:rsidRPr="00E10347">
        <w:rPr>
          <w:rFonts w:ascii="Palatino Linotype" w:hAnsi="Palatino Linotype"/>
          <w:sz w:val="21"/>
          <w:szCs w:val="21"/>
          <w:lang w:val="es-MX"/>
        </w:rPr>
        <w:t>:</w:t>
      </w:r>
    </w:p>
    <w:p w:rsidR="00E10347" w:rsidRPr="00EA7DD2" w:rsidRDefault="00E10347" w:rsidP="00E10347">
      <w:pPr>
        <w:jc w:val="both"/>
        <w:rPr>
          <w:rFonts w:ascii="Palatino Linotype" w:hAnsi="Palatino Linotype"/>
          <w:sz w:val="21"/>
          <w:szCs w:val="21"/>
          <w:lang w:val="es-MX"/>
        </w:rPr>
      </w:pPr>
      <w:r w:rsidRPr="00EA7DD2">
        <w:rPr>
          <w:rFonts w:ascii="Palatino Linotype" w:hAnsi="Palatino Linotype"/>
          <w:sz w:val="21"/>
          <w:szCs w:val="21"/>
          <w:lang w:val="es-MX"/>
        </w:rPr>
        <w:t>BURGOS, ÁLVARO y ROJAS, JOSÉ.  “Testigo, Perito y Consultor Técnico en el Proceso Penal,”  Editorial Investigaciones Jurídicas S.A., San José, 2015.</w:t>
      </w:r>
    </w:p>
    <w:p w:rsidR="00E10347" w:rsidRPr="00EA7DD2" w:rsidRDefault="00E10347" w:rsidP="00E10347">
      <w:pPr>
        <w:jc w:val="both"/>
        <w:rPr>
          <w:rFonts w:ascii="Palatino Linotype" w:hAnsi="Palatino Linotype"/>
          <w:sz w:val="21"/>
          <w:szCs w:val="21"/>
          <w:lang w:val="es-MX"/>
        </w:rPr>
      </w:pPr>
      <w:r w:rsidRPr="00EA7DD2">
        <w:rPr>
          <w:rFonts w:ascii="Palatino Linotype" w:hAnsi="Palatino Linotype"/>
          <w:sz w:val="21"/>
          <w:szCs w:val="21"/>
          <w:lang w:val="es-MX"/>
        </w:rPr>
        <w:t>CAFERATA NORES,  José I., “La Prueba en el Proceso Penal,”  4ta. Edición, Ed. Depalma, Buenos Aires, 2001.</w:t>
      </w:r>
    </w:p>
    <w:p w:rsidR="00E10347" w:rsidRPr="00EA7DD2" w:rsidRDefault="00E10347" w:rsidP="00E10347">
      <w:pPr>
        <w:jc w:val="both"/>
        <w:rPr>
          <w:rFonts w:ascii="Palatino Linotype" w:hAnsi="Palatino Linotype"/>
          <w:sz w:val="21"/>
          <w:szCs w:val="21"/>
          <w:lang w:val="es-MX"/>
        </w:rPr>
      </w:pPr>
      <w:r w:rsidRPr="00EA7DD2">
        <w:rPr>
          <w:rFonts w:ascii="Palatino Linotype" w:hAnsi="Palatino Linotype"/>
          <w:sz w:val="21"/>
          <w:szCs w:val="21"/>
          <w:lang w:val="es-MX"/>
        </w:rPr>
        <w:t>CARNELUTTI FRANCESCO, “DERECHO PROCESAL CIVIL Y PENAL”, EDITORIAL Ediciones jurídicas EUROPA-AMÉRICA, tomo II, Buenos aires, 1971.</w:t>
      </w:r>
    </w:p>
    <w:p w:rsidR="00E10347" w:rsidRPr="00EA7DD2" w:rsidRDefault="00E10347" w:rsidP="00E10347">
      <w:pPr>
        <w:jc w:val="both"/>
        <w:rPr>
          <w:rFonts w:ascii="Palatino Linotype" w:hAnsi="Palatino Linotype"/>
          <w:sz w:val="21"/>
          <w:szCs w:val="21"/>
        </w:rPr>
      </w:pPr>
      <w:r w:rsidRPr="00EA7DD2">
        <w:rPr>
          <w:rFonts w:ascii="Palatino Linotype" w:hAnsi="Palatino Linotype"/>
          <w:sz w:val="21"/>
          <w:szCs w:val="21"/>
        </w:rPr>
        <w:t>CASTILLO GONZALES FRANCISCO. “ Posición del perito en el proceso penal costarricense” Revista de ciencias jurídicas, número 34, san José Costa Rica, enero-abril, 1978.</w:t>
      </w:r>
    </w:p>
    <w:p w:rsidR="00E10347" w:rsidRPr="00EA7DD2" w:rsidRDefault="00E10347" w:rsidP="00E10347">
      <w:pPr>
        <w:jc w:val="both"/>
        <w:rPr>
          <w:rFonts w:ascii="Palatino Linotype" w:hAnsi="Palatino Linotype"/>
          <w:sz w:val="21"/>
          <w:szCs w:val="21"/>
          <w:lang w:val="es-MX"/>
        </w:rPr>
      </w:pPr>
      <w:r w:rsidRPr="00EA7DD2">
        <w:rPr>
          <w:rFonts w:ascii="Palatino Linotype" w:hAnsi="Palatino Linotype"/>
          <w:sz w:val="21"/>
          <w:szCs w:val="21"/>
        </w:rPr>
        <w:t>BELLOCH JULBE, JUAN ALBERTO, “Cuadernos de derecho judicial.-La prueba indiciaria.” Editorial Consejo General del Poder judicial, Revista No. 13, Madrid, 1992.</w:t>
      </w:r>
    </w:p>
    <w:p w:rsidR="00E10347" w:rsidRPr="00EA7DD2" w:rsidRDefault="00E10347" w:rsidP="00E10347">
      <w:pPr>
        <w:jc w:val="both"/>
        <w:rPr>
          <w:rFonts w:ascii="Palatino Linotype" w:hAnsi="Palatino Linotype"/>
          <w:sz w:val="21"/>
          <w:szCs w:val="21"/>
          <w:lang w:val="es-MX"/>
        </w:rPr>
      </w:pPr>
      <w:r w:rsidRPr="00EA7DD2">
        <w:rPr>
          <w:rFonts w:ascii="Palatino Linotype" w:hAnsi="Palatino Linotype"/>
          <w:sz w:val="21"/>
          <w:szCs w:val="21"/>
          <w:lang w:val="es-MX"/>
        </w:rPr>
        <w:t>CRUZ CUELLAR, ENTRALGO FERNÁNDEZ, ”DERECHO PROCESAL PENAL DE HONDURAS(Manual Teórico-Práctico”.</w:t>
      </w:r>
    </w:p>
    <w:p w:rsidR="00E10347" w:rsidRPr="00EA7DD2" w:rsidRDefault="00E10347" w:rsidP="00E10347">
      <w:pPr>
        <w:jc w:val="both"/>
        <w:rPr>
          <w:rFonts w:ascii="Palatino Linotype" w:hAnsi="Palatino Linotype"/>
          <w:sz w:val="21"/>
          <w:szCs w:val="21"/>
          <w:lang w:val="es-MX"/>
        </w:rPr>
      </w:pPr>
      <w:r w:rsidRPr="00EA7DD2">
        <w:rPr>
          <w:rFonts w:ascii="Palatino Linotype" w:hAnsi="Palatino Linotype"/>
          <w:sz w:val="21"/>
          <w:szCs w:val="21"/>
          <w:lang w:val="es-MX"/>
        </w:rPr>
        <w:t xml:space="preserve">DEVIS ECHANDÍA, H., “Teoría General de la Prueba Judicial,” </w:t>
      </w:r>
      <w:r w:rsidR="003A0C35" w:rsidRPr="00EA7DD2">
        <w:rPr>
          <w:rFonts w:ascii="Palatino Linotype" w:hAnsi="Palatino Linotype"/>
          <w:sz w:val="21"/>
          <w:szCs w:val="21"/>
          <w:lang w:val="es-MX"/>
        </w:rPr>
        <w:t>editorial Zavalía, Buenos Aires</w:t>
      </w:r>
      <w:r w:rsidRPr="00EA7DD2">
        <w:rPr>
          <w:rFonts w:ascii="Palatino Linotype" w:hAnsi="Palatino Linotype"/>
          <w:sz w:val="21"/>
          <w:szCs w:val="21"/>
          <w:lang w:val="es-MX"/>
        </w:rPr>
        <w:t>.</w:t>
      </w:r>
    </w:p>
    <w:p w:rsidR="00E10347" w:rsidRPr="00EA7DD2" w:rsidRDefault="00E10347" w:rsidP="00E10347">
      <w:pPr>
        <w:pStyle w:val="Textoindependiente3"/>
        <w:spacing w:line="240" w:lineRule="auto"/>
        <w:rPr>
          <w:rFonts w:ascii="Palatino Linotype" w:hAnsi="Palatino Linotype"/>
          <w:sz w:val="21"/>
          <w:szCs w:val="21"/>
        </w:rPr>
      </w:pPr>
      <w:r w:rsidRPr="00EA7DD2">
        <w:rPr>
          <w:rFonts w:ascii="Palatino Linotype" w:hAnsi="Palatino Linotype"/>
          <w:sz w:val="21"/>
          <w:szCs w:val="21"/>
        </w:rPr>
        <w:t>DOMÍNGUEZ IZQUIERDO, EVA M., “El falso testimonio de testigos , peritos e interpretes”, editorial Editoriales de Derecho Reunidas, S.A., Madrid, octubre 2002. Pág. 238.</w:t>
      </w:r>
    </w:p>
    <w:p w:rsidR="00E10347" w:rsidRPr="00EA7DD2" w:rsidRDefault="00E10347" w:rsidP="00E10347">
      <w:pPr>
        <w:jc w:val="both"/>
        <w:rPr>
          <w:rFonts w:ascii="Palatino Linotype" w:hAnsi="Palatino Linotype"/>
          <w:sz w:val="21"/>
          <w:szCs w:val="21"/>
          <w:lang w:val="es-MX"/>
        </w:rPr>
      </w:pPr>
      <w:r w:rsidRPr="00EA7DD2">
        <w:rPr>
          <w:rFonts w:ascii="Palatino Linotype" w:hAnsi="Palatino Linotype"/>
          <w:sz w:val="21"/>
          <w:szCs w:val="21"/>
        </w:rPr>
        <w:t>FALCÓN, ENRIQUE, “TRATADO DE LA PRUEBA”, editorial ASTREA, tomo I, Buenos Aires, 2003.</w:t>
      </w:r>
    </w:p>
    <w:p w:rsidR="00E10347" w:rsidRPr="00EA7DD2" w:rsidRDefault="00E10347" w:rsidP="00E10347">
      <w:pPr>
        <w:jc w:val="both"/>
        <w:rPr>
          <w:rFonts w:ascii="Palatino Linotype" w:hAnsi="Palatino Linotype"/>
          <w:sz w:val="21"/>
          <w:szCs w:val="21"/>
          <w:lang w:val="es-MX"/>
        </w:rPr>
      </w:pPr>
      <w:r w:rsidRPr="00EA7DD2">
        <w:rPr>
          <w:rFonts w:ascii="Palatino Linotype" w:hAnsi="Palatino Linotype"/>
          <w:sz w:val="21"/>
          <w:szCs w:val="21"/>
          <w:lang w:val="es-MX"/>
        </w:rPr>
        <w:t>GONZÁLEZ, GINA, “La Prueba Pericial”, Manual De Derecho Procesal Hondureño, Pág. 212,   Tomo I, II Edición, Ed. ENAG, Honduras,  2003</w:t>
      </w:r>
    </w:p>
    <w:p w:rsidR="00E10347" w:rsidRPr="00EA7DD2" w:rsidRDefault="00E10347" w:rsidP="00E10347">
      <w:pPr>
        <w:jc w:val="both"/>
        <w:rPr>
          <w:rFonts w:ascii="Palatino Linotype" w:hAnsi="Palatino Linotype"/>
          <w:sz w:val="21"/>
          <w:szCs w:val="21"/>
        </w:rPr>
      </w:pPr>
      <w:r w:rsidRPr="00EA7DD2">
        <w:rPr>
          <w:rFonts w:ascii="Palatino Linotype" w:hAnsi="Palatino Linotype"/>
          <w:sz w:val="21"/>
          <w:szCs w:val="21"/>
        </w:rPr>
        <w:t>JUNOY I., Puco J., “Dictamen de los peritos” comentario a la nueva ley de enjuiciamiento civil de España, editorial Lex nova, tomo II, España, 2000.</w:t>
      </w:r>
    </w:p>
    <w:p w:rsidR="00E10347" w:rsidRPr="00EA7DD2" w:rsidRDefault="00E10347" w:rsidP="00E10347">
      <w:pPr>
        <w:jc w:val="both"/>
        <w:rPr>
          <w:rFonts w:ascii="Palatino Linotype" w:hAnsi="Palatino Linotype"/>
          <w:sz w:val="21"/>
          <w:szCs w:val="21"/>
          <w:lang w:val="es-MX"/>
        </w:rPr>
      </w:pPr>
      <w:r w:rsidRPr="00EA7DD2">
        <w:rPr>
          <w:rFonts w:ascii="Palatino Linotype" w:hAnsi="Palatino Linotype"/>
          <w:sz w:val="21"/>
          <w:szCs w:val="21"/>
          <w:lang w:val="es-MX"/>
        </w:rPr>
        <w:t>KIELMANOVICH, Jorge l., “TEORÍA DE LA PRUEBA Y MEDIOS PROBATORIOS”, editorial ABELEDO PERROT, Buenos Aires, 1996.</w:t>
      </w:r>
    </w:p>
    <w:p w:rsidR="00E10347" w:rsidRPr="00EA7DD2" w:rsidRDefault="00E10347" w:rsidP="00E10347">
      <w:pPr>
        <w:jc w:val="both"/>
        <w:rPr>
          <w:rFonts w:ascii="Palatino Linotype" w:hAnsi="Palatino Linotype"/>
          <w:sz w:val="21"/>
          <w:szCs w:val="21"/>
          <w:lang w:val="es-MX"/>
        </w:rPr>
      </w:pPr>
      <w:r w:rsidRPr="00EA7DD2">
        <w:rPr>
          <w:rFonts w:ascii="Palatino Linotype" w:hAnsi="Palatino Linotype"/>
          <w:sz w:val="21"/>
          <w:szCs w:val="21"/>
          <w:lang w:val="es-MX"/>
        </w:rPr>
        <w:t>MARCHIORI, Hilda, “ Sicología Criminal”, Pág. 8, 5ta. Edición, Ed. PORRUA, S.A.,    México,1985.</w:t>
      </w:r>
    </w:p>
    <w:p w:rsidR="00E10347" w:rsidRPr="00EA7DD2" w:rsidRDefault="00E10347" w:rsidP="00E10347">
      <w:pPr>
        <w:jc w:val="both"/>
        <w:rPr>
          <w:rFonts w:ascii="Palatino Linotype" w:hAnsi="Palatino Linotype"/>
          <w:sz w:val="21"/>
          <w:szCs w:val="21"/>
          <w:lang w:val="es-MX"/>
        </w:rPr>
      </w:pPr>
      <w:r w:rsidRPr="00EA7DD2">
        <w:rPr>
          <w:rFonts w:ascii="Palatino Linotype" w:hAnsi="Palatino Linotype"/>
          <w:sz w:val="21"/>
          <w:szCs w:val="21"/>
          <w:lang w:val="es-MX"/>
        </w:rPr>
        <w:t xml:space="preserve">MORENO Catena, Víctor, </w:t>
      </w:r>
      <w:r w:rsidRPr="00EA7DD2">
        <w:rPr>
          <w:rFonts w:ascii="Palatino Linotype" w:hAnsi="Palatino Linotype"/>
          <w:sz w:val="21"/>
          <w:szCs w:val="21"/>
          <w:u w:val="single"/>
          <w:lang w:val="es-MX"/>
        </w:rPr>
        <w:t>“Prueba Pericial en Derecho Procesal Penal”,</w:t>
      </w:r>
      <w:r w:rsidRPr="00EA7DD2">
        <w:rPr>
          <w:rFonts w:ascii="Palatino Linotype" w:hAnsi="Palatino Linotype"/>
          <w:sz w:val="21"/>
          <w:szCs w:val="21"/>
          <w:lang w:val="es-MX"/>
        </w:rPr>
        <w:t xml:space="preserve"> 2da. Ed., Colex, Madrid, 1997.</w:t>
      </w:r>
    </w:p>
    <w:p w:rsidR="00E10347" w:rsidRPr="00EA7DD2" w:rsidRDefault="00E10347" w:rsidP="00E10347">
      <w:pPr>
        <w:jc w:val="both"/>
        <w:rPr>
          <w:rFonts w:ascii="Palatino Linotype" w:hAnsi="Palatino Linotype"/>
          <w:sz w:val="21"/>
          <w:szCs w:val="21"/>
          <w:lang w:val="es-MX"/>
        </w:rPr>
      </w:pPr>
      <w:r w:rsidRPr="00EA7DD2">
        <w:rPr>
          <w:rFonts w:ascii="Palatino Linotype" w:hAnsi="Palatino Linotype"/>
          <w:sz w:val="21"/>
          <w:szCs w:val="21"/>
          <w:lang w:val="es-MX"/>
        </w:rPr>
        <w:t xml:space="preserve">PALACIOS, L, E., </w:t>
      </w:r>
      <w:r w:rsidRPr="00EA7DD2">
        <w:rPr>
          <w:rFonts w:ascii="Palatino Linotype" w:hAnsi="Palatino Linotype"/>
          <w:sz w:val="21"/>
          <w:szCs w:val="21"/>
          <w:u w:val="single"/>
          <w:lang w:val="es-MX"/>
        </w:rPr>
        <w:t>“Derecho Procesal Civil</w:t>
      </w:r>
      <w:r w:rsidRPr="00EA7DD2">
        <w:rPr>
          <w:rFonts w:ascii="Palatino Linotype" w:hAnsi="Palatino Linotype"/>
          <w:sz w:val="21"/>
          <w:szCs w:val="21"/>
          <w:lang w:val="es-MX"/>
        </w:rPr>
        <w:t xml:space="preserve">,” editorial ABELEDO-PERROT, Buenos </w:t>
      </w:r>
      <w:r w:rsidRPr="00EA7DD2">
        <w:rPr>
          <w:rFonts w:ascii="Palatino Linotype" w:hAnsi="Palatino Linotype"/>
          <w:sz w:val="21"/>
          <w:szCs w:val="21"/>
          <w:lang w:val="es-MX"/>
        </w:rPr>
        <w:lastRenderedPageBreak/>
        <w:t xml:space="preserve">aires, </w:t>
      </w:r>
    </w:p>
    <w:p w:rsidR="00E10347" w:rsidRPr="00EA7DD2" w:rsidRDefault="00E10347" w:rsidP="00E10347">
      <w:pPr>
        <w:jc w:val="both"/>
        <w:rPr>
          <w:rFonts w:ascii="Palatino Linotype" w:eastAsia="MS Mincho" w:hAnsi="Palatino Linotype"/>
          <w:sz w:val="21"/>
          <w:szCs w:val="21"/>
        </w:rPr>
      </w:pPr>
      <w:r w:rsidRPr="00EA7DD2">
        <w:rPr>
          <w:rFonts w:ascii="Palatino Linotype" w:eastAsia="MS Mincho" w:hAnsi="Palatino Linotype"/>
          <w:sz w:val="21"/>
          <w:szCs w:val="21"/>
        </w:rPr>
        <w:t>PATITO , JOSÉ A., “Tratado de medicina legal y elementos de patología forense” editorial Quórum, Argentina 2003. Pág. 94.</w:t>
      </w:r>
    </w:p>
    <w:p w:rsidR="00E10347" w:rsidRPr="00EA7DD2" w:rsidRDefault="00E10347" w:rsidP="00E10347">
      <w:pPr>
        <w:jc w:val="both"/>
        <w:rPr>
          <w:rFonts w:ascii="Palatino Linotype" w:hAnsi="Palatino Linotype"/>
          <w:sz w:val="21"/>
          <w:szCs w:val="21"/>
          <w:lang w:val="es-MX"/>
        </w:rPr>
      </w:pPr>
      <w:r w:rsidRPr="00EA7DD2">
        <w:rPr>
          <w:rFonts w:ascii="Palatino Linotype" w:hAnsi="Palatino Linotype"/>
          <w:sz w:val="21"/>
          <w:szCs w:val="21"/>
          <w:lang w:val="es-MX"/>
        </w:rPr>
        <w:t>VARELA, CASIMIRO: “</w:t>
      </w:r>
      <w:r w:rsidRPr="00EA7DD2">
        <w:rPr>
          <w:rFonts w:ascii="Palatino Linotype" w:hAnsi="Palatino Linotype"/>
          <w:sz w:val="21"/>
          <w:szCs w:val="21"/>
          <w:u w:val="single"/>
          <w:lang w:val="es-MX"/>
        </w:rPr>
        <w:t>Valoración de la Prueba</w:t>
      </w:r>
      <w:r w:rsidRPr="00EA7DD2">
        <w:rPr>
          <w:rFonts w:ascii="Palatino Linotype" w:hAnsi="Palatino Linotype"/>
          <w:sz w:val="21"/>
          <w:szCs w:val="21"/>
          <w:lang w:val="es-MX"/>
        </w:rPr>
        <w:t>”, Ed. Astrea, Buenos Aires, 1990.</w:t>
      </w:r>
    </w:p>
    <w:p w:rsidR="00E10347" w:rsidRPr="00EA7DD2" w:rsidRDefault="00E10347" w:rsidP="00E10347">
      <w:pPr>
        <w:rPr>
          <w:rFonts w:ascii="Palatino Linotype" w:hAnsi="Palatino Linotype"/>
          <w:sz w:val="21"/>
          <w:szCs w:val="21"/>
          <w:lang w:val="es-MX"/>
        </w:rPr>
      </w:pPr>
    </w:p>
    <w:p w:rsidR="00E10347" w:rsidRPr="00EA7DD2" w:rsidRDefault="00E10347" w:rsidP="00E10347">
      <w:pPr>
        <w:rPr>
          <w:rFonts w:ascii="Palatino Linotype" w:hAnsi="Palatino Linotype"/>
          <w:sz w:val="21"/>
          <w:szCs w:val="21"/>
          <w:lang w:val="es-MX"/>
        </w:rPr>
      </w:pPr>
      <w:r w:rsidRPr="00EA7DD2">
        <w:rPr>
          <w:rFonts w:ascii="Palatino Linotype" w:hAnsi="Palatino Linotype"/>
          <w:sz w:val="21"/>
          <w:szCs w:val="21"/>
          <w:u w:val="single"/>
          <w:lang w:val="es-MX"/>
        </w:rPr>
        <w:t>REVISTAS</w:t>
      </w:r>
      <w:r w:rsidRPr="00EA7DD2">
        <w:rPr>
          <w:rFonts w:ascii="Palatino Linotype" w:hAnsi="Palatino Linotype"/>
          <w:sz w:val="21"/>
          <w:szCs w:val="21"/>
          <w:lang w:val="es-MX"/>
        </w:rPr>
        <w:t>:</w:t>
      </w:r>
    </w:p>
    <w:p w:rsidR="00E10347" w:rsidRPr="00EA7DD2" w:rsidRDefault="00E10347" w:rsidP="00E10347">
      <w:pPr>
        <w:rPr>
          <w:rFonts w:ascii="Palatino Linotype" w:hAnsi="Palatino Linotype"/>
          <w:sz w:val="21"/>
          <w:szCs w:val="21"/>
          <w:lang w:val="es-MX"/>
        </w:rPr>
      </w:pPr>
      <w:r w:rsidRPr="00EA7DD2">
        <w:rPr>
          <w:rFonts w:ascii="Palatino Linotype" w:hAnsi="Palatino Linotype"/>
          <w:sz w:val="21"/>
          <w:szCs w:val="21"/>
          <w:lang w:val="es-MX"/>
        </w:rPr>
        <w:t>BURGOS MATA, ÁLVARO, “Perito y Testigo: gemelos heterocigóticos del proceso penal”, Revista Escuela Judicial # 3, Pág. 21, San José, Costa Rica, diciembre 2004.</w:t>
      </w:r>
    </w:p>
    <w:p w:rsidR="00E10347" w:rsidRPr="00EA7DD2" w:rsidRDefault="00E10347" w:rsidP="00E10347">
      <w:pPr>
        <w:pStyle w:val="Textoindependiente3"/>
        <w:spacing w:line="240" w:lineRule="auto"/>
        <w:rPr>
          <w:rFonts w:ascii="Palatino Linotype" w:hAnsi="Palatino Linotype"/>
          <w:sz w:val="21"/>
          <w:szCs w:val="21"/>
        </w:rPr>
      </w:pPr>
      <w:r w:rsidRPr="00EA7DD2">
        <w:rPr>
          <w:rFonts w:ascii="Palatino Linotype" w:hAnsi="Palatino Linotype"/>
          <w:sz w:val="21"/>
          <w:szCs w:val="21"/>
        </w:rPr>
        <w:t>DEVIS ECHANDIA, HERNANDO. “Cientifisidad de la prueba, en relación principalmente con los dictámenes periciales y la libertad de operación del juzgador”, Revista de Derecho Procesal iberoamericana, Madrid 1972.</w:t>
      </w:r>
    </w:p>
    <w:p w:rsidR="00E10347" w:rsidRPr="00EA7DD2" w:rsidRDefault="00E10347" w:rsidP="00E10347">
      <w:pPr>
        <w:rPr>
          <w:rFonts w:ascii="Palatino Linotype" w:hAnsi="Palatino Linotype"/>
          <w:sz w:val="21"/>
          <w:szCs w:val="21"/>
          <w:lang w:val="es-MX"/>
        </w:rPr>
      </w:pPr>
      <w:r w:rsidRPr="00EA7DD2">
        <w:rPr>
          <w:rFonts w:ascii="Palatino Linotype" w:hAnsi="Palatino Linotype"/>
          <w:sz w:val="21"/>
          <w:szCs w:val="21"/>
          <w:lang w:val="es-MX"/>
        </w:rPr>
        <w:t>GARCIA RAMÍREZ, SERGIO., “JUSTICIA PENAL E INTERVENCIÓN PERICIAL”, Revista mexicana de ciencias penales, no 3, año 1979-1980.</w:t>
      </w:r>
    </w:p>
    <w:p w:rsidR="00E10347" w:rsidRPr="00EA7DD2" w:rsidRDefault="00E10347" w:rsidP="00E10347">
      <w:pPr>
        <w:jc w:val="both"/>
        <w:rPr>
          <w:rFonts w:ascii="Palatino Linotype" w:eastAsia="MS Mincho" w:hAnsi="Palatino Linotype"/>
          <w:sz w:val="21"/>
          <w:szCs w:val="21"/>
        </w:rPr>
      </w:pPr>
      <w:r w:rsidRPr="00EA7DD2">
        <w:rPr>
          <w:rFonts w:ascii="Palatino Linotype" w:eastAsia="MS Mincho" w:hAnsi="Palatino Linotype"/>
          <w:sz w:val="21"/>
          <w:szCs w:val="21"/>
        </w:rPr>
        <w:t>LUCCA NIDYNA, PACHECO ANGEL, “El psicólogo como perito en la corte”, revista de estudios judiciales, año 5, número 4, Puerto Rico, octubre-diciembre, 1989.</w:t>
      </w:r>
    </w:p>
    <w:p w:rsidR="007C015B" w:rsidRPr="00EA7DD2" w:rsidRDefault="00EA7DD2" w:rsidP="00E10347">
      <w:pPr>
        <w:rPr>
          <w:rFonts w:ascii="Palatino Linotype" w:hAnsi="Palatino Linotype"/>
          <w:sz w:val="21"/>
          <w:szCs w:val="21"/>
        </w:rPr>
        <w:sectPr w:rsidR="007C015B" w:rsidRPr="00EA7DD2" w:rsidSect="00FC1DF6">
          <w:headerReference w:type="even" r:id="rId67"/>
          <w:headerReference w:type="default" r:id="rId68"/>
          <w:type w:val="oddPage"/>
          <w:pgSz w:w="12240" w:h="15840" w:code="1"/>
          <w:pgMar w:top="1667" w:right="851" w:bottom="4253" w:left="3686" w:header="1021" w:footer="3005" w:gutter="0"/>
          <w:cols w:space="708"/>
          <w:titlePg/>
          <w:docGrid w:linePitch="360"/>
        </w:sectPr>
      </w:pPr>
      <w:r w:rsidRPr="00EA7DD2">
        <w:rPr>
          <w:rFonts w:ascii="Palatino Linotype" w:hAnsi="Palatino Linotype"/>
          <w:sz w:val="21"/>
          <w:szCs w:val="21"/>
        </w:rPr>
        <w:t>Rodríguez Garcia</w:t>
      </w:r>
      <w:r w:rsidR="00E10347" w:rsidRPr="00EA7DD2">
        <w:rPr>
          <w:rFonts w:ascii="Palatino Linotype" w:hAnsi="Palatino Linotype"/>
          <w:sz w:val="21"/>
          <w:szCs w:val="21"/>
        </w:rPr>
        <w:t xml:space="preserve"> MARIO. “Los servicios periciales independientes”, revista de la academia mexicana  de ciencias penales “ CRIMINALIA” año LXVI, número 3, septiembre-diciembre 2000.</w:t>
      </w:r>
    </w:p>
    <w:p w:rsidR="00FA6EFB" w:rsidRPr="002A07F4" w:rsidRDefault="00FA6EFB" w:rsidP="00FA6EFB">
      <w:pPr>
        <w:widowControl/>
        <w:tabs>
          <w:tab w:val="right" w:leader="dot" w:pos="7201"/>
        </w:tabs>
        <w:autoSpaceDE/>
        <w:autoSpaceDN/>
        <w:adjustRightInd/>
        <w:jc w:val="center"/>
        <w:rPr>
          <w:rFonts w:ascii="Palatino Linotype" w:eastAsia="Times New Roman" w:hAnsi="Palatino Linotype"/>
          <w:b/>
          <w:spacing w:val="-8"/>
          <w:sz w:val="21"/>
          <w:szCs w:val="21"/>
          <w:lang w:val="es-MX"/>
        </w:rPr>
      </w:pPr>
      <w:r w:rsidRPr="002A07F4">
        <w:rPr>
          <w:rFonts w:ascii="Palatino Linotype" w:eastAsia="Times New Roman" w:hAnsi="Palatino Linotype"/>
          <w:b/>
          <w:spacing w:val="-8"/>
          <w:sz w:val="21"/>
          <w:szCs w:val="21"/>
          <w:lang w:val="es-MX"/>
        </w:rPr>
        <w:lastRenderedPageBreak/>
        <w:t>ÍNDICE</w:t>
      </w:r>
    </w:p>
    <w:p w:rsidR="00FA6EFB" w:rsidRPr="002A07F4" w:rsidRDefault="00FA6EFB" w:rsidP="00FA6EFB">
      <w:pPr>
        <w:widowControl/>
        <w:tabs>
          <w:tab w:val="right" w:leader="dot" w:pos="7201"/>
        </w:tabs>
        <w:autoSpaceDE/>
        <w:autoSpaceDN/>
        <w:adjustRightInd/>
        <w:jc w:val="center"/>
        <w:rPr>
          <w:rFonts w:ascii="Palatino Linotype" w:eastAsia="Times New Roman" w:hAnsi="Palatino Linotype"/>
          <w:spacing w:val="-8"/>
          <w:sz w:val="21"/>
          <w:szCs w:val="21"/>
          <w:lang w:val="es-MX"/>
        </w:rPr>
      </w:pPr>
    </w:p>
    <w:p w:rsidR="00FA6EFB" w:rsidRPr="002A07F4" w:rsidRDefault="00FA6EFB" w:rsidP="00FA6EFB">
      <w:pPr>
        <w:widowControl/>
        <w:tabs>
          <w:tab w:val="right" w:leader="dot" w:pos="7201"/>
        </w:tabs>
        <w:autoSpaceDE/>
        <w:autoSpaceDN/>
        <w:adjustRightInd/>
        <w:jc w:val="center"/>
        <w:rPr>
          <w:rFonts w:ascii="Palatino Linotype" w:eastAsia="Times New Roman" w:hAnsi="Palatino Linotype"/>
          <w:b/>
          <w:spacing w:val="-8"/>
          <w:sz w:val="21"/>
          <w:szCs w:val="21"/>
          <w:lang w:val="es-MX"/>
        </w:rPr>
      </w:pPr>
      <w:r w:rsidRPr="002A07F4">
        <w:rPr>
          <w:rFonts w:ascii="Palatino Linotype" w:eastAsia="Times New Roman" w:hAnsi="Palatino Linotype"/>
          <w:b/>
          <w:spacing w:val="-8"/>
          <w:sz w:val="21"/>
          <w:szCs w:val="21"/>
          <w:lang w:val="es-MX"/>
        </w:rPr>
        <w:t>MATERIA LABORAL</w:t>
      </w:r>
    </w:p>
    <w:p w:rsidR="00FA6EFB" w:rsidRPr="002A07F4" w:rsidRDefault="00FA6EFB" w:rsidP="00FA6EFB">
      <w:pPr>
        <w:widowControl/>
        <w:tabs>
          <w:tab w:val="right" w:leader="dot" w:pos="7201"/>
        </w:tabs>
        <w:autoSpaceDE/>
        <w:autoSpaceDN/>
        <w:adjustRightInd/>
        <w:jc w:val="center"/>
        <w:rPr>
          <w:rFonts w:ascii="Palatino Linotype" w:eastAsia="Times New Roman" w:hAnsi="Palatino Linotype"/>
          <w:spacing w:val="-8"/>
          <w:sz w:val="21"/>
          <w:szCs w:val="21"/>
          <w:lang w:val="es-MX"/>
        </w:rPr>
      </w:pPr>
    </w:p>
    <w:p w:rsidR="00FA6EFB" w:rsidRPr="002A07F4" w:rsidRDefault="00FA6EFB" w:rsidP="00FA6EFB">
      <w:pPr>
        <w:widowControl/>
        <w:tabs>
          <w:tab w:val="right" w:leader="dot" w:pos="7201"/>
        </w:tabs>
        <w:autoSpaceDE/>
        <w:autoSpaceDN/>
        <w:adjustRightInd/>
        <w:rPr>
          <w:rFonts w:ascii="Palatino Linotype" w:hAnsi="Palatino Linotype"/>
          <w:sz w:val="21"/>
          <w:szCs w:val="21"/>
        </w:rPr>
      </w:pPr>
      <w:r w:rsidRPr="002A07F4">
        <w:rPr>
          <w:rFonts w:ascii="Palatino Linotype" w:hAnsi="Palatino Linotype"/>
          <w:sz w:val="21"/>
          <w:szCs w:val="21"/>
        </w:rPr>
        <w:t xml:space="preserve">La carga laboral de la prueba y su comparación con la civil, a la luz de </w:t>
      </w:r>
    </w:p>
    <w:p w:rsidR="00FA6EFB" w:rsidRPr="002A07F4" w:rsidRDefault="00FA6EFB" w:rsidP="00FA6EFB">
      <w:pPr>
        <w:widowControl/>
        <w:tabs>
          <w:tab w:val="right" w:leader="dot" w:pos="7201"/>
        </w:tabs>
        <w:autoSpaceDE/>
        <w:autoSpaceDN/>
        <w:adjustRightInd/>
        <w:rPr>
          <w:rFonts w:ascii="Palatino Linotype" w:hAnsi="Palatino Linotype"/>
          <w:sz w:val="21"/>
          <w:szCs w:val="21"/>
        </w:rPr>
      </w:pPr>
      <w:r w:rsidRPr="002A07F4">
        <w:rPr>
          <w:rFonts w:ascii="Palatino Linotype" w:hAnsi="Palatino Linotype"/>
          <w:sz w:val="21"/>
          <w:szCs w:val="21"/>
        </w:rPr>
        <w:t>las nuevas reformas procesales</w:t>
      </w:r>
    </w:p>
    <w:p w:rsidR="00FA6EFB" w:rsidRPr="002A07F4" w:rsidRDefault="00FA6EFB" w:rsidP="00FA6EFB">
      <w:pPr>
        <w:widowControl/>
        <w:tabs>
          <w:tab w:val="right" w:leader="dot" w:pos="7201"/>
        </w:tabs>
        <w:autoSpaceDE/>
        <w:autoSpaceDN/>
        <w:adjustRightInd/>
        <w:rPr>
          <w:rFonts w:ascii="Palatino Linotype" w:eastAsia="Times New Roman" w:hAnsi="Palatino Linotype"/>
          <w:spacing w:val="-8"/>
          <w:sz w:val="21"/>
          <w:szCs w:val="21"/>
          <w:lang w:val="es-MX"/>
        </w:rPr>
      </w:pPr>
      <w:r w:rsidRPr="002A07F4">
        <w:rPr>
          <w:rFonts w:ascii="Palatino Linotype" w:hAnsi="Palatino Linotype"/>
          <w:b/>
          <w:sz w:val="21"/>
          <w:szCs w:val="21"/>
        </w:rPr>
        <w:t>M.Sc. Maureen Jiménez Gómez</w:t>
      </w:r>
      <w:r w:rsidRPr="007C015B">
        <w:rPr>
          <w:rFonts w:ascii="Palatino Linotype" w:eastAsia="Times New Roman" w:hAnsi="Palatino Linotype"/>
          <w:spacing w:val="-8"/>
          <w:sz w:val="21"/>
          <w:szCs w:val="21"/>
          <w:lang w:val="es-MX"/>
        </w:rPr>
        <w:tab/>
      </w:r>
      <w:r w:rsidR="00021A86">
        <w:rPr>
          <w:rFonts w:ascii="Palatino Linotype" w:eastAsia="Times New Roman" w:hAnsi="Palatino Linotype"/>
          <w:spacing w:val="-8"/>
          <w:sz w:val="21"/>
          <w:szCs w:val="21"/>
          <w:lang w:val="es-MX"/>
        </w:rPr>
        <w:t>9</w:t>
      </w:r>
    </w:p>
    <w:p w:rsidR="00FA6EFB" w:rsidRPr="002A07F4" w:rsidRDefault="00FA6EFB" w:rsidP="00FA6EFB">
      <w:pPr>
        <w:rPr>
          <w:rFonts w:ascii="Palatino Linotype" w:hAnsi="Palatino Linotype"/>
          <w:bCs/>
          <w:sz w:val="21"/>
          <w:szCs w:val="21"/>
          <w:lang w:val="es-MX"/>
        </w:rPr>
      </w:pPr>
      <w:r w:rsidRPr="002A07F4">
        <w:rPr>
          <w:rFonts w:ascii="Palatino Linotype" w:hAnsi="Palatino Linotype"/>
          <w:bCs/>
          <w:sz w:val="21"/>
          <w:szCs w:val="21"/>
          <w:lang w:val="es-MX"/>
        </w:rPr>
        <w:t xml:space="preserve">El “ser o no ser” del juez: la prueba de oficio en la reforma procesal civil </w:t>
      </w:r>
    </w:p>
    <w:p w:rsidR="00FA6EFB" w:rsidRPr="002A07F4" w:rsidRDefault="00FA6EFB" w:rsidP="00FA6EFB">
      <w:pPr>
        <w:rPr>
          <w:rFonts w:ascii="Palatino Linotype" w:hAnsi="Palatino Linotype"/>
          <w:bCs/>
          <w:sz w:val="21"/>
          <w:szCs w:val="21"/>
          <w:lang w:val="es-MX"/>
        </w:rPr>
      </w:pPr>
      <w:r w:rsidRPr="002A07F4">
        <w:rPr>
          <w:rFonts w:ascii="Palatino Linotype" w:hAnsi="Palatino Linotype"/>
          <w:bCs/>
          <w:sz w:val="21"/>
          <w:szCs w:val="21"/>
          <w:lang w:val="es-MX"/>
        </w:rPr>
        <w:t>y laboral</w:t>
      </w:r>
    </w:p>
    <w:p w:rsidR="00FA6EFB" w:rsidRPr="002A07F4" w:rsidRDefault="00FA6EFB" w:rsidP="00FA6EFB">
      <w:pPr>
        <w:widowControl/>
        <w:tabs>
          <w:tab w:val="right" w:leader="dot" w:pos="7201"/>
        </w:tabs>
        <w:autoSpaceDE/>
        <w:autoSpaceDN/>
        <w:adjustRightInd/>
        <w:rPr>
          <w:rFonts w:ascii="Palatino Linotype" w:eastAsia="Times New Roman" w:hAnsi="Palatino Linotype"/>
          <w:spacing w:val="-8"/>
          <w:sz w:val="21"/>
          <w:szCs w:val="21"/>
          <w:lang w:val="es-MX"/>
        </w:rPr>
      </w:pPr>
      <w:r w:rsidRPr="002A07F4">
        <w:rPr>
          <w:rFonts w:ascii="Palatino Linotype" w:hAnsi="Palatino Linotype"/>
          <w:b/>
          <w:bCs/>
          <w:iCs/>
          <w:sz w:val="21"/>
          <w:szCs w:val="21"/>
          <w:lang w:val="es-MX"/>
        </w:rPr>
        <w:t>Dr. Carlos Adolfo Picado Vargas</w:t>
      </w:r>
      <w:r w:rsidRPr="007C015B">
        <w:rPr>
          <w:rFonts w:ascii="Palatino Linotype" w:eastAsia="Times New Roman" w:hAnsi="Palatino Linotype"/>
          <w:spacing w:val="-8"/>
          <w:sz w:val="21"/>
          <w:szCs w:val="21"/>
          <w:lang w:val="es-MX"/>
        </w:rPr>
        <w:tab/>
      </w:r>
      <w:r w:rsidR="00021A86">
        <w:rPr>
          <w:rFonts w:ascii="Palatino Linotype" w:eastAsia="Times New Roman" w:hAnsi="Palatino Linotype"/>
          <w:spacing w:val="-8"/>
          <w:sz w:val="21"/>
          <w:szCs w:val="21"/>
          <w:lang w:val="es-MX"/>
        </w:rPr>
        <w:t>27</w:t>
      </w:r>
    </w:p>
    <w:p w:rsidR="00FA6EFB" w:rsidRPr="002A07F4" w:rsidRDefault="00FA6EFB" w:rsidP="00FA6EFB">
      <w:pPr>
        <w:widowControl/>
        <w:tabs>
          <w:tab w:val="right" w:leader="dot" w:pos="7201"/>
        </w:tabs>
        <w:autoSpaceDE/>
        <w:autoSpaceDN/>
        <w:adjustRightInd/>
        <w:rPr>
          <w:rFonts w:ascii="Palatino Linotype" w:eastAsia="Times New Roman" w:hAnsi="Palatino Linotype"/>
          <w:spacing w:val="-8"/>
          <w:sz w:val="21"/>
          <w:szCs w:val="21"/>
          <w:lang w:val="es-MX"/>
        </w:rPr>
      </w:pPr>
    </w:p>
    <w:p w:rsidR="00FA6EFB" w:rsidRPr="007C015B" w:rsidRDefault="00FA6EFB" w:rsidP="00FA6EFB">
      <w:pPr>
        <w:widowControl/>
        <w:tabs>
          <w:tab w:val="right" w:leader="dot" w:pos="7201"/>
        </w:tabs>
        <w:autoSpaceDE/>
        <w:autoSpaceDN/>
        <w:adjustRightInd/>
        <w:jc w:val="center"/>
        <w:rPr>
          <w:rFonts w:ascii="Palatino Linotype" w:eastAsia="Times New Roman" w:hAnsi="Palatino Linotype"/>
          <w:b/>
          <w:spacing w:val="-8"/>
          <w:sz w:val="21"/>
          <w:szCs w:val="21"/>
          <w:lang w:val="es-MX"/>
        </w:rPr>
      </w:pPr>
      <w:r w:rsidRPr="002A07F4">
        <w:rPr>
          <w:rFonts w:ascii="Palatino Linotype" w:eastAsia="Times New Roman" w:hAnsi="Palatino Linotype"/>
          <w:b/>
          <w:spacing w:val="-8"/>
          <w:sz w:val="21"/>
          <w:szCs w:val="21"/>
          <w:lang w:val="es-MX"/>
        </w:rPr>
        <w:t>MATERIA CIVIL</w:t>
      </w:r>
    </w:p>
    <w:p w:rsidR="00FA6EFB" w:rsidRPr="002A07F4" w:rsidRDefault="00FA6EFB" w:rsidP="00FA6EFB">
      <w:pPr>
        <w:widowControl/>
        <w:tabs>
          <w:tab w:val="right" w:leader="dot" w:pos="7201"/>
        </w:tabs>
        <w:autoSpaceDE/>
        <w:autoSpaceDN/>
        <w:adjustRightInd/>
        <w:rPr>
          <w:rFonts w:ascii="Palatino Linotype" w:hAnsi="Palatino Linotype"/>
          <w:b/>
          <w:sz w:val="21"/>
          <w:szCs w:val="21"/>
        </w:rPr>
      </w:pPr>
    </w:p>
    <w:p w:rsidR="00FA6EFB" w:rsidRPr="002A07F4" w:rsidRDefault="00FA6EFB" w:rsidP="00FA6EFB">
      <w:pPr>
        <w:widowControl/>
        <w:tabs>
          <w:tab w:val="right" w:leader="dot" w:pos="7201"/>
        </w:tabs>
        <w:autoSpaceDE/>
        <w:autoSpaceDN/>
        <w:adjustRightInd/>
        <w:rPr>
          <w:rFonts w:ascii="Palatino Linotype" w:eastAsia="Times New Roman" w:hAnsi="Palatino Linotype"/>
          <w:spacing w:val="-8"/>
          <w:sz w:val="21"/>
          <w:szCs w:val="21"/>
          <w:lang w:val="es-MX"/>
        </w:rPr>
      </w:pPr>
      <w:r w:rsidRPr="002A07F4">
        <w:rPr>
          <w:rFonts w:ascii="Palatino Linotype" w:hAnsi="Palatino Linotype"/>
          <w:sz w:val="21"/>
          <w:szCs w:val="21"/>
        </w:rPr>
        <w:t>Los pecados del Nuevo Código Procesal Civil</w:t>
      </w:r>
    </w:p>
    <w:p w:rsidR="00FA6EFB" w:rsidRPr="007C015B" w:rsidRDefault="00FA6EFB" w:rsidP="00FA6EFB">
      <w:pPr>
        <w:widowControl/>
        <w:tabs>
          <w:tab w:val="right" w:leader="dot" w:pos="7201"/>
        </w:tabs>
        <w:autoSpaceDE/>
        <w:autoSpaceDN/>
        <w:adjustRightInd/>
        <w:rPr>
          <w:rFonts w:ascii="Palatino Linotype" w:eastAsia="Times New Roman" w:hAnsi="Palatino Linotype"/>
          <w:spacing w:val="-8"/>
          <w:sz w:val="21"/>
          <w:szCs w:val="21"/>
          <w:lang w:val="es-MX"/>
        </w:rPr>
      </w:pPr>
      <w:r w:rsidRPr="002A07F4">
        <w:rPr>
          <w:rFonts w:ascii="Palatino Linotype" w:eastAsia="Times New Roman" w:hAnsi="Palatino Linotype"/>
          <w:b/>
          <w:spacing w:val="-8"/>
          <w:sz w:val="21"/>
          <w:szCs w:val="21"/>
          <w:lang w:val="es-MX"/>
        </w:rPr>
        <w:t xml:space="preserve">Dr. </w:t>
      </w:r>
      <w:r w:rsidRPr="002A07F4">
        <w:rPr>
          <w:rFonts w:ascii="Palatino Linotype" w:hAnsi="Palatino Linotype" w:cs="Times New Roman"/>
          <w:b/>
          <w:sz w:val="21"/>
          <w:szCs w:val="21"/>
        </w:rPr>
        <w:t>Ricardo Zeledón Zeledón</w:t>
      </w:r>
      <w:r w:rsidRPr="007C015B">
        <w:rPr>
          <w:rFonts w:ascii="Palatino Linotype" w:eastAsia="Times New Roman" w:hAnsi="Palatino Linotype"/>
          <w:spacing w:val="-8"/>
          <w:sz w:val="21"/>
          <w:szCs w:val="21"/>
          <w:lang w:val="es-MX"/>
        </w:rPr>
        <w:tab/>
      </w:r>
      <w:r w:rsidRPr="002A07F4">
        <w:rPr>
          <w:rFonts w:ascii="Palatino Linotype" w:eastAsia="Times New Roman" w:hAnsi="Palatino Linotype"/>
          <w:spacing w:val="-8"/>
          <w:sz w:val="21"/>
          <w:szCs w:val="21"/>
          <w:lang w:val="es-MX"/>
        </w:rPr>
        <w:t>5</w:t>
      </w:r>
      <w:r w:rsidR="00021A86">
        <w:rPr>
          <w:rFonts w:ascii="Palatino Linotype" w:eastAsia="Times New Roman" w:hAnsi="Palatino Linotype"/>
          <w:spacing w:val="-8"/>
          <w:sz w:val="21"/>
          <w:szCs w:val="21"/>
          <w:lang w:val="es-MX"/>
        </w:rPr>
        <w:t>9</w:t>
      </w:r>
    </w:p>
    <w:p w:rsidR="00FA6EFB" w:rsidRPr="002A07F4" w:rsidRDefault="00FA6EFB" w:rsidP="00FA6EFB">
      <w:pPr>
        <w:rPr>
          <w:rFonts w:ascii="Palatino Linotype" w:hAnsi="Palatino Linotype"/>
          <w:sz w:val="21"/>
          <w:szCs w:val="21"/>
        </w:rPr>
      </w:pPr>
      <w:r w:rsidRPr="002A07F4">
        <w:rPr>
          <w:rFonts w:ascii="Palatino Linotype" w:hAnsi="Palatino Linotype"/>
          <w:sz w:val="21"/>
          <w:szCs w:val="21"/>
        </w:rPr>
        <w:t>La prueba pericial en la experiencia estadounidense.  El caso Daubert</w:t>
      </w:r>
    </w:p>
    <w:p w:rsidR="00FA6EFB" w:rsidRPr="007C015B" w:rsidRDefault="00FA6EFB" w:rsidP="00FA6EFB">
      <w:pPr>
        <w:widowControl/>
        <w:tabs>
          <w:tab w:val="right" w:leader="dot" w:pos="7201"/>
        </w:tabs>
        <w:autoSpaceDE/>
        <w:autoSpaceDN/>
        <w:adjustRightInd/>
        <w:rPr>
          <w:rFonts w:ascii="Palatino Linotype" w:eastAsia="Times New Roman" w:hAnsi="Palatino Linotype"/>
          <w:spacing w:val="-8"/>
          <w:sz w:val="21"/>
          <w:szCs w:val="21"/>
          <w:lang w:val="es-MX"/>
        </w:rPr>
      </w:pPr>
      <w:r w:rsidRPr="002A07F4">
        <w:rPr>
          <w:rFonts w:ascii="Palatino Linotype" w:hAnsi="Palatino Linotype"/>
          <w:b/>
          <w:sz w:val="21"/>
          <w:szCs w:val="21"/>
        </w:rPr>
        <w:t>Dra. Carmen Vázquez</w:t>
      </w:r>
      <w:r w:rsidRPr="007C015B">
        <w:rPr>
          <w:rFonts w:ascii="Palatino Linotype" w:eastAsia="Times New Roman" w:hAnsi="Palatino Linotype"/>
          <w:spacing w:val="-8"/>
          <w:sz w:val="21"/>
          <w:szCs w:val="21"/>
          <w:lang w:val="es-MX"/>
        </w:rPr>
        <w:tab/>
      </w:r>
      <w:r w:rsidR="00021A86">
        <w:rPr>
          <w:rFonts w:ascii="Palatino Linotype" w:eastAsia="Times New Roman" w:hAnsi="Palatino Linotype"/>
          <w:spacing w:val="-8"/>
          <w:sz w:val="21"/>
          <w:szCs w:val="21"/>
          <w:lang w:val="es-MX"/>
        </w:rPr>
        <w:t>123</w:t>
      </w:r>
    </w:p>
    <w:p w:rsidR="00FA6EFB" w:rsidRPr="002A07F4" w:rsidRDefault="00FA6EFB" w:rsidP="00FA6EFB">
      <w:pPr>
        <w:rPr>
          <w:rFonts w:ascii="Palatino Linotype" w:hAnsi="Palatino Linotype"/>
          <w:sz w:val="21"/>
          <w:szCs w:val="21"/>
        </w:rPr>
      </w:pPr>
      <w:r w:rsidRPr="002A07F4">
        <w:rPr>
          <w:rFonts w:ascii="Palatino Linotype" w:hAnsi="Palatino Linotype"/>
          <w:sz w:val="21"/>
          <w:szCs w:val="21"/>
        </w:rPr>
        <w:t xml:space="preserve">La transversalidad del sistema oral en las pruebas en el NCPC. </w:t>
      </w:r>
    </w:p>
    <w:p w:rsidR="00FA6EFB" w:rsidRPr="002A07F4" w:rsidRDefault="00FA6EFB" w:rsidP="00FA6EFB">
      <w:pPr>
        <w:rPr>
          <w:rFonts w:ascii="Palatino Linotype" w:hAnsi="Palatino Linotype"/>
          <w:sz w:val="21"/>
          <w:szCs w:val="21"/>
        </w:rPr>
      </w:pPr>
      <w:r w:rsidRPr="002A07F4">
        <w:rPr>
          <w:rFonts w:ascii="Palatino Linotype" w:hAnsi="Palatino Linotype"/>
          <w:sz w:val="21"/>
          <w:szCs w:val="21"/>
        </w:rPr>
        <w:t>Uno de los mayores desafíos de la reforma procesal</w:t>
      </w:r>
    </w:p>
    <w:p w:rsidR="00FA6EFB" w:rsidRPr="007C015B" w:rsidRDefault="00FA6EFB" w:rsidP="00FA6EFB">
      <w:pPr>
        <w:widowControl/>
        <w:tabs>
          <w:tab w:val="right" w:leader="dot" w:pos="7201"/>
        </w:tabs>
        <w:autoSpaceDE/>
        <w:autoSpaceDN/>
        <w:adjustRightInd/>
        <w:rPr>
          <w:rFonts w:ascii="Palatino Linotype" w:eastAsia="Times New Roman" w:hAnsi="Palatino Linotype"/>
          <w:spacing w:val="-8"/>
          <w:sz w:val="21"/>
          <w:szCs w:val="21"/>
          <w:lang w:val="es-MX"/>
        </w:rPr>
      </w:pPr>
      <w:r w:rsidRPr="002A07F4">
        <w:rPr>
          <w:rFonts w:ascii="Palatino Linotype" w:hAnsi="Palatino Linotype"/>
          <w:b/>
          <w:sz w:val="21"/>
          <w:szCs w:val="21"/>
        </w:rPr>
        <w:t>Dr. Sergio Artavia Barrantes</w:t>
      </w:r>
      <w:r w:rsidRPr="007C015B">
        <w:rPr>
          <w:rFonts w:ascii="Palatino Linotype" w:eastAsia="Times New Roman" w:hAnsi="Palatino Linotype"/>
          <w:spacing w:val="-8"/>
          <w:sz w:val="21"/>
          <w:szCs w:val="21"/>
          <w:lang w:val="es-MX"/>
        </w:rPr>
        <w:tab/>
      </w:r>
      <w:r w:rsidR="00021A86">
        <w:rPr>
          <w:rFonts w:ascii="Palatino Linotype" w:eastAsia="Times New Roman" w:hAnsi="Palatino Linotype"/>
          <w:spacing w:val="-8"/>
          <w:sz w:val="21"/>
          <w:szCs w:val="21"/>
          <w:lang w:val="es-MX"/>
        </w:rPr>
        <w:t>157</w:t>
      </w:r>
    </w:p>
    <w:p w:rsidR="00FA6EFB" w:rsidRPr="002A07F4" w:rsidRDefault="00FA6EFB" w:rsidP="00FA6EFB">
      <w:pPr>
        <w:pStyle w:val="Predeterminado"/>
        <w:spacing w:after="0" w:line="240" w:lineRule="auto"/>
        <w:rPr>
          <w:rFonts w:ascii="Palatino Linotype" w:hAnsi="Palatino Linotype" w:cs="Arial"/>
          <w:color w:val="auto"/>
          <w:sz w:val="21"/>
          <w:szCs w:val="21"/>
        </w:rPr>
      </w:pPr>
      <w:r w:rsidRPr="002A07F4">
        <w:rPr>
          <w:rFonts w:ascii="Palatino Linotype" w:hAnsi="Palatino Linotype" w:cs="Arial"/>
          <w:color w:val="auto"/>
          <w:sz w:val="21"/>
          <w:szCs w:val="21"/>
        </w:rPr>
        <w:t>La aplicación de la teoría de la “carga dinámica de la  prueba” en la responsabilidad civil por productos defectuosos</w:t>
      </w:r>
    </w:p>
    <w:p w:rsidR="00FA6EFB" w:rsidRPr="007C015B" w:rsidRDefault="00FA6EFB" w:rsidP="00FA6EFB">
      <w:pPr>
        <w:widowControl/>
        <w:tabs>
          <w:tab w:val="right" w:leader="dot" w:pos="7201"/>
        </w:tabs>
        <w:autoSpaceDE/>
        <w:autoSpaceDN/>
        <w:adjustRightInd/>
        <w:rPr>
          <w:rFonts w:ascii="Palatino Linotype" w:eastAsia="Times New Roman" w:hAnsi="Palatino Linotype"/>
          <w:spacing w:val="-8"/>
          <w:sz w:val="21"/>
          <w:szCs w:val="21"/>
          <w:lang w:val="es-MX"/>
        </w:rPr>
      </w:pPr>
      <w:r w:rsidRPr="002A07F4">
        <w:rPr>
          <w:rFonts w:ascii="Palatino Linotype" w:hAnsi="Palatino Linotype"/>
          <w:b/>
          <w:sz w:val="21"/>
          <w:szCs w:val="21"/>
        </w:rPr>
        <w:t>Yuri López Casal</w:t>
      </w:r>
      <w:r w:rsidRPr="007C015B">
        <w:rPr>
          <w:rFonts w:ascii="Palatino Linotype" w:eastAsia="Times New Roman" w:hAnsi="Palatino Linotype"/>
          <w:spacing w:val="-8"/>
          <w:sz w:val="21"/>
          <w:szCs w:val="21"/>
          <w:lang w:val="es-MX"/>
        </w:rPr>
        <w:tab/>
      </w:r>
      <w:r w:rsidR="00021A86">
        <w:rPr>
          <w:rFonts w:ascii="Palatino Linotype" w:eastAsia="Times New Roman" w:hAnsi="Palatino Linotype"/>
          <w:spacing w:val="-8"/>
          <w:sz w:val="21"/>
          <w:szCs w:val="21"/>
          <w:lang w:val="es-MX"/>
        </w:rPr>
        <w:t>207</w:t>
      </w:r>
    </w:p>
    <w:p w:rsidR="00FA6EFB" w:rsidRPr="002A07F4" w:rsidRDefault="00FA6EFB" w:rsidP="00FA6EFB">
      <w:pPr>
        <w:pStyle w:val="Ttulo1"/>
        <w:spacing w:before="0"/>
        <w:rPr>
          <w:rFonts w:ascii="Palatino Linotype" w:eastAsia="Times New Roman" w:hAnsi="Palatino Linotype"/>
          <w:b w:val="0"/>
          <w:color w:val="auto"/>
          <w:sz w:val="21"/>
          <w:szCs w:val="21"/>
          <w:lang w:val="es-CR"/>
        </w:rPr>
      </w:pPr>
      <w:r w:rsidRPr="002A07F4">
        <w:rPr>
          <w:rFonts w:ascii="Palatino Linotype" w:eastAsia="Times New Roman" w:hAnsi="Palatino Linotype"/>
          <w:b w:val="0"/>
          <w:color w:val="auto"/>
          <w:sz w:val="21"/>
          <w:szCs w:val="21"/>
          <w:lang w:val="es-CR"/>
        </w:rPr>
        <w:t xml:space="preserve">Las medidas cautelares y cálculo probatorio.  En el nuevo Código </w:t>
      </w:r>
    </w:p>
    <w:p w:rsidR="00FA6EFB" w:rsidRPr="002A07F4" w:rsidRDefault="00FA6EFB" w:rsidP="00FA6EFB">
      <w:pPr>
        <w:pStyle w:val="Ttulo1"/>
        <w:spacing w:before="0"/>
        <w:rPr>
          <w:rFonts w:ascii="Palatino Linotype" w:eastAsia="Times New Roman" w:hAnsi="Palatino Linotype"/>
          <w:b w:val="0"/>
          <w:color w:val="auto"/>
          <w:sz w:val="21"/>
          <w:szCs w:val="21"/>
          <w:lang w:val="es-CR"/>
        </w:rPr>
      </w:pPr>
      <w:r w:rsidRPr="002A07F4">
        <w:rPr>
          <w:rFonts w:ascii="Palatino Linotype" w:eastAsia="Times New Roman" w:hAnsi="Palatino Linotype"/>
          <w:b w:val="0"/>
          <w:color w:val="auto"/>
          <w:sz w:val="21"/>
          <w:szCs w:val="21"/>
          <w:lang w:val="es-CR"/>
        </w:rPr>
        <w:t>Procesal Civil</w:t>
      </w:r>
    </w:p>
    <w:p w:rsidR="00FA6EFB" w:rsidRPr="002A07F4" w:rsidRDefault="00FA6EFB" w:rsidP="00FA6EFB">
      <w:pPr>
        <w:widowControl/>
        <w:tabs>
          <w:tab w:val="right" w:leader="dot" w:pos="7201"/>
        </w:tabs>
        <w:autoSpaceDE/>
        <w:autoSpaceDN/>
        <w:adjustRightInd/>
        <w:rPr>
          <w:rFonts w:ascii="Palatino Linotype" w:eastAsia="Times New Roman" w:hAnsi="Palatino Linotype"/>
          <w:spacing w:val="-8"/>
          <w:sz w:val="21"/>
          <w:szCs w:val="21"/>
          <w:lang w:val="es-MX"/>
        </w:rPr>
      </w:pPr>
      <w:r w:rsidRPr="002A07F4">
        <w:rPr>
          <w:rFonts w:ascii="Palatino Linotype" w:eastAsia="Times New Roman" w:hAnsi="Palatino Linotype"/>
          <w:b/>
          <w:sz w:val="21"/>
          <w:szCs w:val="21"/>
          <w:lang w:val="es-CR"/>
        </w:rPr>
        <w:t>Dr. Farith Suárez</w:t>
      </w:r>
      <w:r w:rsidRPr="007C015B">
        <w:rPr>
          <w:rFonts w:ascii="Palatino Linotype" w:eastAsia="Times New Roman" w:hAnsi="Palatino Linotype"/>
          <w:spacing w:val="-8"/>
          <w:sz w:val="21"/>
          <w:szCs w:val="21"/>
          <w:lang w:val="es-MX"/>
        </w:rPr>
        <w:tab/>
      </w:r>
      <w:r w:rsidR="00021A86">
        <w:rPr>
          <w:rFonts w:ascii="Palatino Linotype" w:eastAsia="Times New Roman" w:hAnsi="Palatino Linotype"/>
          <w:spacing w:val="-8"/>
          <w:sz w:val="21"/>
          <w:szCs w:val="21"/>
          <w:lang w:val="es-MX"/>
        </w:rPr>
        <w:t>245</w:t>
      </w:r>
    </w:p>
    <w:p w:rsidR="00FA6EFB" w:rsidRPr="002A07F4" w:rsidRDefault="00FA6EFB" w:rsidP="00FA6EFB">
      <w:pPr>
        <w:pStyle w:val="Sinespaciado"/>
        <w:rPr>
          <w:rFonts w:ascii="Palatino Linotype" w:hAnsi="Palatino Linotype" w:cs="Times New Roman"/>
          <w:sz w:val="21"/>
          <w:szCs w:val="21"/>
        </w:rPr>
      </w:pPr>
      <w:r w:rsidRPr="002A07F4">
        <w:rPr>
          <w:rFonts w:ascii="Palatino Linotype" w:hAnsi="Palatino Linotype" w:cs="Times New Roman"/>
          <w:sz w:val="21"/>
          <w:szCs w:val="21"/>
        </w:rPr>
        <w:t xml:space="preserve">El cambio del paradigma ideológico en la valoración de la prueba </w:t>
      </w:r>
    </w:p>
    <w:p w:rsidR="00FA6EFB" w:rsidRPr="002A07F4" w:rsidRDefault="00FA6EFB" w:rsidP="00FA6EFB">
      <w:pPr>
        <w:pStyle w:val="Sinespaciado"/>
        <w:rPr>
          <w:rFonts w:ascii="Palatino Linotype" w:hAnsi="Palatino Linotype" w:cs="Times New Roman"/>
          <w:sz w:val="21"/>
          <w:szCs w:val="21"/>
        </w:rPr>
      </w:pPr>
      <w:r w:rsidRPr="002A07F4">
        <w:rPr>
          <w:rFonts w:ascii="Palatino Linotype" w:hAnsi="Palatino Linotype" w:cs="Times New Roman"/>
          <w:sz w:val="21"/>
          <w:szCs w:val="21"/>
        </w:rPr>
        <w:t>en la oralidad</w:t>
      </w:r>
    </w:p>
    <w:p w:rsidR="00FA6EFB" w:rsidRPr="007C015B" w:rsidRDefault="00FA6EFB" w:rsidP="00FA6EFB">
      <w:pPr>
        <w:widowControl/>
        <w:tabs>
          <w:tab w:val="right" w:leader="dot" w:pos="7201"/>
        </w:tabs>
        <w:autoSpaceDE/>
        <w:autoSpaceDN/>
        <w:adjustRightInd/>
        <w:rPr>
          <w:rFonts w:ascii="Palatino Linotype" w:eastAsia="Times New Roman" w:hAnsi="Palatino Linotype"/>
          <w:spacing w:val="-8"/>
          <w:sz w:val="21"/>
          <w:szCs w:val="21"/>
          <w:lang w:val="es-MX"/>
        </w:rPr>
      </w:pPr>
      <w:r w:rsidRPr="002A07F4">
        <w:rPr>
          <w:rFonts w:ascii="Palatino Linotype" w:hAnsi="Palatino Linotype" w:cs="Times New Roman"/>
          <w:b/>
          <w:sz w:val="21"/>
          <w:szCs w:val="21"/>
        </w:rPr>
        <w:t>Dr. Ricardo Zeledón Zeledón</w:t>
      </w:r>
      <w:r w:rsidRPr="007C015B">
        <w:rPr>
          <w:rFonts w:ascii="Palatino Linotype" w:eastAsia="Times New Roman" w:hAnsi="Palatino Linotype"/>
          <w:spacing w:val="-8"/>
          <w:sz w:val="21"/>
          <w:szCs w:val="21"/>
          <w:lang w:val="es-MX"/>
        </w:rPr>
        <w:tab/>
      </w:r>
      <w:r w:rsidR="00021A86">
        <w:rPr>
          <w:rFonts w:ascii="Palatino Linotype" w:eastAsia="Times New Roman" w:hAnsi="Palatino Linotype"/>
          <w:spacing w:val="-8"/>
          <w:sz w:val="21"/>
          <w:szCs w:val="21"/>
          <w:lang w:val="es-MX"/>
        </w:rPr>
        <w:t>265</w:t>
      </w:r>
    </w:p>
    <w:p w:rsidR="00FA6EFB" w:rsidRPr="002A07F4" w:rsidRDefault="00FA6EFB" w:rsidP="00FA6EFB">
      <w:pPr>
        <w:pStyle w:val="Predeterminado"/>
        <w:spacing w:after="0" w:line="240" w:lineRule="auto"/>
        <w:rPr>
          <w:rFonts w:ascii="Palatino Linotype" w:hAnsi="Palatino Linotype" w:cs="Arial"/>
          <w:color w:val="auto"/>
          <w:sz w:val="21"/>
          <w:szCs w:val="21"/>
        </w:rPr>
      </w:pPr>
      <w:r w:rsidRPr="002A07F4">
        <w:rPr>
          <w:rFonts w:ascii="Palatino Linotype" w:hAnsi="Palatino Linotype" w:cs="Arial"/>
          <w:color w:val="auto"/>
          <w:sz w:val="21"/>
          <w:szCs w:val="21"/>
        </w:rPr>
        <w:t>La carga de la prueba de la excepción de riesgos de desarrollo en la responsabilidad civil por productos</w:t>
      </w:r>
    </w:p>
    <w:p w:rsidR="00FA6EFB" w:rsidRPr="007C015B" w:rsidRDefault="00FA6EFB" w:rsidP="00FA6EFB">
      <w:pPr>
        <w:widowControl/>
        <w:tabs>
          <w:tab w:val="right" w:leader="dot" w:pos="7201"/>
        </w:tabs>
        <w:autoSpaceDE/>
        <w:autoSpaceDN/>
        <w:adjustRightInd/>
        <w:rPr>
          <w:rFonts w:ascii="Palatino Linotype" w:eastAsia="Times New Roman" w:hAnsi="Palatino Linotype"/>
          <w:spacing w:val="-8"/>
          <w:sz w:val="21"/>
          <w:szCs w:val="21"/>
          <w:lang w:val="es-MX"/>
        </w:rPr>
      </w:pPr>
      <w:r w:rsidRPr="002A07F4">
        <w:rPr>
          <w:rFonts w:ascii="Palatino Linotype" w:hAnsi="Palatino Linotype"/>
          <w:b/>
          <w:sz w:val="21"/>
          <w:szCs w:val="21"/>
        </w:rPr>
        <w:t>Dr. Yuri López Casal</w:t>
      </w:r>
      <w:r w:rsidRPr="007C015B">
        <w:rPr>
          <w:rFonts w:ascii="Palatino Linotype" w:eastAsia="Times New Roman" w:hAnsi="Palatino Linotype"/>
          <w:spacing w:val="-8"/>
          <w:sz w:val="21"/>
          <w:szCs w:val="21"/>
          <w:lang w:val="es-MX"/>
        </w:rPr>
        <w:tab/>
      </w:r>
      <w:r w:rsidR="00021A86">
        <w:rPr>
          <w:rFonts w:ascii="Palatino Linotype" w:eastAsia="Times New Roman" w:hAnsi="Palatino Linotype"/>
          <w:spacing w:val="-8"/>
          <w:sz w:val="21"/>
          <w:szCs w:val="21"/>
          <w:lang w:val="es-MX"/>
        </w:rPr>
        <w:t>325</w:t>
      </w:r>
    </w:p>
    <w:p w:rsidR="00FA6EFB" w:rsidRPr="002A07F4" w:rsidRDefault="00FA6EFB" w:rsidP="00FA6EFB">
      <w:pPr>
        <w:rPr>
          <w:rFonts w:ascii="Palatino Linotype" w:hAnsi="Palatino Linotype"/>
          <w:sz w:val="21"/>
          <w:szCs w:val="21"/>
        </w:rPr>
      </w:pPr>
      <w:r w:rsidRPr="002A07F4">
        <w:rPr>
          <w:rFonts w:ascii="Palatino Linotype" w:hAnsi="Palatino Linotype"/>
          <w:sz w:val="21"/>
          <w:szCs w:val="21"/>
        </w:rPr>
        <w:t xml:space="preserve">El instrumento público: los documentos notariales.  Análisis comparativo </w:t>
      </w:r>
    </w:p>
    <w:p w:rsidR="00FA6EFB" w:rsidRPr="002A07F4" w:rsidRDefault="00FA6EFB" w:rsidP="00FA6EFB">
      <w:pPr>
        <w:rPr>
          <w:rFonts w:ascii="Palatino Linotype" w:hAnsi="Palatino Linotype"/>
          <w:sz w:val="21"/>
          <w:szCs w:val="21"/>
        </w:rPr>
      </w:pPr>
      <w:r w:rsidRPr="002A07F4">
        <w:rPr>
          <w:rFonts w:ascii="Palatino Linotype" w:hAnsi="Palatino Linotype"/>
          <w:sz w:val="21"/>
          <w:szCs w:val="21"/>
        </w:rPr>
        <w:t>de la legislación vigente al Nuevo Código Procesal Civil</w:t>
      </w:r>
    </w:p>
    <w:p w:rsidR="00FA6EFB" w:rsidRPr="002A07F4" w:rsidRDefault="00FA6EFB" w:rsidP="00FA6EFB">
      <w:pPr>
        <w:widowControl/>
        <w:tabs>
          <w:tab w:val="right" w:leader="dot" w:pos="7201"/>
        </w:tabs>
        <w:autoSpaceDE/>
        <w:autoSpaceDN/>
        <w:adjustRightInd/>
        <w:rPr>
          <w:rFonts w:ascii="Palatino Linotype" w:eastAsia="Times New Roman" w:hAnsi="Palatino Linotype"/>
          <w:spacing w:val="-8"/>
          <w:sz w:val="21"/>
          <w:szCs w:val="21"/>
          <w:lang w:val="es-MX"/>
        </w:rPr>
      </w:pPr>
      <w:r w:rsidRPr="002A07F4">
        <w:rPr>
          <w:rFonts w:ascii="Palatino Linotype" w:hAnsi="Palatino Linotype"/>
          <w:b/>
          <w:sz w:val="21"/>
          <w:szCs w:val="21"/>
        </w:rPr>
        <w:t>Dr. Herman Mora</w:t>
      </w:r>
      <w:r w:rsidRPr="007C015B">
        <w:rPr>
          <w:rFonts w:ascii="Palatino Linotype" w:eastAsia="Times New Roman" w:hAnsi="Palatino Linotype"/>
          <w:spacing w:val="-8"/>
          <w:sz w:val="21"/>
          <w:szCs w:val="21"/>
          <w:lang w:val="es-MX"/>
        </w:rPr>
        <w:tab/>
      </w:r>
      <w:r w:rsidR="00021A86">
        <w:rPr>
          <w:rFonts w:ascii="Palatino Linotype" w:eastAsia="Times New Roman" w:hAnsi="Palatino Linotype"/>
          <w:spacing w:val="-8"/>
          <w:sz w:val="21"/>
          <w:szCs w:val="21"/>
          <w:lang w:val="es-MX"/>
        </w:rPr>
        <w:t>371</w:t>
      </w:r>
    </w:p>
    <w:p w:rsidR="00FA6EFB" w:rsidRPr="002A07F4" w:rsidRDefault="00FA6EFB" w:rsidP="00FA6EFB">
      <w:pPr>
        <w:widowControl/>
        <w:tabs>
          <w:tab w:val="right" w:leader="dot" w:pos="7201"/>
        </w:tabs>
        <w:autoSpaceDE/>
        <w:autoSpaceDN/>
        <w:adjustRightInd/>
        <w:rPr>
          <w:rFonts w:ascii="Palatino Linotype" w:eastAsia="Times New Roman" w:hAnsi="Palatino Linotype"/>
          <w:spacing w:val="-8"/>
          <w:sz w:val="21"/>
          <w:szCs w:val="21"/>
          <w:lang w:val="es-MX"/>
        </w:rPr>
      </w:pPr>
    </w:p>
    <w:p w:rsidR="00FA6EFB" w:rsidRPr="002A07F4" w:rsidRDefault="00FA6EFB" w:rsidP="00FA6EFB">
      <w:pPr>
        <w:widowControl/>
        <w:tabs>
          <w:tab w:val="right" w:leader="dot" w:pos="7201"/>
        </w:tabs>
        <w:autoSpaceDE/>
        <w:autoSpaceDN/>
        <w:adjustRightInd/>
        <w:jc w:val="center"/>
        <w:rPr>
          <w:rFonts w:ascii="Palatino Linotype" w:eastAsia="Times New Roman" w:hAnsi="Palatino Linotype"/>
          <w:b/>
          <w:spacing w:val="-8"/>
          <w:sz w:val="21"/>
          <w:szCs w:val="21"/>
          <w:lang w:val="es-MX"/>
        </w:rPr>
      </w:pPr>
      <w:r w:rsidRPr="002A07F4">
        <w:rPr>
          <w:rFonts w:ascii="Palatino Linotype" w:eastAsia="Times New Roman" w:hAnsi="Palatino Linotype"/>
          <w:b/>
          <w:spacing w:val="-8"/>
          <w:sz w:val="21"/>
          <w:szCs w:val="21"/>
          <w:lang w:val="es-MX"/>
        </w:rPr>
        <w:t xml:space="preserve">MATERIA CONTENCIOSA-ADMINISTRATIVA </w:t>
      </w:r>
    </w:p>
    <w:p w:rsidR="00FA6EFB" w:rsidRPr="002A07F4" w:rsidRDefault="00FA6EFB" w:rsidP="00FA6EFB">
      <w:pPr>
        <w:widowControl/>
        <w:tabs>
          <w:tab w:val="right" w:leader="dot" w:pos="7201"/>
        </w:tabs>
        <w:autoSpaceDE/>
        <w:autoSpaceDN/>
        <w:adjustRightInd/>
        <w:jc w:val="center"/>
        <w:rPr>
          <w:rFonts w:ascii="Palatino Linotype" w:eastAsia="Times New Roman" w:hAnsi="Palatino Linotype"/>
          <w:b/>
          <w:spacing w:val="-8"/>
          <w:sz w:val="21"/>
          <w:szCs w:val="21"/>
          <w:lang w:val="es-MX"/>
        </w:rPr>
      </w:pPr>
      <w:r w:rsidRPr="002A07F4">
        <w:rPr>
          <w:rFonts w:ascii="Palatino Linotype" w:eastAsia="Times New Roman" w:hAnsi="Palatino Linotype"/>
          <w:b/>
          <w:spacing w:val="-8"/>
          <w:sz w:val="21"/>
          <w:szCs w:val="21"/>
          <w:lang w:val="es-MX"/>
        </w:rPr>
        <w:t>Y CONSTITUCIONAL</w:t>
      </w:r>
    </w:p>
    <w:p w:rsidR="00FA6EFB" w:rsidRPr="007C015B" w:rsidRDefault="00FA6EFB" w:rsidP="00FA6EFB">
      <w:pPr>
        <w:widowControl/>
        <w:tabs>
          <w:tab w:val="right" w:leader="dot" w:pos="7201"/>
        </w:tabs>
        <w:autoSpaceDE/>
        <w:autoSpaceDN/>
        <w:adjustRightInd/>
        <w:jc w:val="center"/>
        <w:rPr>
          <w:rFonts w:ascii="Palatino Linotype" w:eastAsia="Times New Roman" w:hAnsi="Palatino Linotype"/>
          <w:b/>
          <w:spacing w:val="-8"/>
          <w:sz w:val="21"/>
          <w:szCs w:val="21"/>
          <w:lang w:val="es-MX"/>
        </w:rPr>
      </w:pPr>
    </w:p>
    <w:p w:rsidR="00FA6EFB" w:rsidRPr="002A07F4" w:rsidRDefault="00FA6EFB" w:rsidP="00FA6EFB">
      <w:pPr>
        <w:pStyle w:val="Sinespaciado"/>
        <w:rPr>
          <w:rFonts w:ascii="Palatino Linotype" w:eastAsia="Times New Roman" w:hAnsi="Palatino Linotype"/>
          <w:sz w:val="21"/>
          <w:szCs w:val="21"/>
        </w:rPr>
      </w:pPr>
      <w:r w:rsidRPr="002A07F4">
        <w:rPr>
          <w:rFonts w:ascii="Palatino Linotype" w:eastAsia="Times New Roman" w:hAnsi="Palatino Linotype"/>
          <w:sz w:val="21"/>
          <w:szCs w:val="21"/>
        </w:rPr>
        <w:t xml:space="preserve">Algunos dilemas prácticos en la dinámica probatoria del proceso </w:t>
      </w:r>
    </w:p>
    <w:p w:rsidR="00FA6EFB" w:rsidRPr="002A07F4" w:rsidRDefault="00FA6EFB" w:rsidP="00FA6EFB">
      <w:pPr>
        <w:pStyle w:val="Sinespaciado"/>
        <w:rPr>
          <w:rFonts w:ascii="Palatino Linotype" w:eastAsia="Times New Roman" w:hAnsi="Palatino Linotype"/>
          <w:sz w:val="21"/>
          <w:szCs w:val="21"/>
        </w:rPr>
      </w:pPr>
      <w:r w:rsidRPr="002A07F4">
        <w:rPr>
          <w:rFonts w:ascii="Palatino Linotype" w:eastAsia="Times New Roman" w:hAnsi="Palatino Linotype"/>
          <w:sz w:val="21"/>
          <w:szCs w:val="21"/>
        </w:rPr>
        <w:t xml:space="preserve">contencioso administrativo y civil de hacienda </w:t>
      </w:r>
    </w:p>
    <w:p w:rsidR="00FA6EFB" w:rsidRPr="007C015B" w:rsidRDefault="00FA6EFB" w:rsidP="00FA6EFB">
      <w:pPr>
        <w:widowControl/>
        <w:tabs>
          <w:tab w:val="right" w:leader="dot" w:pos="7201"/>
        </w:tabs>
        <w:autoSpaceDE/>
        <w:autoSpaceDN/>
        <w:adjustRightInd/>
        <w:rPr>
          <w:rFonts w:ascii="Palatino Linotype" w:eastAsia="Times New Roman" w:hAnsi="Palatino Linotype"/>
          <w:spacing w:val="-8"/>
          <w:sz w:val="21"/>
          <w:szCs w:val="21"/>
          <w:lang w:val="es-MX"/>
        </w:rPr>
      </w:pPr>
      <w:r w:rsidRPr="002A07F4">
        <w:rPr>
          <w:rFonts w:ascii="Palatino Linotype" w:eastAsia="Times New Roman" w:hAnsi="Palatino Linotype"/>
          <w:b/>
          <w:sz w:val="21"/>
          <w:szCs w:val="21"/>
          <w:lang w:val="es-CR"/>
        </w:rPr>
        <w:t>Msc. José Roberto Garita Navarro</w:t>
      </w:r>
      <w:r w:rsidRPr="007C015B">
        <w:rPr>
          <w:rFonts w:ascii="Palatino Linotype" w:eastAsia="Times New Roman" w:hAnsi="Palatino Linotype"/>
          <w:spacing w:val="-8"/>
          <w:sz w:val="21"/>
          <w:szCs w:val="21"/>
          <w:lang w:val="es-MX"/>
        </w:rPr>
        <w:tab/>
      </w:r>
      <w:r w:rsidR="00021A86">
        <w:rPr>
          <w:rFonts w:ascii="Palatino Linotype" w:eastAsia="Times New Roman" w:hAnsi="Palatino Linotype"/>
          <w:spacing w:val="-8"/>
          <w:sz w:val="21"/>
          <w:szCs w:val="21"/>
          <w:lang w:val="es-MX"/>
        </w:rPr>
        <w:t>393</w:t>
      </w:r>
    </w:p>
    <w:p w:rsidR="00FA6EFB" w:rsidRPr="002A07F4" w:rsidRDefault="00FA6EFB" w:rsidP="00FA6EFB">
      <w:pPr>
        <w:widowControl/>
        <w:tabs>
          <w:tab w:val="right" w:leader="dot" w:pos="7201"/>
        </w:tabs>
        <w:autoSpaceDE/>
        <w:autoSpaceDN/>
        <w:adjustRightInd/>
        <w:rPr>
          <w:rFonts w:ascii="Palatino Linotype" w:eastAsia="Times New Roman" w:hAnsi="Palatino Linotype"/>
          <w:spacing w:val="-8"/>
          <w:sz w:val="21"/>
          <w:szCs w:val="21"/>
          <w:lang w:val="es-MX"/>
        </w:rPr>
      </w:pPr>
      <w:r w:rsidRPr="002A07F4">
        <w:rPr>
          <w:rFonts w:ascii="Palatino Linotype" w:eastAsia="Times New Roman" w:hAnsi="Palatino Linotype"/>
          <w:spacing w:val="-8"/>
          <w:sz w:val="21"/>
          <w:szCs w:val="21"/>
          <w:lang w:val="es-MX"/>
        </w:rPr>
        <w:t>Conflictos probatorios entre el CPCA, LGAP y NCPC.  ¿Cómo solucionarlos?</w:t>
      </w:r>
    </w:p>
    <w:p w:rsidR="00FA6EFB" w:rsidRPr="007C015B" w:rsidRDefault="00FA6EFB" w:rsidP="00FA6EFB">
      <w:pPr>
        <w:widowControl/>
        <w:tabs>
          <w:tab w:val="right" w:leader="dot" w:pos="7201"/>
        </w:tabs>
        <w:autoSpaceDE/>
        <w:autoSpaceDN/>
        <w:adjustRightInd/>
        <w:rPr>
          <w:rFonts w:ascii="Palatino Linotype" w:eastAsia="Times New Roman" w:hAnsi="Palatino Linotype"/>
          <w:spacing w:val="-8"/>
          <w:sz w:val="21"/>
          <w:szCs w:val="21"/>
          <w:lang w:val="es-MX"/>
        </w:rPr>
      </w:pPr>
      <w:r w:rsidRPr="002A07F4">
        <w:rPr>
          <w:rFonts w:ascii="Palatino Linotype" w:eastAsia="Times New Roman" w:hAnsi="Palatino Linotype"/>
          <w:b/>
          <w:spacing w:val="-8"/>
          <w:sz w:val="21"/>
          <w:szCs w:val="21"/>
          <w:lang w:val="es-MX"/>
        </w:rPr>
        <w:t>Msc. Luis. A. Ortíz Zamora</w:t>
      </w:r>
      <w:r w:rsidRPr="007C015B">
        <w:rPr>
          <w:rFonts w:ascii="Palatino Linotype" w:eastAsia="Times New Roman" w:hAnsi="Palatino Linotype"/>
          <w:spacing w:val="-8"/>
          <w:sz w:val="21"/>
          <w:szCs w:val="21"/>
          <w:lang w:val="es-MX"/>
        </w:rPr>
        <w:tab/>
      </w:r>
      <w:r w:rsidR="00021A86">
        <w:rPr>
          <w:rFonts w:ascii="Palatino Linotype" w:eastAsia="Times New Roman" w:hAnsi="Palatino Linotype"/>
          <w:spacing w:val="-8"/>
          <w:sz w:val="21"/>
          <w:szCs w:val="21"/>
          <w:lang w:val="es-MX"/>
        </w:rPr>
        <w:t>453</w:t>
      </w:r>
    </w:p>
    <w:p w:rsidR="00FA6EFB" w:rsidRPr="002A07F4" w:rsidRDefault="00FA6EFB" w:rsidP="00FA6EFB">
      <w:pPr>
        <w:rPr>
          <w:rFonts w:ascii="Palatino Linotype" w:hAnsi="Palatino Linotype" w:cs="Times New Roman"/>
          <w:sz w:val="21"/>
          <w:szCs w:val="21"/>
        </w:rPr>
      </w:pPr>
      <w:r w:rsidRPr="002A07F4">
        <w:rPr>
          <w:rFonts w:ascii="Palatino Linotype" w:hAnsi="Palatino Linotype" w:cs="Times New Roman"/>
          <w:sz w:val="21"/>
          <w:szCs w:val="21"/>
        </w:rPr>
        <w:t>La prueba desde la perspectiva constitucional</w:t>
      </w:r>
    </w:p>
    <w:p w:rsidR="00FA6EFB" w:rsidRPr="007C015B" w:rsidRDefault="00FA6EFB" w:rsidP="00FA6EFB">
      <w:pPr>
        <w:widowControl/>
        <w:tabs>
          <w:tab w:val="right" w:leader="dot" w:pos="7201"/>
        </w:tabs>
        <w:autoSpaceDE/>
        <w:autoSpaceDN/>
        <w:adjustRightInd/>
        <w:rPr>
          <w:rFonts w:ascii="Palatino Linotype" w:eastAsia="Times New Roman" w:hAnsi="Palatino Linotype"/>
          <w:spacing w:val="-8"/>
          <w:sz w:val="21"/>
          <w:szCs w:val="21"/>
          <w:lang w:val="es-MX"/>
        </w:rPr>
      </w:pPr>
      <w:r w:rsidRPr="002A07F4">
        <w:rPr>
          <w:rFonts w:ascii="Palatino Linotype" w:hAnsi="Palatino Linotype"/>
          <w:b/>
          <w:sz w:val="21"/>
          <w:szCs w:val="21"/>
        </w:rPr>
        <w:t>Dr. Haideer Miranda Bonilla</w:t>
      </w:r>
      <w:r w:rsidRPr="007C015B">
        <w:rPr>
          <w:rFonts w:ascii="Palatino Linotype" w:eastAsia="Times New Roman" w:hAnsi="Palatino Linotype"/>
          <w:spacing w:val="-8"/>
          <w:sz w:val="21"/>
          <w:szCs w:val="21"/>
          <w:lang w:val="es-MX"/>
        </w:rPr>
        <w:tab/>
      </w:r>
      <w:r w:rsidR="00021A86">
        <w:rPr>
          <w:rFonts w:ascii="Palatino Linotype" w:eastAsia="Times New Roman" w:hAnsi="Palatino Linotype"/>
          <w:spacing w:val="-8"/>
          <w:sz w:val="21"/>
          <w:szCs w:val="21"/>
          <w:lang w:val="es-MX"/>
        </w:rPr>
        <w:t>477</w:t>
      </w:r>
    </w:p>
    <w:p w:rsidR="00FA6EFB" w:rsidRPr="002A07F4" w:rsidRDefault="00FA6EFB" w:rsidP="00FA6EFB">
      <w:pPr>
        <w:rPr>
          <w:rFonts w:ascii="Palatino Linotype" w:hAnsi="Palatino Linotype"/>
          <w:sz w:val="21"/>
          <w:szCs w:val="21"/>
          <w:lang w:val="es-CR"/>
        </w:rPr>
      </w:pPr>
      <w:r w:rsidRPr="002A07F4">
        <w:rPr>
          <w:rFonts w:ascii="Palatino Linotype" w:hAnsi="Palatino Linotype"/>
          <w:sz w:val="21"/>
          <w:szCs w:val="21"/>
          <w:lang w:val="es-CR"/>
        </w:rPr>
        <w:t>La prueba en procesos ambientales</w:t>
      </w:r>
    </w:p>
    <w:p w:rsidR="00FA6EFB" w:rsidRPr="007C015B" w:rsidRDefault="00FA6EFB" w:rsidP="00FA6EFB">
      <w:pPr>
        <w:widowControl/>
        <w:tabs>
          <w:tab w:val="right" w:leader="dot" w:pos="7201"/>
        </w:tabs>
        <w:autoSpaceDE/>
        <w:autoSpaceDN/>
        <w:adjustRightInd/>
        <w:rPr>
          <w:rFonts w:ascii="Palatino Linotype" w:eastAsia="Times New Roman" w:hAnsi="Palatino Linotype"/>
          <w:spacing w:val="-8"/>
          <w:sz w:val="21"/>
          <w:szCs w:val="21"/>
          <w:lang w:val="es-MX"/>
        </w:rPr>
      </w:pPr>
      <w:r w:rsidRPr="002A07F4">
        <w:rPr>
          <w:rFonts w:ascii="Palatino Linotype" w:hAnsi="Palatino Linotype"/>
          <w:b/>
          <w:sz w:val="21"/>
          <w:szCs w:val="21"/>
          <w:lang w:val="es-CR"/>
        </w:rPr>
        <w:t>Dr. Mario Peña Chacón</w:t>
      </w:r>
      <w:r w:rsidRPr="007C015B">
        <w:rPr>
          <w:rFonts w:ascii="Palatino Linotype" w:eastAsia="Times New Roman" w:hAnsi="Palatino Linotype"/>
          <w:spacing w:val="-8"/>
          <w:sz w:val="21"/>
          <w:szCs w:val="21"/>
          <w:lang w:val="es-MX"/>
        </w:rPr>
        <w:tab/>
      </w:r>
      <w:r w:rsidR="00021A86">
        <w:rPr>
          <w:rFonts w:ascii="Palatino Linotype" w:eastAsia="Times New Roman" w:hAnsi="Palatino Linotype"/>
          <w:spacing w:val="-8"/>
          <w:sz w:val="21"/>
          <w:szCs w:val="21"/>
          <w:lang w:val="es-MX"/>
        </w:rPr>
        <w:t>505</w:t>
      </w:r>
    </w:p>
    <w:p w:rsidR="00FA6EFB" w:rsidRPr="002A07F4" w:rsidRDefault="00FA6EFB" w:rsidP="00FA6EFB">
      <w:pPr>
        <w:widowControl/>
        <w:tabs>
          <w:tab w:val="right" w:leader="dot" w:pos="7201"/>
        </w:tabs>
        <w:autoSpaceDE/>
        <w:autoSpaceDN/>
        <w:adjustRightInd/>
        <w:rPr>
          <w:rFonts w:ascii="Palatino Linotype" w:eastAsia="Times New Roman" w:hAnsi="Palatino Linotype" w:cs="Times New Roman"/>
          <w:sz w:val="21"/>
          <w:szCs w:val="21"/>
        </w:rPr>
      </w:pPr>
      <w:r w:rsidRPr="002A07F4">
        <w:rPr>
          <w:rFonts w:ascii="Palatino Linotype" w:eastAsia="Times New Roman" w:hAnsi="Palatino Linotype" w:cs="Times New Roman"/>
          <w:sz w:val="21"/>
          <w:szCs w:val="21"/>
        </w:rPr>
        <w:t>“La sentencia oral: ¿mito o realidad?”</w:t>
      </w:r>
    </w:p>
    <w:p w:rsidR="00FA6EFB" w:rsidRPr="007C015B" w:rsidRDefault="00FA6EFB" w:rsidP="00FA6EFB">
      <w:pPr>
        <w:widowControl/>
        <w:tabs>
          <w:tab w:val="right" w:leader="dot" w:pos="7201"/>
        </w:tabs>
        <w:autoSpaceDE/>
        <w:autoSpaceDN/>
        <w:adjustRightInd/>
        <w:rPr>
          <w:rFonts w:ascii="Palatino Linotype" w:eastAsia="Times New Roman" w:hAnsi="Palatino Linotype"/>
          <w:spacing w:val="-8"/>
          <w:sz w:val="21"/>
          <w:szCs w:val="21"/>
          <w:lang w:val="es-MX"/>
        </w:rPr>
      </w:pPr>
      <w:r w:rsidRPr="002A07F4">
        <w:rPr>
          <w:rFonts w:ascii="Palatino Linotype" w:eastAsia="Times New Roman" w:hAnsi="Palatino Linotype" w:cs="Times New Roman"/>
          <w:b/>
          <w:sz w:val="21"/>
          <w:szCs w:val="21"/>
        </w:rPr>
        <w:t>Lic. Pablo José Porras Barahona</w:t>
      </w:r>
      <w:r w:rsidRPr="007C015B">
        <w:rPr>
          <w:rFonts w:ascii="Palatino Linotype" w:eastAsia="Times New Roman" w:hAnsi="Palatino Linotype"/>
          <w:spacing w:val="-8"/>
          <w:sz w:val="21"/>
          <w:szCs w:val="21"/>
          <w:lang w:val="es-MX"/>
        </w:rPr>
        <w:tab/>
      </w:r>
      <w:r w:rsidR="00021A86">
        <w:rPr>
          <w:rFonts w:ascii="Palatino Linotype" w:eastAsia="Times New Roman" w:hAnsi="Palatino Linotype"/>
          <w:spacing w:val="-8"/>
          <w:sz w:val="21"/>
          <w:szCs w:val="21"/>
          <w:lang w:val="es-MX"/>
        </w:rPr>
        <w:t>517</w:t>
      </w:r>
    </w:p>
    <w:p w:rsidR="00FA6EFB" w:rsidRPr="002A07F4" w:rsidRDefault="00FA6EFB" w:rsidP="00FA6EFB">
      <w:pPr>
        <w:widowControl/>
        <w:tabs>
          <w:tab w:val="right" w:leader="dot" w:pos="7201"/>
        </w:tabs>
        <w:autoSpaceDE/>
        <w:autoSpaceDN/>
        <w:adjustRightInd/>
        <w:rPr>
          <w:rFonts w:ascii="Palatino Linotype" w:eastAsia="Times New Roman" w:hAnsi="Palatino Linotype"/>
          <w:spacing w:val="-8"/>
          <w:sz w:val="21"/>
          <w:szCs w:val="21"/>
          <w:lang w:val="es-MX"/>
        </w:rPr>
      </w:pPr>
    </w:p>
    <w:p w:rsidR="00FA6EFB" w:rsidRPr="002A07F4" w:rsidRDefault="00FA6EFB" w:rsidP="00FA6EFB">
      <w:pPr>
        <w:widowControl/>
        <w:tabs>
          <w:tab w:val="right" w:leader="dot" w:pos="7201"/>
        </w:tabs>
        <w:autoSpaceDE/>
        <w:autoSpaceDN/>
        <w:adjustRightInd/>
        <w:jc w:val="center"/>
        <w:rPr>
          <w:rFonts w:ascii="Palatino Linotype" w:eastAsia="Times New Roman" w:hAnsi="Palatino Linotype"/>
          <w:b/>
          <w:spacing w:val="-8"/>
          <w:sz w:val="21"/>
          <w:szCs w:val="21"/>
          <w:lang w:val="es-MX"/>
        </w:rPr>
      </w:pPr>
      <w:r w:rsidRPr="002A07F4">
        <w:rPr>
          <w:rFonts w:ascii="Palatino Linotype" w:eastAsia="Times New Roman" w:hAnsi="Palatino Linotype"/>
          <w:b/>
          <w:spacing w:val="-8"/>
          <w:sz w:val="21"/>
          <w:szCs w:val="21"/>
          <w:lang w:val="es-MX"/>
        </w:rPr>
        <w:t>MATERIA PENAL, AMBIENTAL Y PSICOLOGÍA FORENSE</w:t>
      </w:r>
    </w:p>
    <w:p w:rsidR="00FA6EFB" w:rsidRPr="002A07F4" w:rsidRDefault="00FA6EFB" w:rsidP="00FA6EFB">
      <w:pPr>
        <w:widowControl/>
        <w:tabs>
          <w:tab w:val="right" w:leader="dot" w:pos="7201"/>
        </w:tabs>
        <w:autoSpaceDE/>
        <w:autoSpaceDN/>
        <w:adjustRightInd/>
        <w:rPr>
          <w:rFonts w:ascii="Palatino Linotype" w:eastAsia="Times New Roman" w:hAnsi="Palatino Linotype"/>
          <w:spacing w:val="-8"/>
          <w:sz w:val="21"/>
          <w:szCs w:val="21"/>
          <w:lang w:val="es-MX"/>
        </w:rPr>
      </w:pPr>
    </w:p>
    <w:p w:rsidR="00FA6EFB" w:rsidRPr="002A07F4" w:rsidRDefault="00FA6EFB" w:rsidP="00FA6EFB">
      <w:pPr>
        <w:ind w:right="51"/>
        <w:rPr>
          <w:rFonts w:ascii="Palatino Linotype" w:hAnsi="Palatino Linotype" w:cs="Times New Roman"/>
          <w:sz w:val="21"/>
          <w:szCs w:val="21"/>
        </w:rPr>
      </w:pPr>
      <w:r w:rsidRPr="002A07F4">
        <w:rPr>
          <w:rFonts w:ascii="Palatino Linotype" w:hAnsi="Palatino Linotype" w:cs="Times New Roman"/>
          <w:sz w:val="21"/>
          <w:szCs w:val="21"/>
        </w:rPr>
        <w:t xml:space="preserve">Apuntes sobre la aportación y valoración de la prueba en el (nuevo) </w:t>
      </w:r>
    </w:p>
    <w:p w:rsidR="00FA6EFB" w:rsidRPr="002A07F4" w:rsidRDefault="00FA6EFB" w:rsidP="00FA6EFB">
      <w:pPr>
        <w:ind w:right="51"/>
        <w:rPr>
          <w:rFonts w:ascii="Palatino Linotype" w:hAnsi="Palatino Linotype" w:cs="Times New Roman"/>
          <w:sz w:val="21"/>
          <w:szCs w:val="21"/>
          <w:u w:val="single"/>
        </w:rPr>
      </w:pPr>
      <w:r w:rsidRPr="002A07F4">
        <w:rPr>
          <w:rFonts w:ascii="Palatino Linotype" w:hAnsi="Palatino Linotype" w:cs="Times New Roman"/>
          <w:sz w:val="21"/>
          <w:szCs w:val="21"/>
        </w:rPr>
        <w:t>proceso agrario</w:t>
      </w:r>
    </w:p>
    <w:p w:rsidR="00FA6EFB" w:rsidRPr="007C015B" w:rsidRDefault="00FA6EFB" w:rsidP="00FA6EFB">
      <w:pPr>
        <w:widowControl/>
        <w:tabs>
          <w:tab w:val="right" w:leader="dot" w:pos="7201"/>
        </w:tabs>
        <w:autoSpaceDE/>
        <w:autoSpaceDN/>
        <w:adjustRightInd/>
        <w:rPr>
          <w:rFonts w:ascii="Palatino Linotype" w:eastAsia="Times New Roman" w:hAnsi="Palatino Linotype"/>
          <w:spacing w:val="-8"/>
          <w:sz w:val="21"/>
          <w:szCs w:val="21"/>
          <w:lang w:val="es-MX"/>
        </w:rPr>
      </w:pPr>
      <w:r w:rsidRPr="002A07F4">
        <w:rPr>
          <w:rFonts w:ascii="Palatino Linotype" w:hAnsi="Palatino Linotype" w:cs="Times New Roman"/>
          <w:b/>
          <w:sz w:val="21"/>
          <w:szCs w:val="21"/>
        </w:rPr>
        <w:t>Dr. Enrique Ulate Chacón</w:t>
      </w:r>
      <w:r w:rsidRPr="007C015B">
        <w:rPr>
          <w:rFonts w:ascii="Palatino Linotype" w:eastAsia="Times New Roman" w:hAnsi="Palatino Linotype"/>
          <w:spacing w:val="-8"/>
          <w:sz w:val="21"/>
          <w:szCs w:val="21"/>
          <w:lang w:val="es-MX"/>
        </w:rPr>
        <w:tab/>
      </w:r>
      <w:r w:rsidR="00021A86">
        <w:rPr>
          <w:rFonts w:ascii="Palatino Linotype" w:eastAsia="Times New Roman" w:hAnsi="Palatino Linotype"/>
          <w:spacing w:val="-8"/>
          <w:sz w:val="21"/>
          <w:szCs w:val="21"/>
          <w:lang w:val="es-MX"/>
        </w:rPr>
        <w:t>537</w:t>
      </w:r>
    </w:p>
    <w:p w:rsidR="00FA6EFB" w:rsidRPr="002A07F4" w:rsidRDefault="00FA6EFB" w:rsidP="00FA6EFB">
      <w:pPr>
        <w:rPr>
          <w:rFonts w:ascii="Palatino Linotype" w:hAnsi="Palatino Linotype"/>
          <w:sz w:val="21"/>
          <w:szCs w:val="21"/>
        </w:rPr>
      </w:pPr>
      <w:r w:rsidRPr="002A07F4">
        <w:rPr>
          <w:rFonts w:ascii="Palatino Linotype" w:hAnsi="Palatino Linotype"/>
          <w:sz w:val="21"/>
          <w:szCs w:val="21"/>
        </w:rPr>
        <w:t>Una concepción minimalista y garantista  de la presunción de inocencia</w:t>
      </w:r>
    </w:p>
    <w:p w:rsidR="00FA6EFB" w:rsidRPr="007C015B" w:rsidRDefault="00FA6EFB" w:rsidP="00FA6EFB">
      <w:pPr>
        <w:widowControl/>
        <w:tabs>
          <w:tab w:val="right" w:leader="dot" w:pos="7201"/>
        </w:tabs>
        <w:autoSpaceDE/>
        <w:autoSpaceDN/>
        <w:adjustRightInd/>
        <w:rPr>
          <w:rFonts w:ascii="Palatino Linotype" w:eastAsia="Times New Roman" w:hAnsi="Palatino Linotype"/>
          <w:spacing w:val="-8"/>
          <w:sz w:val="21"/>
          <w:szCs w:val="21"/>
          <w:lang w:val="es-MX"/>
        </w:rPr>
      </w:pPr>
      <w:r w:rsidRPr="002A07F4">
        <w:rPr>
          <w:rFonts w:ascii="Palatino Linotype" w:hAnsi="Palatino Linotype"/>
          <w:b/>
          <w:sz w:val="21"/>
          <w:szCs w:val="21"/>
        </w:rPr>
        <w:t>Dr. Jordi Ferrer Beltrán</w:t>
      </w:r>
      <w:r w:rsidRPr="007C015B">
        <w:rPr>
          <w:rFonts w:ascii="Palatino Linotype" w:eastAsia="Times New Roman" w:hAnsi="Palatino Linotype"/>
          <w:spacing w:val="-8"/>
          <w:sz w:val="21"/>
          <w:szCs w:val="21"/>
          <w:lang w:val="es-MX"/>
        </w:rPr>
        <w:tab/>
      </w:r>
      <w:r w:rsidR="00021A86">
        <w:rPr>
          <w:rFonts w:ascii="Palatino Linotype" w:eastAsia="Times New Roman" w:hAnsi="Palatino Linotype"/>
          <w:spacing w:val="-8"/>
          <w:sz w:val="21"/>
          <w:szCs w:val="21"/>
          <w:lang w:val="es-MX"/>
        </w:rPr>
        <w:t>577</w:t>
      </w:r>
    </w:p>
    <w:p w:rsidR="00FA6EFB" w:rsidRPr="002A07F4" w:rsidRDefault="00FA6EFB" w:rsidP="00FA6EFB">
      <w:pPr>
        <w:rPr>
          <w:rFonts w:ascii="Palatino Linotype" w:hAnsi="Palatino Linotype"/>
          <w:sz w:val="21"/>
          <w:szCs w:val="21"/>
        </w:rPr>
      </w:pPr>
      <w:r w:rsidRPr="002A07F4">
        <w:rPr>
          <w:rFonts w:ascii="Palatino Linotype" w:hAnsi="Palatino Linotype"/>
          <w:sz w:val="21"/>
          <w:szCs w:val="21"/>
        </w:rPr>
        <w:t xml:space="preserve">No todo lo que brilla es oro ni todo lo que crees es cierto: Testigos </w:t>
      </w:r>
    </w:p>
    <w:p w:rsidR="00FA6EFB" w:rsidRPr="002A07F4" w:rsidRDefault="00FA6EFB" w:rsidP="00FA6EFB">
      <w:pPr>
        <w:rPr>
          <w:rFonts w:ascii="Palatino Linotype" w:hAnsi="Palatino Linotype"/>
          <w:sz w:val="21"/>
          <w:szCs w:val="21"/>
        </w:rPr>
      </w:pPr>
      <w:r w:rsidRPr="002A07F4">
        <w:rPr>
          <w:rFonts w:ascii="Palatino Linotype" w:hAnsi="Palatino Linotype"/>
          <w:sz w:val="21"/>
          <w:szCs w:val="21"/>
        </w:rPr>
        <w:t>y memorias falsas</w:t>
      </w:r>
    </w:p>
    <w:p w:rsidR="00FA6EFB" w:rsidRPr="007C015B" w:rsidRDefault="00FA6EFB" w:rsidP="00FA6EFB">
      <w:pPr>
        <w:widowControl/>
        <w:tabs>
          <w:tab w:val="right" w:leader="dot" w:pos="7201"/>
        </w:tabs>
        <w:autoSpaceDE/>
        <w:autoSpaceDN/>
        <w:adjustRightInd/>
        <w:rPr>
          <w:rFonts w:ascii="Palatino Linotype" w:eastAsia="Times New Roman" w:hAnsi="Palatino Linotype"/>
          <w:spacing w:val="-8"/>
          <w:sz w:val="21"/>
          <w:szCs w:val="21"/>
          <w:lang w:val="es-MX"/>
        </w:rPr>
      </w:pPr>
      <w:r w:rsidRPr="002A07F4">
        <w:rPr>
          <w:rFonts w:ascii="Palatino Linotype" w:hAnsi="Palatino Linotype"/>
          <w:b/>
          <w:sz w:val="21"/>
          <w:szCs w:val="21"/>
        </w:rPr>
        <w:t>Msc. Herman Duarte</w:t>
      </w:r>
      <w:r w:rsidRPr="007C015B">
        <w:rPr>
          <w:rFonts w:ascii="Palatino Linotype" w:eastAsia="Times New Roman" w:hAnsi="Palatino Linotype"/>
          <w:spacing w:val="-8"/>
          <w:sz w:val="21"/>
          <w:szCs w:val="21"/>
          <w:lang w:val="es-MX"/>
        </w:rPr>
        <w:tab/>
      </w:r>
      <w:r w:rsidR="00021A86">
        <w:rPr>
          <w:rFonts w:ascii="Palatino Linotype" w:eastAsia="Times New Roman" w:hAnsi="Palatino Linotype"/>
          <w:spacing w:val="-8"/>
          <w:sz w:val="21"/>
          <w:szCs w:val="21"/>
          <w:lang w:val="es-MX"/>
        </w:rPr>
        <w:t>605</w:t>
      </w:r>
    </w:p>
    <w:p w:rsidR="00FA6EFB" w:rsidRPr="002A07F4" w:rsidRDefault="00FA6EFB" w:rsidP="00FA6EFB">
      <w:pPr>
        <w:keepNext/>
        <w:outlineLvl w:val="1"/>
        <w:rPr>
          <w:rFonts w:ascii="Palatino Linotype" w:hAnsi="Palatino Linotype"/>
          <w:sz w:val="21"/>
          <w:szCs w:val="21"/>
          <w:lang w:eastAsia="es-ES_tradnl"/>
        </w:rPr>
      </w:pPr>
      <w:r w:rsidRPr="002A07F4">
        <w:rPr>
          <w:rFonts w:ascii="Palatino Linotype" w:hAnsi="Palatino Linotype"/>
          <w:sz w:val="21"/>
          <w:szCs w:val="21"/>
          <w:lang w:eastAsia="es-ES_tradnl"/>
        </w:rPr>
        <w:t>El Consultor Técnico dentro del Proceso Penal Costarricense</w:t>
      </w:r>
    </w:p>
    <w:p w:rsidR="00FA6EFB" w:rsidRPr="007C015B" w:rsidRDefault="00FA6EFB" w:rsidP="00FA6EFB">
      <w:pPr>
        <w:widowControl/>
        <w:tabs>
          <w:tab w:val="right" w:leader="dot" w:pos="7201"/>
        </w:tabs>
        <w:autoSpaceDE/>
        <w:autoSpaceDN/>
        <w:adjustRightInd/>
        <w:rPr>
          <w:rFonts w:ascii="Palatino Linotype" w:eastAsia="Times New Roman" w:hAnsi="Palatino Linotype"/>
          <w:spacing w:val="-8"/>
          <w:sz w:val="21"/>
          <w:szCs w:val="21"/>
          <w:lang w:val="es-MX"/>
        </w:rPr>
      </w:pPr>
      <w:r w:rsidRPr="002A07F4">
        <w:rPr>
          <w:rFonts w:ascii="Palatino Linotype" w:hAnsi="Palatino Linotype"/>
          <w:b/>
          <w:sz w:val="21"/>
          <w:szCs w:val="21"/>
          <w:lang w:eastAsia="es-ES_tradnl"/>
        </w:rPr>
        <w:t>Dr. Álvaro Burgos</w:t>
      </w:r>
      <w:r w:rsidRPr="007C015B">
        <w:rPr>
          <w:rFonts w:ascii="Palatino Linotype" w:eastAsia="Times New Roman" w:hAnsi="Palatino Linotype"/>
          <w:spacing w:val="-8"/>
          <w:sz w:val="21"/>
          <w:szCs w:val="21"/>
          <w:lang w:val="es-MX"/>
        </w:rPr>
        <w:tab/>
      </w:r>
      <w:r w:rsidR="00021A86">
        <w:rPr>
          <w:rFonts w:ascii="Palatino Linotype" w:eastAsia="Times New Roman" w:hAnsi="Palatino Linotype"/>
          <w:spacing w:val="-8"/>
          <w:sz w:val="21"/>
          <w:szCs w:val="21"/>
          <w:lang w:val="es-MX"/>
        </w:rPr>
        <w:t>631</w:t>
      </w:r>
      <w:bookmarkStart w:id="85" w:name="_GoBack"/>
      <w:bookmarkEnd w:id="85"/>
    </w:p>
    <w:p w:rsidR="00FA6EFB" w:rsidRPr="007C015B" w:rsidRDefault="00FA6EFB" w:rsidP="00FA6EFB">
      <w:pPr>
        <w:widowControl/>
        <w:tabs>
          <w:tab w:val="right" w:leader="dot" w:pos="7201"/>
        </w:tabs>
        <w:autoSpaceDE/>
        <w:autoSpaceDN/>
        <w:adjustRightInd/>
        <w:rPr>
          <w:rFonts w:ascii="Palatino Linotype" w:eastAsia="Times New Roman" w:hAnsi="Palatino Linotype"/>
          <w:spacing w:val="-8"/>
          <w:sz w:val="22"/>
          <w:szCs w:val="22"/>
          <w:lang w:val="es-MX"/>
        </w:rPr>
      </w:pPr>
    </w:p>
    <w:sectPr w:rsidR="00FA6EFB" w:rsidRPr="007C015B" w:rsidSect="00FC1DF6">
      <w:headerReference w:type="even" r:id="rId69"/>
      <w:type w:val="oddPage"/>
      <w:pgSz w:w="12240" w:h="15840" w:code="1"/>
      <w:pgMar w:top="1667" w:right="851" w:bottom="4253" w:left="3686" w:header="1021" w:footer="30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1CD" w:rsidRDefault="00DB41CD" w:rsidP="00563A13">
      <w:r>
        <w:separator/>
      </w:r>
    </w:p>
  </w:endnote>
  <w:endnote w:type="continuationSeparator" w:id="0">
    <w:p w:rsidR="00DB41CD" w:rsidRDefault="00DB41CD" w:rsidP="0056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altName w:val="Calisto MT"/>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Roman 10cpi">
    <w:altName w:val="Arial Rounded MT Bold"/>
    <w:panose1 w:val="00000000000000000000"/>
    <w:charset w:val="00"/>
    <w:family w:val="modern"/>
    <w:notTrueType/>
    <w:pitch w:val="fixed"/>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tlantic Inline">
    <w:altName w:val="Courier New"/>
    <w:charset w:val="00"/>
    <w:family w:val="decorative"/>
    <w:pitch w:val="variable"/>
    <w:sig w:usb0="00000083" w:usb1="00000000" w:usb2="00000000" w:usb3="00000000" w:csb0="00000009" w:csb1="00000000"/>
  </w:font>
  <w:font w:name="Helvetica">
    <w:panose1 w:val="020B05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Yu Gothi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rPr>
      <w:id w:val="-152922037"/>
      <w:docPartObj>
        <w:docPartGallery w:val="Page Numbers (Bottom of Page)"/>
        <w:docPartUnique/>
      </w:docPartObj>
    </w:sdtPr>
    <w:sdtContent>
      <w:p w:rsidR="00F129D0" w:rsidRPr="00F129D0" w:rsidRDefault="00F129D0">
        <w:pPr>
          <w:pStyle w:val="Piedepgina"/>
          <w:rPr>
            <w:rFonts w:ascii="Palatino Linotype" w:hAnsi="Palatino Linotype"/>
          </w:rPr>
        </w:pPr>
        <w:r w:rsidRPr="00F129D0">
          <w:rPr>
            <w:rFonts w:ascii="Palatino Linotype" w:hAnsi="Palatino Linotype"/>
          </w:rPr>
          <w:fldChar w:fldCharType="begin"/>
        </w:r>
        <w:r w:rsidRPr="00F129D0">
          <w:rPr>
            <w:rFonts w:ascii="Palatino Linotype" w:hAnsi="Palatino Linotype"/>
          </w:rPr>
          <w:instrText>PAGE   \* MERGEFORMAT</w:instrText>
        </w:r>
        <w:r w:rsidRPr="00F129D0">
          <w:rPr>
            <w:rFonts w:ascii="Palatino Linotype" w:hAnsi="Palatino Linotype"/>
          </w:rPr>
          <w:fldChar w:fldCharType="separate"/>
        </w:r>
        <w:r w:rsidR="00021A86">
          <w:rPr>
            <w:rFonts w:ascii="Palatino Linotype" w:hAnsi="Palatino Linotype"/>
            <w:noProof/>
          </w:rPr>
          <w:t>674</w:t>
        </w:r>
        <w:r w:rsidRPr="00F129D0">
          <w:rPr>
            <w:rFonts w:ascii="Palatino Linotype" w:hAnsi="Palatino Linotype"/>
          </w:rPr>
          <w:fldChar w:fldCharType="end"/>
        </w:r>
      </w:p>
    </w:sdtContent>
  </w:sdt>
  <w:p w:rsidR="00F129D0" w:rsidRDefault="00F129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11771"/>
      <w:docPartObj>
        <w:docPartGallery w:val="Page Numbers (Bottom of Page)"/>
        <w:docPartUnique/>
      </w:docPartObj>
    </w:sdtPr>
    <w:sdtEndPr>
      <w:rPr>
        <w:rFonts w:ascii="Palatino Linotype" w:hAnsi="Palatino Linotype"/>
        <w:sz w:val="20"/>
        <w:szCs w:val="20"/>
      </w:rPr>
    </w:sdtEndPr>
    <w:sdtContent>
      <w:p w:rsidR="00FC1DF6" w:rsidRPr="00FC1DF6" w:rsidRDefault="00FC1DF6">
        <w:pPr>
          <w:pStyle w:val="Piedepgina"/>
          <w:jc w:val="right"/>
          <w:rPr>
            <w:rFonts w:ascii="Palatino Linotype" w:hAnsi="Palatino Linotype"/>
            <w:sz w:val="20"/>
            <w:szCs w:val="20"/>
          </w:rPr>
        </w:pPr>
        <w:r w:rsidRPr="00FC1DF6">
          <w:rPr>
            <w:rFonts w:ascii="Palatino Linotype" w:hAnsi="Palatino Linotype"/>
            <w:sz w:val="20"/>
            <w:szCs w:val="20"/>
          </w:rPr>
          <w:fldChar w:fldCharType="begin"/>
        </w:r>
        <w:r w:rsidRPr="00FC1DF6">
          <w:rPr>
            <w:rFonts w:ascii="Palatino Linotype" w:hAnsi="Palatino Linotype"/>
            <w:sz w:val="20"/>
            <w:szCs w:val="20"/>
          </w:rPr>
          <w:instrText>PAGE   \* MERGEFORMAT</w:instrText>
        </w:r>
        <w:r w:rsidRPr="00FC1DF6">
          <w:rPr>
            <w:rFonts w:ascii="Palatino Linotype" w:hAnsi="Palatino Linotype"/>
            <w:sz w:val="20"/>
            <w:szCs w:val="20"/>
          </w:rPr>
          <w:fldChar w:fldCharType="separate"/>
        </w:r>
        <w:r w:rsidR="00021A86">
          <w:rPr>
            <w:rFonts w:ascii="Palatino Linotype" w:hAnsi="Palatino Linotype"/>
            <w:noProof/>
            <w:sz w:val="20"/>
            <w:szCs w:val="20"/>
          </w:rPr>
          <w:t>671</w:t>
        </w:r>
        <w:r w:rsidRPr="00FC1DF6">
          <w:rPr>
            <w:rFonts w:ascii="Palatino Linotype" w:hAnsi="Palatino Linotype"/>
            <w:sz w:val="20"/>
            <w:szCs w:val="20"/>
          </w:rPr>
          <w:fldChar w:fldCharType="end"/>
        </w:r>
      </w:p>
    </w:sdtContent>
  </w:sdt>
  <w:p w:rsidR="00FC1DF6" w:rsidRDefault="00FC1DF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FC1DF6" w:rsidRDefault="00FC1DF6" w:rsidP="00FC1DF6">
    <w:pPr>
      <w:pStyle w:val="Piedepgina"/>
      <w:tabs>
        <w:tab w:val="clear" w:pos="4419"/>
        <w:tab w:val="clear" w:pos="8838"/>
        <w:tab w:val="left" w:pos="830"/>
      </w:tabs>
      <w:rPr>
        <w:rFonts w:ascii="Palatino Linotype" w:hAnsi="Palatino Linotype"/>
        <w:sz w:val="20"/>
        <w:szCs w:val="20"/>
      </w:rPr>
    </w:pPr>
    <w:r>
      <w:rPr>
        <w:rFonts w:ascii="Palatino Linotype" w:hAnsi="Palatino Linotype"/>
        <w:sz w:val="20"/>
        <w:szCs w:val="20"/>
      </w:rPr>
      <w:tab/>
    </w:r>
  </w:p>
  <w:p w:rsidR="00FC1DF6" w:rsidRDefault="00FC1D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1CD" w:rsidRDefault="00DB41CD" w:rsidP="00563A13">
      <w:r>
        <w:separator/>
      </w:r>
    </w:p>
  </w:footnote>
  <w:footnote w:type="continuationSeparator" w:id="0">
    <w:p w:rsidR="00DB41CD" w:rsidRDefault="00DB41CD" w:rsidP="00563A13">
      <w:r>
        <w:continuationSeparator/>
      </w:r>
    </w:p>
  </w:footnote>
  <w:footnote w:id="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“Artículo 443. El procedimiento en todos los juicios de competencia de los Tribunales de Trabajo es fundamentalmente verbal”</w:t>
      </w:r>
    </w:p>
  </w:footnote>
  <w:footnote w:id="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Artavia Barrantes Sergio y Picado Vargas Carlos. Código Procesal Civil. Comentado, explicado, concordado y con referencias bibliográficas. Tomo I. Investigaciones Jurídicas S.A. San José, 2016, págs. 309-310. </w:t>
      </w:r>
    </w:p>
  </w:footnote>
  <w:footnote w:id="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“Artículo 483.- En el supuesto de atribución específica de la carga procesal a los empleadores, señalados en el inciso final del artículo 478, los tribunales tendrán facultades suficientes para requerir todas las pruebas que el caso amerite y valorarán la verosimilitud de las aserciones de la demanda con prudencia, de modo que impidan cualquier abuso derivado de esa atribución.”</w:t>
      </w:r>
    </w:p>
  </w:footnote>
  <w:footnote w:id="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Este voto dispuso la nulidad del inciso a del articulo 3 del CPCA y la jurisprudencia emitida por la Sala Primera, derivada de la aplicación del artículo 4 de la antigua Ley de la Jurisdicción Contencioso Administrativa, en tanto consideró el tribunal constitucional, que solo el juez de esa jurisdicción especial artículo 49 de la Constitución Política es el competente para anular actos administrativos, aunque se encuentren ligados por razón del contenido material o sustancial de las pretensiones y el régimen jurídico aplicable, a una relación de empleo público. </w:t>
      </w:r>
    </w:p>
  </w:footnote>
  <w:footnote w:id="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Artavia Barrantes Sergio y Picado Vargas Carlos. Código Procesal Civil. Comentado, explicado, concordado y con referencias bibliográficas. Tomo I. Investigaciones Jurídicas S.A. San José, 2016, pág. 306</w:t>
      </w:r>
    </w:p>
  </w:footnote>
  <w:footnote w:id="6">
    <w:p w:rsidR="00FC1DF6" w:rsidRPr="009235DC" w:rsidRDefault="00FC1DF6" w:rsidP="00076AF8">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Valga decir que, en la penúltima versión del proyecto de ley de reforma, dicho mandato legal no se encontraba presente, con lo cual, fue un agregado de último momento.</w:t>
      </w:r>
    </w:p>
  </w:footnote>
  <w:footnote w:id="7">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sym w:font="Symbol" w:char="F0B7"/>
      </w:r>
      <w:r w:rsidRPr="009235DC">
        <w:rPr>
          <w:rFonts w:ascii="Palatino Linotype" w:hAnsi="Palatino Linotype"/>
          <w:sz w:val="18"/>
          <w:szCs w:val="18"/>
        </w:rPr>
        <w:t xml:space="preserve"> </w:t>
      </w:r>
      <w:r w:rsidRPr="009235DC">
        <w:rPr>
          <w:rFonts w:ascii="Palatino Linotype" w:hAnsi="Palatino Linotype" w:cs="Times New Roman"/>
          <w:sz w:val="18"/>
          <w:szCs w:val="18"/>
        </w:rPr>
        <w:t>Doctor y Magíster en Derecho Procesal por la Universidad Nacional de Rosario, Argentina. Doctor en Derecho Procesal Civil por la Universidad Escuela Libre de Derecho. Especialista en Derecho Agrario por la Universidad de Costa Rica. Profesor en el Doctorado en Derecho Procesal Civil de la UELD. Juez Titular del Tribunal Agrario. Autor de 35 libros en Derecho Procesal.</w:t>
      </w:r>
    </w:p>
  </w:footnote>
  <w:footnote w:id="8">
    <w:p w:rsidR="00FC1DF6" w:rsidRPr="009235DC" w:rsidRDefault="00FC1DF6" w:rsidP="00E60FEF">
      <w:pPr>
        <w:jc w:val="both"/>
        <w:rPr>
          <w:rFonts w:ascii="Palatino Linotype" w:hAnsi="Palatino Linotype"/>
          <w:sz w:val="18"/>
          <w:szCs w:val="18"/>
        </w:rPr>
      </w:pPr>
      <w:r w:rsidRPr="009235DC">
        <w:rPr>
          <w:rFonts w:ascii="Palatino Linotype" w:hAnsi="Palatino Linotype" w:cs="Times New Roman"/>
          <w:sz w:val="18"/>
          <w:szCs w:val="18"/>
          <w:vertAlign w:val="superscript"/>
        </w:rPr>
        <w:footnoteRef/>
      </w:r>
      <w:r w:rsidRPr="009235DC">
        <w:rPr>
          <w:rFonts w:ascii="Palatino Linotype" w:hAnsi="Palatino Linotype" w:cs="Times New Roman"/>
          <w:sz w:val="18"/>
          <w:szCs w:val="18"/>
        </w:rPr>
        <w:t xml:space="preserve"> Antillon Montealegre Walter.  </w:t>
      </w:r>
      <w:r w:rsidRPr="009235DC">
        <w:rPr>
          <w:rFonts w:ascii="Palatino Linotype" w:hAnsi="Palatino Linotype" w:cs="Times New Roman"/>
          <w:iCs/>
          <w:sz w:val="18"/>
          <w:szCs w:val="18"/>
        </w:rPr>
        <w:t>“La carga de la prueba en materia civil</w:t>
      </w:r>
      <w:r w:rsidRPr="009235DC">
        <w:rPr>
          <w:rFonts w:ascii="Palatino Linotype" w:hAnsi="Palatino Linotype" w:cs="Times New Roman"/>
          <w:sz w:val="18"/>
          <w:szCs w:val="18"/>
        </w:rPr>
        <w:t xml:space="preserve">”  en:  Zeledón Ricardo.  </w:t>
      </w:r>
      <w:r w:rsidRPr="009235DC">
        <w:rPr>
          <w:rFonts w:ascii="Palatino Linotype" w:hAnsi="Palatino Linotype" w:cs="Times New Roman"/>
          <w:bCs/>
          <w:sz w:val="18"/>
          <w:szCs w:val="18"/>
        </w:rPr>
        <w:t>La gran Reforma procesal</w:t>
      </w:r>
      <w:r w:rsidRPr="009235DC">
        <w:rPr>
          <w:rFonts w:ascii="Palatino Linotype" w:hAnsi="Palatino Linotype" w:cs="Times New Roman"/>
          <w:sz w:val="18"/>
          <w:szCs w:val="18"/>
        </w:rPr>
        <w:t xml:space="preserve">, 2000, p.353.   También en Antillon Montealegre Walter. </w:t>
      </w:r>
      <w:r w:rsidRPr="009235DC">
        <w:rPr>
          <w:rFonts w:ascii="Palatino Linotype" w:hAnsi="Palatino Linotype" w:cs="Times New Roman"/>
          <w:bCs/>
          <w:sz w:val="18"/>
          <w:szCs w:val="18"/>
        </w:rPr>
        <w:t>Ensayos de Derecho Procesal</w:t>
      </w:r>
      <w:r w:rsidRPr="009235DC">
        <w:rPr>
          <w:rFonts w:ascii="Palatino Linotype" w:hAnsi="Palatino Linotype" w:cs="Times New Roman"/>
          <w:sz w:val="18"/>
          <w:szCs w:val="18"/>
        </w:rPr>
        <w:t>, San José, EIJSA, Tomo II, 2004.</w:t>
      </w:r>
    </w:p>
  </w:footnote>
  <w:footnote w:id="9">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En la actualidad, se relaciona al sistema dispositivo o acusatorio con los regímenes democráticos, a la vez que se involucra al sistema inquisitivo con los regímenes absolutistas. Véase: Ferrajoli Luigi. Derecho y razón. Madrid, Trotta, 1995, p.p. 636-637. </w:t>
      </w:r>
    </w:p>
  </w:footnote>
  <w:footnote w:id="1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Calvinho Gustavo. </w:t>
      </w:r>
      <w:r w:rsidRPr="009235DC">
        <w:rPr>
          <w:rFonts w:ascii="Palatino Linotype" w:hAnsi="Palatino Linotype" w:cs="Times New Roman"/>
          <w:iCs/>
          <w:sz w:val="18"/>
          <w:szCs w:val="18"/>
        </w:rPr>
        <w:t>“El proceso a partir del hombre y la libertad”,</w:t>
      </w:r>
      <w:r w:rsidRPr="009235DC">
        <w:rPr>
          <w:rFonts w:ascii="Palatino Linotype" w:hAnsi="Palatino Linotype" w:cs="Times New Roman"/>
          <w:sz w:val="18"/>
          <w:szCs w:val="18"/>
        </w:rPr>
        <w:t xml:space="preserve"> en: Aguila Grados Guido et al. La fe del hombre en sí mismo o la lucha por la libertad a través del proceso, Lima, San Marcos E.I.R.L., 2008, p.217.</w:t>
      </w:r>
    </w:p>
  </w:footnote>
  <w:footnote w:id="1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Alsina Hugo. Tratado teórico práctico del derecho procesal civil y comercial, Tomo I, Ediar, 1997, p.103.</w:t>
      </w:r>
    </w:p>
  </w:footnote>
  <w:footnote w:id="1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Calvinho</w:t>
      </w:r>
      <w:r w:rsidRPr="009235DC">
        <w:rPr>
          <w:rFonts w:ascii="Palatino Linotype" w:hAnsi="Palatino Linotype" w:cs="Times New Roman"/>
          <w:iCs/>
          <w:sz w:val="18"/>
          <w:szCs w:val="18"/>
        </w:rPr>
        <w:t>, “El proceso a partir…”</w:t>
      </w:r>
      <w:r w:rsidRPr="009235DC">
        <w:rPr>
          <w:rFonts w:ascii="Palatino Linotype" w:hAnsi="Palatino Linotype" w:cs="Times New Roman"/>
          <w:sz w:val="18"/>
          <w:szCs w:val="18"/>
        </w:rPr>
        <w:t xml:space="preserve"> ob.cit, p.217.</w:t>
      </w:r>
    </w:p>
  </w:footnote>
  <w:footnote w:id="13">
    <w:p w:rsidR="00FC1DF6" w:rsidRPr="009235DC" w:rsidRDefault="00FC1DF6" w:rsidP="00E60FEF">
      <w:pPr>
        <w:jc w:val="both"/>
        <w:rPr>
          <w:rFonts w:ascii="Palatino Linotype" w:hAnsi="Palatino Linotype"/>
          <w:sz w:val="18"/>
          <w:szCs w:val="18"/>
        </w:rPr>
      </w:pPr>
      <w:r w:rsidRPr="009235DC">
        <w:rPr>
          <w:rFonts w:ascii="Palatino Linotype" w:hAnsi="Palatino Linotype" w:cs="Times New Roman"/>
          <w:sz w:val="18"/>
          <w:szCs w:val="18"/>
          <w:vertAlign w:val="superscript"/>
        </w:rPr>
        <w:footnoteRef/>
      </w:r>
      <w:r w:rsidRPr="009235DC">
        <w:rPr>
          <w:rFonts w:ascii="Palatino Linotype" w:hAnsi="Palatino Linotype" w:cs="Times New Roman"/>
          <w:sz w:val="18"/>
          <w:szCs w:val="18"/>
        </w:rPr>
        <w:t xml:space="preserve"> Alsina, ob.cit.,  p. 102.</w:t>
      </w:r>
    </w:p>
  </w:footnote>
  <w:footnote w:id="1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Artavia lo define así: </w:t>
      </w:r>
      <w:r w:rsidRPr="009235DC">
        <w:rPr>
          <w:rFonts w:ascii="Palatino Linotype" w:hAnsi="Palatino Linotype" w:cs="Times New Roman"/>
          <w:iCs/>
          <w:sz w:val="18"/>
          <w:szCs w:val="18"/>
        </w:rPr>
        <w:t>“...aquel en el que el juez de oficio se convierte en el iniciador, director, dueño y señor del debate, prescindiendo de ser necesario de la participación y audiencia de las partes...”.</w:t>
      </w:r>
      <w:r w:rsidRPr="009235DC">
        <w:rPr>
          <w:rFonts w:ascii="Palatino Linotype" w:hAnsi="Palatino Linotype" w:cs="Times New Roman"/>
          <w:sz w:val="18"/>
          <w:szCs w:val="18"/>
        </w:rPr>
        <w:t xml:space="preserve"> Véase en Artavia Barrantes Sergio. Derecho Procesal Civil, Tomo I, San José, Dupas, 2003, p.163. Del mismo autor en Teoría general del proceso, 3ª edición, San José, 2017, pág. 47.</w:t>
      </w:r>
    </w:p>
  </w:footnote>
  <w:footnote w:id="1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w:t>
      </w:r>
      <w:hyperlink r:id="rId1" w:anchor="biu" w:history="1">
        <w:r w:rsidRPr="009235DC">
          <w:rPr>
            <w:rStyle w:val="Hipervnculo"/>
            <w:rFonts w:ascii="Palatino Linotype" w:hAnsi="Palatino Linotype" w:cs="Times New Roman"/>
            <w:color w:val="auto"/>
            <w:sz w:val="18"/>
            <w:szCs w:val="18"/>
            <w:u w:val="none"/>
          </w:rPr>
          <w:t>http://www.clerus.org/bibliaclerusonline/es/bvo.htm#biu</w:t>
        </w:r>
      </w:hyperlink>
      <w:r w:rsidRPr="009235DC">
        <w:rPr>
          <w:rFonts w:ascii="Palatino Linotype" w:hAnsi="Palatino Linotype" w:cs="Times New Roman"/>
          <w:sz w:val="18"/>
          <w:szCs w:val="18"/>
        </w:rPr>
        <w:t xml:space="preserve"> 08.04.2011.</w:t>
      </w:r>
    </w:p>
  </w:footnote>
  <w:footnote w:id="1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Alvarado y Picado, ob.cit., p.57.</w:t>
      </w:r>
    </w:p>
  </w:footnote>
  <w:footnote w:id="1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Alvarado, Sistema…ob.cit., p.97.</w:t>
      </w:r>
    </w:p>
  </w:footnote>
  <w:footnote w:id="1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Núñez Núñez Carlos Enrique. </w:t>
      </w:r>
      <w:r w:rsidRPr="009235DC">
        <w:rPr>
          <w:rFonts w:ascii="Palatino Linotype" w:hAnsi="Palatino Linotype" w:cs="Times New Roman"/>
          <w:iCs/>
          <w:sz w:val="18"/>
          <w:szCs w:val="18"/>
        </w:rPr>
        <w:t xml:space="preserve">Interpretaciones Inquisitorias en el sistema Acusatorio del Código Procesal Penal de 1996. </w:t>
      </w:r>
      <w:r w:rsidRPr="009235DC">
        <w:rPr>
          <w:rFonts w:ascii="Palatino Linotype" w:hAnsi="Palatino Linotype" w:cs="Times New Roman"/>
          <w:sz w:val="18"/>
          <w:szCs w:val="18"/>
        </w:rPr>
        <w:t>Tesis para optar por el grado de Licenciado en Derecho. Universidad Escuela Libre de Derecho. San José, Costa Rica, 2002. p.6.</w:t>
      </w:r>
    </w:p>
  </w:footnote>
  <w:footnote w:id="19">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Varios expedientes de la Inquisición Española han sido digitalizados y pueden verse en el Portal de Archivos Españoles PARES, dependiente del Ministerio de Cultura del Gobierno de España, accediendo a su buscador en la web: http://pares.mcu.es/ParesBusquedas/servlets/Control_servlet 08.04.2011.</w:t>
      </w:r>
    </w:p>
  </w:footnote>
  <w:footnote w:id="2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Martínez Víctor. “El sistema procesal inquisitorial como impedimento para la vigencia de las garantías constitucionales y derechos”, en: Aguila Grados, “La fe del hombre…”, ob.cit., p.456.</w:t>
      </w:r>
    </w:p>
  </w:footnote>
  <w:footnote w:id="2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Ulate Chacon Enrique. Tratado de Derecho Procesal Agrario, Tomo I, San José, Guayacán, 1999, p.350.</w:t>
      </w:r>
    </w:p>
  </w:footnote>
  <w:footnote w:id="2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En contraposición, nótese lo que opina la doctrina agrarista brasileña: </w:t>
      </w:r>
      <w:r w:rsidRPr="009235DC">
        <w:rPr>
          <w:rFonts w:ascii="Palatino Linotype" w:hAnsi="Palatino Linotype" w:cs="Times New Roman"/>
          <w:iCs/>
          <w:sz w:val="18"/>
          <w:szCs w:val="18"/>
        </w:rPr>
        <w:t>“Al respecto, tampoco somos favorables de que se mitigue el principio dispositivo, como quieren algunos, como forma de permitir al juez sobrepasar los límites de la controversia establecidos por las partes principio inquisitivo. La razón es que esto propiciaría, salvo mejor juicio, una justicia clasista, forzando el predominio del interés de uno de los dos litigantes, en afrenta al ideal supremo de dar a cada uno lo que es suyo, según el Derecho”.</w:t>
      </w:r>
      <w:r w:rsidRPr="009235DC">
        <w:rPr>
          <w:rFonts w:ascii="Palatino Linotype" w:hAnsi="Palatino Linotype" w:cs="Times New Roman"/>
          <w:sz w:val="18"/>
          <w:szCs w:val="18"/>
        </w:rPr>
        <w:t xml:space="preserve"> Borges Marcos Afonso. Princípios de Directo Processsual: civil e agrário, Goiania, Editora AB, 1999, p.130.</w:t>
      </w:r>
    </w:p>
  </w:footnote>
  <w:footnote w:id="2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w:t>
      </w:r>
      <w:r w:rsidRPr="009235DC">
        <w:rPr>
          <w:rFonts w:ascii="Palatino Linotype" w:hAnsi="Palatino Linotype" w:cs="Times New Roman"/>
          <w:iCs/>
          <w:sz w:val="18"/>
          <w:szCs w:val="18"/>
        </w:rPr>
        <w:t xml:space="preserve">“Que alguien haya proyectado el “inquisitivismo” actual como “eficientismo” procesal no es sino la proyección “optimista” de que lo malo llegue a ser bueno, de que lo irrealizable alguna vez llegue  a ser, en fin, de que lo inconstitucional se haga constitucional”.  </w:t>
      </w:r>
      <w:r w:rsidRPr="009235DC">
        <w:rPr>
          <w:rFonts w:ascii="Palatino Linotype" w:hAnsi="Palatino Linotype" w:cs="Times New Roman"/>
          <w:sz w:val="18"/>
          <w:szCs w:val="18"/>
        </w:rPr>
        <w:t>González Alvarez Roberto. “¿Inquisitivismo como Eficientismo? Utopía, distopía y ucronía del inquisitivismo”, en: Aguila Grados, “La fe del hombre…” Ob.cit., p.690.</w:t>
      </w:r>
    </w:p>
  </w:footnote>
  <w:footnote w:id="2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Sala Primera de la Corte Suprema de Justicia, Voto No. 195-F-02 de las 16:15 horas del 20 de febrero del 2002.</w:t>
      </w:r>
    </w:p>
  </w:footnote>
  <w:footnote w:id="2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Aldana Rozo, Luis Enrique. </w:t>
      </w:r>
      <w:r w:rsidRPr="009235DC">
        <w:rPr>
          <w:rFonts w:ascii="Palatino Linotype" w:hAnsi="Palatino Linotype" w:cs="Times New Roman"/>
          <w:iCs/>
          <w:sz w:val="18"/>
          <w:szCs w:val="18"/>
        </w:rPr>
        <w:t xml:space="preserve">Proceso acusatorio, inquisitivo y mixto. </w:t>
      </w:r>
      <w:r w:rsidRPr="009235DC">
        <w:rPr>
          <w:rFonts w:ascii="Palatino Linotype" w:hAnsi="Palatino Linotype" w:cs="Times New Roman"/>
          <w:sz w:val="18"/>
          <w:szCs w:val="18"/>
        </w:rPr>
        <w:t>Revista del Instituto de Ciencias Penales y Criminológicas de la Universidad Externado de Colombia. Año 85-86.</w:t>
      </w:r>
    </w:p>
  </w:footnote>
  <w:footnote w:id="2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Durán Díaz, Edmundo. </w:t>
      </w:r>
      <w:r w:rsidRPr="009235DC">
        <w:rPr>
          <w:rFonts w:ascii="Palatino Linotype" w:hAnsi="Palatino Linotype" w:cs="Times New Roman"/>
          <w:iCs/>
          <w:sz w:val="18"/>
          <w:szCs w:val="18"/>
        </w:rPr>
        <w:t xml:space="preserve">Manual de Derecho Procesal Penal. </w:t>
      </w:r>
      <w:r w:rsidRPr="009235DC">
        <w:rPr>
          <w:rFonts w:ascii="Palatino Linotype" w:hAnsi="Palatino Linotype" w:cs="Times New Roman"/>
          <w:sz w:val="18"/>
          <w:szCs w:val="18"/>
        </w:rPr>
        <w:t>Edino. Ecuador, 1992. p. 21.</w:t>
      </w:r>
    </w:p>
  </w:footnote>
  <w:footnote w:id="27">
    <w:p w:rsidR="00FC1DF6" w:rsidRPr="009235DC" w:rsidRDefault="00FC1DF6" w:rsidP="00E60FEF">
      <w:pPr>
        <w:jc w:val="both"/>
        <w:rPr>
          <w:rFonts w:ascii="Palatino Linotype" w:hAnsi="Palatino Linotype"/>
          <w:sz w:val="18"/>
          <w:szCs w:val="18"/>
        </w:rPr>
      </w:pPr>
      <w:r w:rsidRPr="009235DC">
        <w:rPr>
          <w:rFonts w:ascii="Palatino Linotype" w:hAnsi="Palatino Linotype" w:cs="Times New Roman"/>
          <w:sz w:val="18"/>
          <w:szCs w:val="18"/>
          <w:vertAlign w:val="superscript"/>
        </w:rPr>
        <w:footnoteRef/>
      </w:r>
      <w:r w:rsidRPr="009235DC">
        <w:rPr>
          <w:rFonts w:ascii="Palatino Linotype" w:hAnsi="Palatino Linotype" w:cs="Times New Roman"/>
          <w:sz w:val="18"/>
          <w:szCs w:val="18"/>
        </w:rPr>
        <w:t xml:space="preserve"> Eisner Isidoro. La prueba en el proceso civil, Buenos Aires, Abeledo-Perrot, 1997, p.39.</w:t>
      </w:r>
    </w:p>
  </w:footnote>
  <w:footnote w:id="28">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Berizonce Roberto. “El activismo de los jueces”, Buenos Aires, L.L, 1990, E, p.920.</w:t>
      </w:r>
    </w:p>
  </w:footnote>
  <w:footnote w:id="29">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Zeledon Zeledon Ricardo. </w:t>
      </w:r>
      <w:r w:rsidRPr="009235DC">
        <w:rPr>
          <w:rFonts w:ascii="Palatino Linotype" w:hAnsi="Palatino Linotype" w:cs="Times New Roman"/>
          <w:iCs/>
          <w:sz w:val="18"/>
          <w:szCs w:val="18"/>
        </w:rPr>
        <w:t>“Prólogo”,</w:t>
      </w:r>
      <w:r w:rsidRPr="009235DC">
        <w:rPr>
          <w:rFonts w:ascii="Palatino Linotype" w:hAnsi="Palatino Linotype" w:cs="Times New Roman"/>
          <w:sz w:val="18"/>
          <w:szCs w:val="18"/>
        </w:rPr>
        <w:t xml:space="preserve"> en: Picado Vargas Carlos Adolfo. Debido Proceso: civil-laboral-agrario. San José, Editorial Investigaciones Jurídicas, 2007, p.p.40-42.</w:t>
      </w:r>
    </w:p>
  </w:footnote>
  <w:footnote w:id="3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Alvarado Velloso, Adolfo. </w:t>
      </w:r>
      <w:r w:rsidRPr="009235DC">
        <w:rPr>
          <w:rFonts w:ascii="Palatino Linotype" w:hAnsi="Palatino Linotype" w:cs="Times New Roman"/>
          <w:iCs/>
          <w:sz w:val="18"/>
          <w:szCs w:val="18"/>
        </w:rPr>
        <w:t>“La imparcialidad judicial y la prueba oficiosa”</w:t>
      </w:r>
      <w:r w:rsidRPr="009235DC">
        <w:rPr>
          <w:rFonts w:ascii="Palatino Linotype" w:hAnsi="Palatino Linotype" w:cs="Times New Roman"/>
          <w:sz w:val="18"/>
          <w:szCs w:val="18"/>
        </w:rPr>
        <w:t>, en: Alvarado Velloso Adolfo et al. Confirmación procesal, Buenos Aires, Ediar, 2007, p.5.</w:t>
      </w:r>
    </w:p>
  </w:footnote>
  <w:footnote w:id="3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Calvinho, </w:t>
      </w:r>
      <w:r w:rsidRPr="009235DC">
        <w:rPr>
          <w:rFonts w:ascii="Palatino Linotype" w:hAnsi="Palatino Linotype" w:cs="Times New Roman"/>
          <w:iCs/>
          <w:sz w:val="18"/>
          <w:szCs w:val="18"/>
        </w:rPr>
        <w:t>“El proceso a partir…”</w:t>
      </w:r>
      <w:r w:rsidRPr="009235DC">
        <w:rPr>
          <w:rFonts w:ascii="Palatino Linotype" w:hAnsi="Palatino Linotype" w:cs="Times New Roman"/>
          <w:sz w:val="18"/>
          <w:szCs w:val="18"/>
        </w:rPr>
        <w:t xml:space="preserve"> ob.cit., p.217.</w:t>
      </w:r>
    </w:p>
  </w:footnote>
  <w:footnote w:id="3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Borthwick Adolfo E. Principios procesales, Buenos Aires, Mave, 2003, p.55.</w:t>
      </w:r>
    </w:p>
  </w:footnote>
  <w:footnote w:id="3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Borthwick Adolfo E. Principios formativos de los procesos, Buenos Aires, Mave, 2005, p.42.</w:t>
      </w:r>
    </w:p>
  </w:footnote>
  <w:footnote w:id="34">
    <w:p w:rsidR="00FC1DF6" w:rsidRPr="009235DC" w:rsidRDefault="00FC1DF6" w:rsidP="00E60FEF">
      <w:pPr>
        <w:jc w:val="both"/>
        <w:rPr>
          <w:rFonts w:ascii="Palatino Linotype" w:hAnsi="Palatino Linotype"/>
          <w:sz w:val="18"/>
          <w:szCs w:val="18"/>
        </w:rPr>
      </w:pPr>
      <w:r w:rsidRPr="009235DC">
        <w:rPr>
          <w:rFonts w:ascii="Palatino Linotype" w:hAnsi="Palatino Linotype" w:cs="Times New Roman"/>
          <w:sz w:val="18"/>
          <w:szCs w:val="18"/>
          <w:vertAlign w:val="superscript"/>
        </w:rPr>
        <w:footnoteRef/>
      </w:r>
      <w:r w:rsidRPr="009235DC">
        <w:rPr>
          <w:rFonts w:ascii="Palatino Linotype" w:hAnsi="Palatino Linotype" w:cs="Times New Roman"/>
          <w:sz w:val="18"/>
          <w:szCs w:val="18"/>
        </w:rPr>
        <w:t xml:space="preserve"> Couture Eduardo J.  Trayectoria y Destino del Derecho Procesal Civil Hispanoamericano, Buenos Aires, Depalma, 1999, p.42.  Gozaíni  Osvaldo Alfredo. </w:t>
      </w:r>
      <w:r w:rsidRPr="009235DC">
        <w:rPr>
          <w:rFonts w:ascii="Palatino Linotype" w:hAnsi="Palatino Linotype" w:cs="Times New Roman"/>
          <w:iCs/>
          <w:sz w:val="18"/>
          <w:szCs w:val="18"/>
        </w:rPr>
        <w:t xml:space="preserve">“Los Hechos y la Prueba”, </w:t>
      </w:r>
      <w:r w:rsidRPr="009235DC">
        <w:rPr>
          <w:rFonts w:ascii="Palatino Linotype" w:hAnsi="Palatino Linotype" w:cs="Times New Roman"/>
          <w:sz w:val="18"/>
          <w:szCs w:val="18"/>
        </w:rPr>
        <w:t>en: Revista de Derecho Privado y Comunitario: Prueba., Buenos Aires, Rubinzal-Culzoni, No. 13, 1997, p.14.</w:t>
      </w:r>
    </w:p>
  </w:footnote>
  <w:footnote w:id="35">
    <w:p w:rsidR="00FC1DF6" w:rsidRPr="009235DC" w:rsidRDefault="00FC1DF6" w:rsidP="00E60FEF">
      <w:pPr>
        <w:jc w:val="both"/>
        <w:rPr>
          <w:rFonts w:ascii="Palatino Linotype" w:hAnsi="Palatino Linotype"/>
          <w:sz w:val="18"/>
          <w:szCs w:val="18"/>
        </w:rPr>
      </w:pPr>
      <w:r w:rsidRPr="009235DC">
        <w:rPr>
          <w:rFonts w:ascii="Palatino Linotype" w:hAnsi="Palatino Linotype" w:cs="Times New Roman"/>
          <w:sz w:val="18"/>
          <w:szCs w:val="18"/>
          <w:vertAlign w:val="superscript"/>
        </w:rPr>
        <w:footnoteRef/>
      </w:r>
      <w:r w:rsidRPr="009235DC">
        <w:rPr>
          <w:rFonts w:ascii="Palatino Linotype" w:hAnsi="Palatino Linotype" w:cs="Times New Roman"/>
          <w:sz w:val="18"/>
          <w:szCs w:val="18"/>
        </w:rPr>
        <w:t xml:space="preserve"> Alvarado Velloso fue el encargado de comentar la famosa obra de Devis Echandía,  “Compendio de la Prueba Judicial“.  En sus anotaciones, muestra la otra cara de la moneda en torno al sistema dispositivo que aboga el segundo. Veamos: “</w:t>
      </w:r>
      <w:r w:rsidRPr="009235DC">
        <w:rPr>
          <w:rFonts w:ascii="Palatino Linotype" w:hAnsi="Palatino Linotype" w:cs="Times New Roman"/>
          <w:iCs/>
          <w:sz w:val="18"/>
          <w:szCs w:val="18"/>
        </w:rPr>
        <w:t>Creemos que tal posición doctrinal y las consecuentes afirmacio</w:t>
      </w:r>
      <w:r w:rsidRPr="009235DC">
        <w:rPr>
          <w:rFonts w:ascii="Palatino Linotype" w:hAnsi="Palatino Linotype" w:cs="Times New Roman"/>
          <w:iCs/>
          <w:sz w:val="18"/>
          <w:szCs w:val="18"/>
        </w:rPr>
        <w:softHyphen/>
        <w:t>nes consignadas precedentemente son inexactas pues, como to</w:t>
      </w:r>
      <w:r w:rsidRPr="009235DC">
        <w:rPr>
          <w:rFonts w:ascii="Palatino Linotype" w:hAnsi="Palatino Linotype" w:cs="Times New Roman"/>
          <w:iCs/>
          <w:sz w:val="18"/>
          <w:szCs w:val="18"/>
        </w:rPr>
        <w:softHyphen/>
        <w:t>das las reglas de debate procesal oralidad o escritura; mediación o inmediación; etc., disposición e inquisición son métodos in</w:t>
      </w:r>
      <w:r w:rsidRPr="009235DC">
        <w:rPr>
          <w:rFonts w:ascii="Palatino Linotype" w:hAnsi="Palatino Linotype" w:cs="Times New Roman"/>
          <w:iCs/>
          <w:sz w:val="18"/>
          <w:szCs w:val="18"/>
        </w:rPr>
        <w:softHyphen/>
        <w:t>compatibles entre sí nada puede ser una cosa y otra al mismo tiempo.... Queremos significar con esto que mientras otras po</w:t>
      </w:r>
      <w:r w:rsidRPr="009235DC">
        <w:rPr>
          <w:rFonts w:ascii="Palatino Linotype" w:hAnsi="Palatino Linotype" w:cs="Times New Roman"/>
          <w:iCs/>
          <w:sz w:val="18"/>
          <w:szCs w:val="18"/>
        </w:rPr>
        <w:softHyphen/>
        <w:t>laridades oralidad y escritura, por ejemplo y no otras media</w:t>
      </w:r>
      <w:r w:rsidRPr="009235DC">
        <w:rPr>
          <w:rFonts w:ascii="Palatino Linotype" w:hAnsi="Palatino Linotype" w:cs="Times New Roman"/>
          <w:iCs/>
          <w:sz w:val="18"/>
          <w:szCs w:val="18"/>
        </w:rPr>
        <w:softHyphen/>
        <w:t xml:space="preserve">ción e inmediación, por ejemplo pueden combinarse entre sí en un sistema que acentúe el predominio de una sobre otra en ciertas etapas del proceso, no resulta lógica ni racionalmente posible en el caso de la polaridad disposición-inquisición. La pretendida armónica convivencia entre ellos no puede darse jamás porque cada uno atenta tanto contra el otro que aquel perseguido equilibrio no es tal sino una simple y deplorable incoherencia sistemática.”  </w:t>
      </w:r>
      <w:r w:rsidRPr="009235DC">
        <w:rPr>
          <w:rFonts w:ascii="Palatino Linotype" w:hAnsi="Palatino Linotype" w:cs="Times New Roman"/>
          <w:sz w:val="18"/>
          <w:szCs w:val="18"/>
        </w:rPr>
        <w:t xml:space="preserve">Alvarado Velloso Adolfo. </w:t>
      </w:r>
      <w:r w:rsidRPr="009235DC">
        <w:rPr>
          <w:rFonts w:ascii="Palatino Linotype" w:hAnsi="Palatino Linotype" w:cs="Times New Roman"/>
          <w:iCs/>
          <w:sz w:val="18"/>
          <w:szCs w:val="18"/>
        </w:rPr>
        <w:t xml:space="preserve">En: </w:t>
      </w:r>
      <w:r w:rsidRPr="009235DC">
        <w:rPr>
          <w:rFonts w:ascii="Palatino Linotype" w:hAnsi="Palatino Linotype" w:cs="Times New Roman"/>
          <w:sz w:val="18"/>
          <w:szCs w:val="18"/>
        </w:rPr>
        <w:t>Devis Echandia Compendio de la Prueba Judicial, Tomo I, Buenos Aires, Rubinzal-Culzoni, 1999, p.p.54-55.</w:t>
      </w:r>
    </w:p>
  </w:footnote>
  <w:footnote w:id="3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Benabentos Omar Abel. Teoría General Unitaria del Derecho Procesal, Bogotá, Temis, 2001, p.76.</w:t>
      </w:r>
    </w:p>
  </w:footnote>
  <w:footnote w:id="37">
    <w:p w:rsidR="00FC1DF6" w:rsidRPr="009235DC" w:rsidRDefault="00FC1DF6" w:rsidP="00E60FEF">
      <w:pPr>
        <w:jc w:val="both"/>
        <w:rPr>
          <w:rFonts w:ascii="Palatino Linotype" w:hAnsi="Palatino Linotype"/>
          <w:sz w:val="18"/>
          <w:szCs w:val="18"/>
        </w:rPr>
      </w:pPr>
      <w:r w:rsidRPr="009235DC">
        <w:rPr>
          <w:rFonts w:ascii="Palatino Linotype" w:hAnsi="Palatino Linotype" w:cs="Times New Roman"/>
          <w:sz w:val="18"/>
          <w:szCs w:val="18"/>
          <w:vertAlign w:val="superscript"/>
        </w:rPr>
        <w:footnoteRef/>
      </w:r>
      <w:r w:rsidRPr="009235DC">
        <w:rPr>
          <w:rFonts w:ascii="Palatino Linotype" w:hAnsi="Palatino Linotype" w:cs="Times New Roman"/>
          <w:sz w:val="18"/>
          <w:szCs w:val="18"/>
        </w:rPr>
        <w:t xml:space="preserve"> </w:t>
      </w:r>
      <w:r w:rsidRPr="009235DC">
        <w:rPr>
          <w:rFonts w:ascii="Palatino Linotype" w:hAnsi="Palatino Linotype" w:cs="Times New Roman"/>
          <w:iCs/>
          <w:sz w:val="18"/>
          <w:szCs w:val="18"/>
        </w:rPr>
        <w:t>“Nos parece indispensable llamar la atención sobre la existencia, no discutida por los procesalistas contemporáneos, de dos aspectos de lo que generalmente se denomina principio dispositivo. El primero de ellos mira a la necesidad de la demanda para la iniciación del proceso, lo mismo que a la obligación del juez de limitar su decisión a las peticiones del actor y las excepciones del demandado, o principio de la congruencia en Europa se exige que las excepciones hayan sido propuestas por el demandado, pero preferimos el sistema colombiano, que deja en libertad al juez para declarar oficiosamente las que en</w:t>
      </w:r>
      <w:r w:rsidRPr="009235DC">
        <w:rPr>
          <w:rFonts w:ascii="Palatino Linotype" w:hAnsi="Palatino Linotype" w:cs="Times New Roman"/>
          <w:iCs/>
          <w:sz w:val="18"/>
          <w:szCs w:val="18"/>
        </w:rPr>
        <w:softHyphen/>
        <w:t>cuentre probadas, salvo las de prescripción, compensación y nulidad sustancial relativa.  El segundo se refiere  a sus poderes en materia probatoria”</w:t>
      </w:r>
      <w:r w:rsidRPr="009235DC">
        <w:rPr>
          <w:rFonts w:ascii="Palatino Linotype" w:hAnsi="Palatino Linotype" w:cs="Times New Roman"/>
          <w:sz w:val="18"/>
          <w:szCs w:val="18"/>
        </w:rPr>
        <w:t xml:space="preserve">  Devis Echandia. Compendio…ob.cit., p.59.</w:t>
      </w:r>
    </w:p>
  </w:footnote>
  <w:footnote w:id="3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Benaventos Omar A. </w:t>
      </w:r>
      <w:r w:rsidRPr="009235DC">
        <w:rPr>
          <w:rFonts w:ascii="Palatino Linotype" w:hAnsi="Palatino Linotype" w:cs="Times New Roman"/>
          <w:iCs/>
          <w:sz w:val="18"/>
          <w:szCs w:val="18"/>
        </w:rPr>
        <w:t>Aportes del garantismo procesal para mejorar el sistema de procesamiento de América Latina</w:t>
      </w:r>
      <w:r w:rsidRPr="009235DC">
        <w:rPr>
          <w:rFonts w:ascii="Palatino Linotype" w:hAnsi="Palatino Linotype" w:cs="Times New Roman"/>
          <w:sz w:val="18"/>
          <w:szCs w:val="18"/>
        </w:rPr>
        <w:t>, en: Instituto Colombiano De Derecho Procesal, XXIII Congreso Colombiano de Derecho Procesal, Bogotá, Universidad Externado de Colombia, 2002, p.555.</w:t>
      </w:r>
    </w:p>
  </w:footnote>
  <w:footnote w:id="39">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Alvarado Velloso Adolfo. </w:t>
      </w:r>
      <w:r w:rsidRPr="009235DC">
        <w:rPr>
          <w:rFonts w:ascii="Palatino Linotype" w:hAnsi="Palatino Linotype" w:cs="Times New Roman"/>
          <w:iCs/>
          <w:sz w:val="18"/>
          <w:szCs w:val="18"/>
        </w:rPr>
        <w:t>“La Imparcialidad judicial y la prueba oficiosa”</w:t>
      </w:r>
      <w:r w:rsidRPr="009235DC">
        <w:rPr>
          <w:rFonts w:ascii="Palatino Linotype" w:hAnsi="Palatino Linotype" w:cs="Times New Roman"/>
          <w:sz w:val="18"/>
          <w:szCs w:val="18"/>
        </w:rPr>
        <w:t>, en: Alvarado Velloso Adolfo et al. Confirmación Procesal. Buenos Aires, Ediar, 2007, p.6.</w:t>
      </w:r>
    </w:p>
  </w:footnote>
  <w:footnote w:id="4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Calvinho, “El proceso a partir…”, ob.cit., p.223.</w:t>
      </w:r>
    </w:p>
  </w:footnote>
  <w:footnote w:id="41">
    <w:p w:rsidR="00FC1DF6" w:rsidRPr="009235DC" w:rsidRDefault="00FC1DF6" w:rsidP="00E60FEF">
      <w:pPr>
        <w:pStyle w:val="Textonotapie"/>
        <w:tabs>
          <w:tab w:val="left" w:pos="6840"/>
        </w:tabs>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w:t>
      </w:r>
      <w:r w:rsidRPr="009235DC">
        <w:rPr>
          <w:rFonts w:ascii="Palatino Linotype" w:hAnsi="Palatino Linotype" w:cs="Times New Roman"/>
          <w:iCs/>
          <w:sz w:val="18"/>
          <w:szCs w:val="18"/>
        </w:rPr>
        <w:t xml:space="preserve">“De acuerdo a este carácter el procedimiento se caracteriza por: - Sin iniciativa de parte interesada no hay demanda.  – El impulso procesal se confía a las partes. – La disponibilidad del derecho material corresponde a las partes. – La iniciativa de las pruebas corresponde a las partes; por lo que el juez: no conoce más hechos que los expuestos en el expediente  y debe tener por ciertos los hechos en que las partes están de acuerdo. – Debe expedirse una sentencia de acuerdo con lo alegado y probado”. </w:t>
      </w:r>
      <w:r w:rsidRPr="009235DC">
        <w:rPr>
          <w:rFonts w:ascii="Palatino Linotype" w:hAnsi="Palatino Linotype" w:cs="Times New Roman"/>
          <w:sz w:val="18"/>
          <w:szCs w:val="18"/>
        </w:rPr>
        <w:t>Salinas Rivas Rosemary.</w:t>
      </w:r>
      <w:r w:rsidRPr="009235DC">
        <w:rPr>
          <w:rFonts w:ascii="Palatino Linotype" w:hAnsi="Palatino Linotype" w:cs="Times New Roman"/>
          <w:iCs/>
          <w:sz w:val="18"/>
          <w:szCs w:val="18"/>
        </w:rPr>
        <w:t xml:space="preserve"> “La prueba de oficio”, </w:t>
      </w:r>
      <w:r w:rsidRPr="009235DC">
        <w:rPr>
          <w:rFonts w:ascii="Palatino Linotype" w:hAnsi="Palatino Linotype" w:cs="Times New Roman"/>
          <w:sz w:val="18"/>
          <w:szCs w:val="18"/>
        </w:rPr>
        <w:t xml:space="preserve">en Aguila Grados, La fe del hombre…Ob.cit., p.711.  </w:t>
      </w:r>
    </w:p>
  </w:footnote>
  <w:footnote w:id="42">
    <w:p w:rsidR="00FC1DF6" w:rsidRPr="009235DC" w:rsidRDefault="00FC1DF6" w:rsidP="00E60FEF">
      <w:pPr>
        <w:tabs>
          <w:tab w:val="right" w:pos="8640"/>
        </w:tabs>
        <w:jc w:val="both"/>
        <w:rPr>
          <w:rFonts w:ascii="Palatino Linotype" w:hAnsi="Palatino Linotype"/>
          <w:sz w:val="18"/>
          <w:szCs w:val="18"/>
        </w:rPr>
      </w:pPr>
      <w:r w:rsidRPr="009235DC">
        <w:rPr>
          <w:rFonts w:ascii="Palatino Linotype" w:hAnsi="Palatino Linotype" w:cs="Times New Roman"/>
          <w:sz w:val="18"/>
          <w:szCs w:val="18"/>
          <w:vertAlign w:val="superscript"/>
        </w:rPr>
        <w:footnoteRef/>
      </w:r>
      <w:r w:rsidRPr="009235DC">
        <w:rPr>
          <w:rFonts w:ascii="Palatino Linotype" w:hAnsi="Palatino Linotype" w:cs="Times New Roman"/>
          <w:sz w:val="18"/>
          <w:szCs w:val="18"/>
        </w:rPr>
        <w:t xml:space="preserve"> Devis Echandía  Compendio... Op.Cit., p.59.</w:t>
      </w:r>
    </w:p>
  </w:footnote>
  <w:footnote w:id="4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Alvarado, Sistema…ob.cit., Tomo I,  p.160.</w:t>
      </w:r>
    </w:p>
  </w:footnote>
  <w:footnote w:id="4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Vélez Mariconde Alfredo. </w:t>
      </w:r>
      <w:r w:rsidRPr="009235DC">
        <w:rPr>
          <w:rFonts w:ascii="Palatino Linotype" w:hAnsi="Palatino Linotype" w:cs="Times New Roman"/>
          <w:iCs/>
          <w:sz w:val="18"/>
          <w:szCs w:val="18"/>
        </w:rPr>
        <w:t>Derecho Procesal Penal</w:t>
      </w:r>
      <w:r w:rsidRPr="009235DC">
        <w:rPr>
          <w:rFonts w:ascii="Palatino Linotype" w:hAnsi="Palatino Linotype" w:cs="Times New Roman"/>
          <w:sz w:val="18"/>
          <w:szCs w:val="18"/>
        </w:rPr>
        <w:t>. Tomo I. Buenos Aires, Lerner, 1969. p.19.</w:t>
      </w:r>
    </w:p>
  </w:footnote>
  <w:footnote w:id="4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Lluch Xavier Abel y Pico I Junoy Joan. </w:t>
      </w:r>
      <w:r w:rsidRPr="009235DC">
        <w:rPr>
          <w:rFonts w:ascii="Palatino Linotype" w:hAnsi="Palatino Linotype" w:cs="Times New Roman"/>
          <w:bCs/>
          <w:sz w:val="18"/>
          <w:szCs w:val="18"/>
        </w:rPr>
        <w:t>Los Poderes del Juez Civil en Materia Probatoria</w:t>
      </w:r>
      <w:r w:rsidRPr="009235DC">
        <w:rPr>
          <w:rFonts w:ascii="Palatino Linotype" w:hAnsi="Palatino Linotype" w:cs="Times New Roman"/>
          <w:sz w:val="18"/>
          <w:szCs w:val="18"/>
        </w:rPr>
        <w:t>, Barcelona, Bosch, 2003, p.52.</w:t>
      </w:r>
    </w:p>
  </w:footnote>
  <w:footnote w:id="46">
    <w:p w:rsidR="00FC1DF6" w:rsidRPr="009235DC" w:rsidRDefault="00FC1DF6" w:rsidP="00E60FEF">
      <w:pPr>
        <w:jc w:val="both"/>
        <w:rPr>
          <w:rFonts w:ascii="Palatino Linotype" w:hAnsi="Palatino Linotype"/>
          <w:sz w:val="18"/>
          <w:szCs w:val="18"/>
        </w:rPr>
      </w:pPr>
      <w:r w:rsidRPr="009235DC">
        <w:rPr>
          <w:rFonts w:ascii="Palatino Linotype" w:hAnsi="Palatino Linotype" w:cs="Times New Roman"/>
          <w:sz w:val="18"/>
          <w:szCs w:val="18"/>
          <w:vertAlign w:val="superscript"/>
        </w:rPr>
        <w:footnoteRef/>
      </w:r>
      <w:r w:rsidRPr="009235DC">
        <w:rPr>
          <w:rFonts w:ascii="Palatino Linotype" w:hAnsi="Palatino Linotype" w:cs="Times New Roman"/>
          <w:sz w:val="18"/>
          <w:szCs w:val="18"/>
        </w:rPr>
        <w:t xml:space="preserve"> Cappelletti Mauro. </w:t>
      </w:r>
      <w:r w:rsidRPr="009235DC">
        <w:rPr>
          <w:rFonts w:ascii="Palatino Linotype" w:hAnsi="Palatino Linotype" w:cs="Times New Roman"/>
          <w:bCs/>
          <w:sz w:val="18"/>
          <w:szCs w:val="18"/>
        </w:rPr>
        <w:t>El proceso civil en el derecho comparado</w:t>
      </w:r>
      <w:r w:rsidRPr="009235DC">
        <w:rPr>
          <w:rFonts w:ascii="Palatino Linotype" w:hAnsi="Palatino Linotype" w:cs="Times New Roman"/>
          <w:sz w:val="18"/>
          <w:szCs w:val="18"/>
        </w:rPr>
        <w:t>, Buenos Aires, EJEA, 1962, p.44.</w:t>
      </w:r>
    </w:p>
  </w:footnote>
  <w:footnote w:id="4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Lazzaroni  Luis J.. </w:t>
      </w:r>
      <w:r w:rsidRPr="009235DC">
        <w:rPr>
          <w:rFonts w:ascii="Palatino Linotype" w:hAnsi="Palatino Linotype" w:cs="Times New Roman"/>
          <w:bCs/>
          <w:sz w:val="18"/>
          <w:szCs w:val="18"/>
        </w:rPr>
        <w:t>El Conocimiento de los Hechos en el Proceso Civil</w:t>
      </w:r>
      <w:r w:rsidRPr="009235DC">
        <w:rPr>
          <w:rFonts w:ascii="Palatino Linotype" w:hAnsi="Palatino Linotype" w:cs="Times New Roman"/>
          <w:sz w:val="18"/>
          <w:szCs w:val="18"/>
        </w:rPr>
        <w:t>, Buenos Aires, Abeledo-Perrot, 2001, p.196.</w:t>
      </w:r>
    </w:p>
  </w:footnote>
  <w:footnote w:id="48">
    <w:p w:rsidR="00FC1DF6" w:rsidRPr="009235DC" w:rsidRDefault="00FC1DF6" w:rsidP="00E60FEF">
      <w:pPr>
        <w:jc w:val="both"/>
        <w:rPr>
          <w:rFonts w:ascii="Palatino Linotype" w:hAnsi="Palatino Linotype"/>
          <w:sz w:val="18"/>
          <w:szCs w:val="18"/>
        </w:rPr>
      </w:pPr>
      <w:r w:rsidRPr="009235DC">
        <w:rPr>
          <w:rFonts w:ascii="Palatino Linotype" w:hAnsi="Palatino Linotype" w:cs="Times New Roman"/>
          <w:sz w:val="18"/>
          <w:szCs w:val="18"/>
          <w:vertAlign w:val="superscript"/>
        </w:rPr>
        <w:footnoteRef/>
      </w:r>
      <w:r w:rsidRPr="009235DC">
        <w:rPr>
          <w:rFonts w:ascii="Palatino Linotype" w:hAnsi="Palatino Linotype" w:cs="Times New Roman"/>
          <w:sz w:val="18"/>
          <w:szCs w:val="18"/>
        </w:rPr>
        <w:t xml:space="preserve"> Couture Eduardo J. </w:t>
      </w:r>
      <w:r w:rsidRPr="009235DC">
        <w:rPr>
          <w:rFonts w:ascii="Palatino Linotype" w:hAnsi="Palatino Linotype" w:cs="Times New Roman"/>
          <w:bCs/>
          <w:sz w:val="18"/>
          <w:szCs w:val="18"/>
        </w:rPr>
        <w:t>Estudios de Derecho Procesal Civil</w:t>
      </w:r>
      <w:r w:rsidRPr="009235DC">
        <w:rPr>
          <w:rFonts w:ascii="Palatino Linotype" w:hAnsi="Palatino Linotype" w:cs="Times New Roman"/>
          <w:sz w:val="18"/>
          <w:szCs w:val="18"/>
        </w:rPr>
        <w:t>, Buenos Aires, Depalma, 1989, p.245.</w:t>
      </w:r>
    </w:p>
  </w:footnote>
  <w:footnote w:id="49">
    <w:p w:rsidR="00FC1DF6" w:rsidRPr="009235DC" w:rsidRDefault="00FC1DF6" w:rsidP="00E60FEF">
      <w:pPr>
        <w:jc w:val="both"/>
        <w:rPr>
          <w:rFonts w:ascii="Palatino Linotype" w:hAnsi="Palatino Linotype"/>
          <w:sz w:val="18"/>
          <w:szCs w:val="18"/>
        </w:rPr>
      </w:pPr>
      <w:r w:rsidRPr="009235DC">
        <w:rPr>
          <w:rFonts w:ascii="Palatino Linotype" w:hAnsi="Palatino Linotype" w:cs="Times New Roman"/>
          <w:sz w:val="18"/>
          <w:szCs w:val="18"/>
          <w:vertAlign w:val="superscript"/>
        </w:rPr>
        <w:footnoteRef/>
      </w:r>
      <w:r w:rsidRPr="009235DC">
        <w:rPr>
          <w:rFonts w:ascii="Palatino Linotype" w:hAnsi="Palatino Linotype" w:cs="Times New Roman"/>
          <w:sz w:val="18"/>
          <w:szCs w:val="18"/>
        </w:rPr>
        <w:t xml:space="preserve"> Kielmanovich  Jorge L.  </w:t>
      </w:r>
      <w:r w:rsidRPr="009235DC">
        <w:rPr>
          <w:rFonts w:ascii="Palatino Linotype" w:hAnsi="Palatino Linotype" w:cs="Times New Roman"/>
          <w:bCs/>
          <w:sz w:val="18"/>
          <w:szCs w:val="18"/>
        </w:rPr>
        <w:t>La Prueba en el Proceso Civil</w:t>
      </w:r>
      <w:r w:rsidRPr="009235DC">
        <w:rPr>
          <w:rFonts w:ascii="Palatino Linotype" w:hAnsi="Palatino Linotype" w:cs="Times New Roman"/>
          <w:sz w:val="18"/>
          <w:szCs w:val="18"/>
        </w:rPr>
        <w:t>, Buenos Aires, Aveledo-Perrot, 1985, p.36.</w:t>
      </w:r>
    </w:p>
  </w:footnote>
  <w:footnote w:id="50">
    <w:p w:rsidR="00FC1DF6" w:rsidRPr="009235DC" w:rsidRDefault="00FC1DF6" w:rsidP="00E60FEF">
      <w:pPr>
        <w:jc w:val="both"/>
        <w:rPr>
          <w:rFonts w:ascii="Palatino Linotype" w:hAnsi="Palatino Linotype"/>
          <w:sz w:val="18"/>
          <w:szCs w:val="18"/>
        </w:rPr>
      </w:pPr>
      <w:r w:rsidRPr="009235DC">
        <w:rPr>
          <w:rFonts w:ascii="Palatino Linotype" w:hAnsi="Palatino Linotype" w:cs="Times New Roman"/>
          <w:sz w:val="18"/>
          <w:szCs w:val="18"/>
          <w:vertAlign w:val="superscript"/>
        </w:rPr>
        <w:footnoteRef/>
      </w:r>
      <w:r w:rsidRPr="009235DC">
        <w:rPr>
          <w:rFonts w:ascii="Palatino Linotype" w:hAnsi="Palatino Linotype" w:cs="Times New Roman"/>
          <w:sz w:val="18"/>
          <w:szCs w:val="18"/>
        </w:rPr>
        <w:t xml:space="preserve"> Parra Quijano. </w:t>
      </w:r>
      <w:r w:rsidRPr="009235DC">
        <w:rPr>
          <w:rFonts w:ascii="Palatino Linotype" w:hAnsi="Palatino Linotype" w:cs="Times New Roman"/>
          <w:bCs/>
          <w:sz w:val="18"/>
          <w:szCs w:val="18"/>
        </w:rPr>
        <w:t>Op.Cit.</w:t>
      </w:r>
      <w:r w:rsidRPr="009235DC">
        <w:rPr>
          <w:rFonts w:ascii="Palatino Linotype" w:hAnsi="Palatino Linotype" w:cs="Times New Roman"/>
          <w:sz w:val="18"/>
          <w:szCs w:val="18"/>
        </w:rPr>
        <w:t>, p.17.</w:t>
      </w:r>
    </w:p>
  </w:footnote>
  <w:footnote w:id="5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Muñoz Sabate Luis. </w:t>
      </w:r>
      <w:r w:rsidRPr="009235DC">
        <w:rPr>
          <w:rFonts w:ascii="Palatino Linotype" w:hAnsi="Palatino Linotype" w:cs="Times New Roman"/>
          <w:bCs/>
          <w:sz w:val="18"/>
          <w:szCs w:val="18"/>
        </w:rPr>
        <w:t>Fundamentos de la Prueba Judicial Civil</w:t>
      </w:r>
      <w:r w:rsidRPr="009235DC">
        <w:rPr>
          <w:rFonts w:ascii="Palatino Linotype" w:hAnsi="Palatino Linotype" w:cs="Times New Roman"/>
          <w:sz w:val="18"/>
          <w:szCs w:val="18"/>
        </w:rPr>
        <w:t>, Barcelona, Bosch, 2001, p.172.</w:t>
      </w:r>
    </w:p>
  </w:footnote>
  <w:footnote w:id="5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Diaz Romero María del Rosario. </w:t>
      </w:r>
      <w:r w:rsidRPr="009235DC">
        <w:rPr>
          <w:rFonts w:ascii="Palatino Linotype" w:hAnsi="Palatino Linotype" w:cs="Times New Roman"/>
          <w:bCs/>
          <w:sz w:val="18"/>
          <w:szCs w:val="18"/>
        </w:rPr>
        <w:t>Gastos y mejoras en la liquidación del estado posesorio</w:t>
      </w:r>
      <w:r w:rsidRPr="009235DC">
        <w:rPr>
          <w:rFonts w:ascii="Palatino Linotype" w:hAnsi="Palatino Linotype" w:cs="Times New Roman"/>
          <w:sz w:val="18"/>
          <w:szCs w:val="18"/>
        </w:rPr>
        <w:t>, Madrid, McGraw-Hill, 1997, p.93.</w:t>
      </w:r>
    </w:p>
  </w:footnote>
  <w:footnote w:id="53">
    <w:p w:rsidR="00FC1DF6" w:rsidRPr="009235DC" w:rsidRDefault="00FC1DF6" w:rsidP="00E60FEF">
      <w:pPr>
        <w:jc w:val="both"/>
        <w:rPr>
          <w:rFonts w:ascii="Palatino Linotype" w:hAnsi="Palatino Linotype"/>
          <w:sz w:val="18"/>
          <w:szCs w:val="18"/>
        </w:rPr>
      </w:pPr>
      <w:r w:rsidRPr="009235DC">
        <w:rPr>
          <w:rFonts w:ascii="Palatino Linotype" w:hAnsi="Palatino Linotype" w:cs="Times New Roman"/>
          <w:sz w:val="18"/>
          <w:szCs w:val="18"/>
          <w:vertAlign w:val="superscript"/>
        </w:rPr>
        <w:footnoteRef/>
      </w:r>
      <w:r w:rsidRPr="009235DC">
        <w:rPr>
          <w:rFonts w:ascii="Palatino Linotype" w:hAnsi="Palatino Linotype" w:cs="Times New Roman"/>
          <w:sz w:val="18"/>
          <w:szCs w:val="18"/>
        </w:rPr>
        <w:t xml:space="preserve"> Chiovenda establece lo que podríamos llamar la relatividad de la verdad, sin perderla como fin del proceso, pero haciendo la diferencia entre “lo que el Juez afirma y lo que podría afirmar”, punto de vista que compartimos plenamente.  Véase:  Chiovenda Giuseppe  </w:t>
      </w:r>
      <w:r w:rsidRPr="009235DC">
        <w:rPr>
          <w:rFonts w:ascii="Palatino Linotype" w:hAnsi="Palatino Linotype" w:cs="Times New Roman"/>
          <w:bCs/>
          <w:sz w:val="18"/>
          <w:szCs w:val="18"/>
        </w:rPr>
        <w:t>Principios de Derecho Procesal Civil</w:t>
      </w:r>
      <w:r w:rsidRPr="009235DC">
        <w:rPr>
          <w:rFonts w:ascii="Palatino Linotype" w:hAnsi="Palatino Linotype" w:cs="Times New Roman"/>
          <w:sz w:val="18"/>
          <w:szCs w:val="18"/>
        </w:rPr>
        <w:t>, Madrid, Reus, Tomo I, 1978, p.109.</w:t>
      </w:r>
    </w:p>
  </w:footnote>
  <w:footnote w:id="54">
    <w:p w:rsidR="00FC1DF6" w:rsidRPr="009235DC" w:rsidRDefault="00FC1DF6" w:rsidP="00E60FEF">
      <w:pPr>
        <w:jc w:val="both"/>
        <w:rPr>
          <w:rFonts w:ascii="Palatino Linotype" w:hAnsi="Palatino Linotype"/>
          <w:sz w:val="18"/>
          <w:szCs w:val="18"/>
        </w:rPr>
      </w:pPr>
      <w:r w:rsidRPr="009235DC">
        <w:rPr>
          <w:rFonts w:ascii="Palatino Linotype" w:hAnsi="Palatino Linotype" w:cs="Times New Roman"/>
          <w:sz w:val="18"/>
          <w:szCs w:val="18"/>
          <w:vertAlign w:val="superscript"/>
        </w:rPr>
        <w:footnoteRef/>
      </w:r>
      <w:r w:rsidRPr="009235DC">
        <w:rPr>
          <w:rFonts w:ascii="Palatino Linotype" w:hAnsi="Palatino Linotype" w:cs="Times New Roman"/>
          <w:sz w:val="18"/>
          <w:szCs w:val="18"/>
        </w:rPr>
        <w:t xml:space="preserve"> “</w:t>
      </w:r>
      <w:r w:rsidRPr="009235DC">
        <w:rPr>
          <w:rFonts w:ascii="Palatino Linotype" w:hAnsi="Palatino Linotype" w:cs="Times New Roman"/>
          <w:iCs/>
          <w:sz w:val="18"/>
          <w:szCs w:val="18"/>
        </w:rPr>
        <w:t>No podemos decir que el juez tiene que llegar a la verdad, ya que ésta puede ser inac</w:t>
      </w:r>
      <w:r w:rsidRPr="009235DC">
        <w:rPr>
          <w:rFonts w:ascii="Palatino Linotype" w:hAnsi="Palatino Linotype" w:cs="Times New Roman"/>
          <w:iCs/>
          <w:sz w:val="18"/>
          <w:szCs w:val="18"/>
        </w:rPr>
        <w:softHyphen/>
        <w:t>cesible; pero sí tiene que procurar convencerse de que ha alcanzado esa verdad; ésta existe de por sí, en forma indepen</w:t>
      </w:r>
      <w:r w:rsidRPr="009235DC">
        <w:rPr>
          <w:rFonts w:ascii="Palatino Linotype" w:hAnsi="Palatino Linotype" w:cs="Times New Roman"/>
          <w:iCs/>
          <w:sz w:val="18"/>
          <w:szCs w:val="18"/>
        </w:rPr>
        <w:softHyphen/>
        <w:t>diente de toda relación con el sujeto; en tanto que la certeza es la que lleva al juzgador a creer, sin lugar a dudas, que su conocimiento coincide con la verdad, y veremos seguidamente que, para lograr tal certeza, tiene que utilizar todos los me</w:t>
      </w:r>
      <w:r w:rsidRPr="009235DC">
        <w:rPr>
          <w:rFonts w:ascii="Palatino Linotype" w:hAnsi="Palatino Linotype" w:cs="Times New Roman"/>
          <w:iCs/>
          <w:sz w:val="18"/>
          <w:szCs w:val="18"/>
        </w:rPr>
        <w:softHyphen/>
        <w:t xml:space="preserve">dios probatorios que autorizan las leyes procesales. Solo en caso de imposibilidad absoluta de lograr certeza, recurrirá a las reglas sobre carga de la prueba y fallará en contra de quien dejó incumplida tal carga.” </w:t>
      </w:r>
      <w:r w:rsidRPr="009235DC">
        <w:rPr>
          <w:rFonts w:ascii="Palatino Linotype" w:hAnsi="Palatino Linotype" w:cs="Times New Roman"/>
          <w:sz w:val="18"/>
          <w:szCs w:val="18"/>
        </w:rPr>
        <w:t xml:space="preserve">Arazi  </w:t>
      </w:r>
      <w:r w:rsidRPr="009235DC">
        <w:rPr>
          <w:rFonts w:ascii="Palatino Linotype" w:hAnsi="Palatino Linotype" w:cs="Times New Roman"/>
          <w:bCs/>
          <w:sz w:val="18"/>
          <w:szCs w:val="18"/>
        </w:rPr>
        <w:t>Op. Cit.</w:t>
      </w:r>
      <w:r w:rsidRPr="009235DC">
        <w:rPr>
          <w:rFonts w:ascii="Palatino Linotype" w:hAnsi="Palatino Linotype" w:cs="Times New Roman"/>
          <w:sz w:val="18"/>
          <w:szCs w:val="18"/>
        </w:rPr>
        <w:t>, p.32.</w:t>
      </w:r>
    </w:p>
  </w:footnote>
  <w:footnote w:id="5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Döering Erich. </w:t>
      </w:r>
      <w:r w:rsidRPr="009235DC">
        <w:rPr>
          <w:rFonts w:ascii="Palatino Linotype" w:hAnsi="Palatino Linotype" w:cs="Times New Roman"/>
          <w:bCs/>
          <w:sz w:val="18"/>
          <w:szCs w:val="18"/>
        </w:rPr>
        <w:t>La Prueba: su práctica y apreciación</w:t>
      </w:r>
      <w:r w:rsidRPr="009235DC">
        <w:rPr>
          <w:rFonts w:ascii="Palatino Linotype" w:hAnsi="Palatino Linotype" w:cs="Times New Roman"/>
          <w:sz w:val="18"/>
          <w:szCs w:val="18"/>
        </w:rPr>
        <w:t>, Buenos Aires, El foro, 1996, p.8.</w:t>
      </w:r>
    </w:p>
  </w:footnote>
  <w:footnote w:id="5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Rioseco Enriquez Emilio. </w:t>
      </w:r>
      <w:r w:rsidRPr="009235DC">
        <w:rPr>
          <w:rFonts w:ascii="Palatino Linotype" w:hAnsi="Palatino Linotype" w:cs="Times New Roman"/>
          <w:bCs/>
          <w:sz w:val="18"/>
          <w:szCs w:val="18"/>
        </w:rPr>
        <w:t>La Prueba ante la Jurisprudencia</w:t>
      </w:r>
      <w:r w:rsidRPr="009235DC">
        <w:rPr>
          <w:rFonts w:ascii="Palatino Linotype" w:hAnsi="Palatino Linotype" w:cs="Times New Roman"/>
          <w:sz w:val="18"/>
          <w:szCs w:val="18"/>
        </w:rPr>
        <w:t>, Santiago, Tomo I, Editorial Jurídica de Chile, 1995, p.78.</w:t>
      </w:r>
    </w:p>
  </w:footnote>
  <w:footnote w:id="57">
    <w:p w:rsidR="00FC1DF6" w:rsidRPr="009235DC" w:rsidRDefault="00FC1DF6" w:rsidP="00E60FEF">
      <w:pPr>
        <w:jc w:val="both"/>
        <w:rPr>
          <w:rFonts w:ascii="Palatino Linotype" w:hAnsi="Palatino Linotype"/>
          <w:sz w:val="18"/>
          <w:szCs w:val="18"/>
        </w:rPr>
      </w:pPr>
      <w:r w:rsidRPr="009235DC">
        <w:rPr>
          <w:rFonts w:ascii="Palatino Linotype" w:hAnsi="Palatino Linotype" w:cs="Times New Roman"/>
          <w:sz w:val="18"/>
          <w:szCs w:val="18"/>
          <w:vertAlign w:val="superscript"/>
        </w:rPr>
        <w:footnoteRef/>
      </w:r>
      <w:r w:rsidRPr="009235DC">
        <w:rPr>
          <w:rFonts w:ascii="Palatino Linotype" w:hAnsi="Palatino Linotype" w:cs="Times New Roman"/>
          <w:sz w:val="18"/>
          <w:szCs w:val="18"/>
        </w:rPr>
        <w:t xml:space="preserve"> Kielmanovich  </w:t>
      </w:r>
      <w:r w:rsidRPr="009235DC">
        <w:rPr>
          <w:rFonts w:ascii="Palatino Linotype" w:hAnsi="Palatino Linotype" w:cs="Times New Roman"/>
          <w:bCs/>
          <w:sz w:val="18"/>
          <w:szCs w:val="18"/>
        </w:rPr>
        <w:t>Op.Cit.</w:t>
      </w:r>
      <w:r w:rsidRPr="009235DC">
        <w:rPr>
          <w:rFonts w:ascii="Palatino Linotype" w:hAnsi="Palatino Linotype" w:cs="Times New Roman"/>
          <w:sz w:val="18"/>
          <w:szCs w:val="18"/>
        </w:rPr>
        <w:t>, p.37.</w:t>
      </w:r>
    </w:p>
  </w:footnote>
  <w:footnote w:id="58">
    <w:p w:rsidR="00FC1DF6" w:rsidRPr="009235DC" w:rsidRDefault="00FC1DF6" w:rsidP="00E60FEF">
      <w:pPr>
        <w:jc w:val="both"/>
        <w:rPr>
          <w:rFonts w:ascii="Palatino Linotype" w:hAnsi="Palatino Linotype"/>
          <w:sz w:val="18"/>
          <w:szCs w:val="18"/>
        </w:rPr>
      </w:pPr>
      <w:r w:rsidRPr="009235DC">
        <w:rPr>
          <w:rFonts w:ascii="Palatino Linotype" w:hAnsi="Palatino Linotype" w:cs="Times New Roman"/>
          <w:sz w:val="18"/>
          <w:szCs w:val="18"/>
          <w:vertAlign w:val="superscript"/>
        </w:rPr>
        <w:footnoteRef/>
      </w:r>
      <w:r w:rsidRPr="009235DC">
        <w:rPr>
          <w:rFonts w:ascii="Palatino Linotype" w:hAnsi="Palatino Linotype" w:cs="Times New Roman"/>
          <w:sz w:val="18"/>
          <w:szCs w:val="18"/>
        </w:rPr>
        <w:t xml:space="preserve"> Kielmanovich Jorge </w:t>
      </w:r>
      <w:r w:rsidRPr="009235DC">
        <w:rPr>
          <w:rFonts w:ascii="Palatino Linotype" w:hAnsi="Palatino Linotype" w:cs="Times New Roman"/>
          <w:bCs/>
          <w:sz w:val="18"/>
          <w:szCs w:val="18"/>
        </w:rPr>
        <w:t>Medios de Prueba</w:t>
      </w:r>
      <w:r w:rsidRPr="009235DC">
        <w:rPr>
          <w:rFonts w:ascii="Palatino Linotype" w:hAnsi="Palatino Linotype" w:cs="Times New Roman"/>
          <w:sz w:val="18"/>
          <w:szCs w:val="18"/>
        </w:rPr>
        <w:t>, Buenos Aires, Abeledo-Perrot, 1993, p.41.</w:t>
      </w:r>
    </w:p>
  </w:footnote>
  <w:footnote w:id="59">
    <w:p w:rsidR="00FC1DF6" w:rsidRPr="009235DC" w:rsidRDefault="00FC1DF6" w:rsidP="00E60FEF">
      <w:pPr>
        <w:jc w:val="both"/>
        <w:rPr>
          <w:rFonts w:ascii="Palatino Linotype" w:hAnsi="Palatino Linotype"/>
          <w:sz w:val="18"/>
          <w:szCs w:val="18"/>
        </w:rPr>
      </w:pPr>
      <w:r w:rsidRPr="009235DC">
        <w:rPr>
          <w:rFonts w:ascii="Palatino Linotype" w:hAnsi="Palatino Linotype" w:cs="Times New Roman"/>
          <w:sz w:val="18"/>
          <w:szCs w:val="18"/>
          <w:vertAlign w:val="superscript"/>
        </w:rPr>
        <w:footnoteRef/>
      </w:r>
      <w:r w:rsidRPr="009235DC">
        <w:rPr>
          <w:rFonts w:ascii="Palatino Linotype" w:hAnsi="Palatino Linotype" w:cs="Times New Roman"/>
          <w:sz w:val="18"/>
          <w:szCs w:val="18"/>
        </w:rPr>
        <w:t xml:space="preserve">  “Si la prueba es solo demostración de unas afirmaciones, ello presupone que previamente se ha seguido algún método o desarrollado alguna labor para alcanzar el conocimiento de eso que luego se afirma como cierto" MUÑOZ SABATE, Luis, </w:t>
      </w:r>
      <w:r w:rsidRPr="009235DC">
        <w:rPr>
          <w:rFonts w:ascii="Palatino Linotype" w:hAnsi="Palatino Linotype" w:cs="Times New Roman"/>
          <w:bCs/>
          <w:sz w:val="18"/>
          <w:szCs w:val="18"/>
        </w:rPr>
        <w:t>La prueba de la simulación</w:t>
      </w:r>
      <w:r w:rsidRPr="009235DC">
        <w:rPr>
          <w:rFonts w:ascii="Palatino Linotype" w:hAnsi="Palatino Linotype" w:cs="Times New Roman"/>
          <w:iCs/>
          <w:sz w:val="18"/>
          <w:szCs w:val="18"/>
        </w:rPr>
        <w:t>,</w:t>
      </w:r>
      <w:r w:rsidRPr="009235DC">
        <w:rPr>
          <w:rFonts w:ascii="Palatino Linotype" w:hAnsi="Palatino Linotype" w:cs="Times New Roman"/>
          <w:sz w:val="18"/>
          <w:szCs w:val="18"/>
        </w:rPr>
        <w:t xml:space="preserve"> Bogotá,  Temis, 1991, p. 4.</w:t>
      </w:r>
    </w:p>
  </w:footnote>
  <w:footnote w:id="6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Ciuro Caldani Miguel Angel.  </w:t>
      </w:r>
      <w:r w:rsidRPr="009235DC">
        <w:rPr>
          <w:rFonts w:ascii="Palatino Linotype" w:hAnsi="Palatino Linotype" w:cs="Times New Roman"/>
          <w:bCs/>
          <w:sz w:val="18"/>
          <w:szCs w:val="18"/>
        </w:rPr>
        <w:t>La justice et la verité dans le monde juridique</w:t>
      </w:r>
      <w:r w:rsidRPr="009235DC">
        <w:rPr>
          <w:rFonts w:ascii="Palatino Linotype" w:hAnsi="Palatino Linotype" w:cs="Times New Roman"/>
          <w:sz w:val="18"/>
          <w:szCs w:val="18"/>
        </w:rPr>
        <w:t>, París, 1983, p.446.</w:t>
      </w:r>
    </w:p>
  </w:footnote>
  <w:footnote w:id="61">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lang w:val="en-US"/>
        </w:rPr>
        <w:t xml:space="preserve"> Ulate, </w:t>
      </w:r>
      <w:r w:rsidRPr="009235DC">
        <w:rPr>
          <w:rFonts w:ascii="Palatino Linotype" w:hAnsi="Palatino Linotype" w:cs="Times New Roman"/>
          <w:bCs/>
          <w:sz w:val="18"/>
          <w:szCs w:val="18"/>
          <w:lang w:val="en-US"/>
        </w:rPr>
        <w:t>Tratado..., Op.Cit.</w:t>
      </w:r>
      <w:r w:rsidRPr="009235DC">
        <w:rPr>
          <w:rFonts w:ascii="Palatino Linotype" w:hAnsi="Palatino Linotype" w:cs="Times New Roman"/>
          <w:sz w:val="18"/>
          <w:szCs w:val="18"/>
          <w:lang w:val="en-US"/>
        </w:rPr>
        <w:t>, Tomo I, p.351.</w:t>
      </w:r>
    </w:p>
  </w:footnote>
  <w:footnote w:id="6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lang w:val="en-US"/>
        </w:rPr>
        <w:t xml:space="preserve"> Goldschimdt James.   </w:t>
      </w:r>
      <w:r w:rsidRPr="009235DC">
        <w:rPr>
          <w:rFonts w:ascii="Palatino Linotype" w:hAnsi="Palatino Linotype" w:cs="Times New Roman"/>
          <w:bCs/>
          <w:sz w:val="18"/>
          <w:szCs w:val="18"/>
          <w:lang w:val="es-CR"/>
        </w:rPr>
        <w:t>Op.Cit.</w:t>
      </w:r>
      <w:r w:rsidRPr="009235DC">
        <w:rPr>
          <w:rFonts w:ascii="Palatino Linotype" w:hAnsi="Palatino Linotype" w:cs="Times New Roman"/>
          <w:sz w:val="18"/>
          <w:szCs w:val="18"/>
          <w:lang w:val="es-CR"/>
        </w:rPr>
        <w:t>, p.320</w:t>
      </w:r>
    </w:p>
  </w:footnote>
  <w:footnote w:id="6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Bertolino </w:t>
      </w:r>
      <w:r w:rsidRPr="009235DC">
        <w:rPr>
          <w:rFonts w:ascii="Palatino Linotype" w:hAnsi="Palatino Linotype" w:cs="Times New Roman"/>
          <w:bCs/>
          <w:sz w:val="18"/>
          <w:szCs w:val="18"/>
        </w:rPr>
        <w:t>La verdad jurídica...Op.Cit.</w:t>
      </w:r>
      <w:r w:rsidRPr="009235DC">
        <w:rPr>
          <w:rFonts w:ascii="Palatino Linotype" w:hAnsi="Palatino Linotype" w:cs="Times New Roman"/>
          <w:sz w:val="18"/>
          <w:szCs w:val="18"/>
        </w:rPr>
        <w:t>, p.56.</w:t>
      </w:r>
    </w:p>
  </w:footnote>
  <w:footnote w:id="6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Morello Augusto Mario   </w:t>
      </w:r>
      <w:r w:rsidRPr="009235DC">
        <w:rPr>
          <w:rFonts w:ascii="Palatino Linotype" w:hAnsi="Palatino Linotype" w:cs="Times New Roman"/>
          <w:bCs/>
          <w:sz w:val="18"/>
          <w:szCs w:val="18"/>
        </w:rPr>
        <w:t>El exceso ritual manifiesto como obstáculo al acceso a la verdad jurídica objetiva</w:t>
      </w:r>
      <w:r w:rsidRPr="009235DC">
        <w:rPr>
          <w:rFonts w:ascii="Palatino Linotype" w:hAnsi="Palatino Linotype" w:cs="Times New Roman"/>
          <w:sz w:val="18"/>
          <w:szCs w:val="18"/>
        </w:rPr>
        <w:t>, Buenos Aires, Hammurabi, Tomo III, 1987, p.939.</w:t>
      </w:r>
    </w:p>
  </w:footnote>
  <w:footnote w:id="6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Rosati Horacio Daniel.  </w:t>
      </w:r>
      <w:r w:rsidRPr="009235DC">
        <w:rPr>
          <w:rFonts w:ascii="Palatino Linotype" w:hAnsi="Palatino Linotype" w:cs="Times New Roman"/>
          <w:bCs/>
          <w:sz w:val="18"/>
          <w:szCs w:val="18"/>
        </w:rPr>
        <w:t>Verdad jurídica objetiva, equidad mal entendida y sentencia arbitraria</w:t>
      </w:r>
      <w:r w:rsidRPr="009235DC">
        <w:rPr>
          <w:rFonts w:ascii="Palatino Linotype" w:hAnsi="Palatino Linotype" w:cs="Times New Roman"/>
          <w:sz w:val="18"/>
          <w:szCs w:val="18"/>
        </w:rPr>
        <w:t>, Buenos Aires, E.D, 1989, p.828.</w:t>
      </w:r>
    </w:p>
  </w:footnote>
  <w:footnote w:id="6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w:t>
      </w:r>
      <w:r w:rsidRPr="009235DC">
        <w:rPr>
          <w:rFonts w:ascii="Palatino Linotype" w:hAnsi="Palatino Linotype" w:cs="Times New Roman"/>
          <w:bCs/>
          <w:sz w:val="18"/>
          <w:szCs w:val="18"/>
        </w:rPr>
        <w:t>Sala Primera de la Corte Suprema de Justicia</w:t>
      </w:r>
      <w:r w:rsidRPr="009235DC">
        <w:rPr>
          <w:rFonts w:ascii="Palatino Linotype" w:hAnsi="Palatino Linotype" w:cs="Times New Roman"/>
          <w:sz w:val="18"/>
          <w:szCs w:val="18"/>
        </w:rPr>
        <w:t>, Voto  No. 826 de las 11:15 horas del 3 de diciembre del 2003.</w:t>
      </w:r>
    </w:p>
  </w:footnote>
  <w:footnote w:id="6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Acosta José V.  </w:t>
      </w:r>
      <w:r w:rsidRPr="009235DC">
        <w:rPr>
          <w:rFonts w:ascii="Palatino Linotype" w:hAnsi="Palatino Linotype" w:cs="Times New Roman"/>
          <w:bCs/>
          <w:sz w:val="18"/>
          <w:szCs w:val="18"/>
        </w:rPr>
        <w:t>Negligencia probatoria</w:t>
      </w:r>
      <w:r w:rsidRPr="009235DC">
        <w:rPr>
          <w:rFonts w:ascii="Palatino Linotype" w:hAnsi="Palatino Linotype" w:cs="Times New Roman"/>
          <w:sz w:val="18"/>
          <w:szCs w:val="18"/>
        </w:rPr>
        <w:t>, Buenos Aires, Rubinzal-Culzoni, 1999, p.63.</w:t>
      </w:r>
    </w:p>
  </w:footnote>
  <w:footnote w:id="6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Arazi Roland. </w:t>
      </w:r>
      <w:r w:rsidRPr="009235DC">
        <w:rPr>
          <w:rFonts w:ascii="Palatino Linotype" w:hAnsi="Palatino Linotype" w:cs="Times New Roman"/>
          <w:bCs/>
          <w:sz w:val="18"/>
          <w:szCs w:val="18"/>
        </w:rPr>
        <w:t>Derecho Procesal Civil y Comercial</w:t>
      </w:r>
      <w:r w:rsidRPr="009235DC">
        <w:rPr>
          <w:rFonts w:ascii="Palatino Linotype" w:hAnsi="Palatino Linotype" w:cs="Times New Roman"/>
          <w:sz w:val="18"/>
          <w:szCs w:val="18"/>
        </w:rPr>
        <w:t>, Buenos Aires, Astrea, 1995, p.320.</w:t>
      </w:r>
    </w:p>
  </w:footnote>
  <w:footnote w:id="69">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w:t>
      </w:r>
      <w:r w:rsidRPr="009235DC">
        <w:rPr>
          <w:rFonts w:ascii="Palatino Linotype" w:hAnsi="Palatino Linotype" w:cs="Times New Roman"/>
          <w:sz w:val="18"/>
          <w:szCs w:val="18"/>
          <w:lang w:val="es-MX"/>
        </w:rPr>
        <w:t xml:space="preserve">“Las medidas para mejor proveer son de carácter excepcional; no importan la restitución de los plazos procesales; ni suplen la falta total de prueba de una de las partes; ni cubren la negligencia probatoria de quien las solicita; ya que los jueces no pueden ordenar diligencias que las partes han debido solicitar dentro del plazo probatorio o que, pedidas, no se realizaron por negligencia suya”.  Acosta.  </w:t>
      </w:r>
      <w:r w:rsidRPr="009235DC">
        <w:rPr>
          <w:rFonts w:ascii="Palatino Linotype" w:hAnsi="Palatino Linotype" w:cs="Times New Roman"/>
          <w:bCs/>
          <w:sz w:val="18"/>
          <w:szCs w:val="18"/>
          <w:lang w:val="es-MX"/>
        </w:rPr>
        <w:t>Op.Cit.</w:t>
      </w:r>
      <w:r w:rsidRPr="009235DC">
        <w:rPr>
          <w:rFonts w:ascii="Palatino Linotype" w:hAnsi="Palatino Linotype" w:cs="Times New Roman"/>
          <w:sz w:val="18"/>
          <w:szCs w:val="18"/>
          <w:lang w:val="es-MX"/>
        </w:rPr>
        <w:t>, p.73.</w:t>
      </w:r>
    </w:p>
  </w:footnote>
  <w:footnote w:id="7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w:t>
      </w:r>
      <w:r w:rsidRPr="009235DC">
        <w:rPr>
          <w:rFonts w:ascii="Palatino Linotype" w:hAnsi="Palatino Linotype" w:cs="Times New Roman"/>
          <w:bCs/>
          <w:sz w:val="18"/>
          <w:szCs w:val="18"/>
        </w:rPr>
        <w:t>Tribunal de Trabajo, Sección Segunda</w:t>
      </w:r>
      <w:r w:rsidRPr="009235DC">
        <w:rPr>
          <w:rFonts w:ascii="Palatino Linotype" w:hAnsi="Palatino Linotype" w:cs="Times New Roman"/>
          <w:sz w:val="18"/>
          <w:szCs w:val="18"/>
        </w:rPr>
        <w:t>, Voto No. 609 de las 14:30 horas del 31 de agosto de 1989.</w:t>
      </w:r>
    </w:p>
  </w:footnote>
  <w:footnote w:id="7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Garay Alberto F. </w:t>
      </w:r>
      <w:r w:rsidRPr="009235DC">
        <w:rPr>
          <w:rFonts w:ascii="Palatino Linotype" w:hAnsi="Palatino Linotype" w:cs="Times New Roman"/>
          <w:bCs/>
          <w:sz w:val="18"/>
          <w:szCs w:val="18"/>
        </w:rPr>
        <w:t>La Igualdad ante la Ley</w:t>
      </w:r>
      <w:r w:rsidRPr="009235DC">
        <w:rPr>
          <w:rFonts w:ascii="Palatino Linotype" w:hAnsi="Palatino Linotype" w:cs="Times New Roman"/>
          <w:sz w:val="18"/>
          <w:szCs w:val="18"/>
        </w:rPr>
        <w:t>, Buenos Aires, Abeledo-Perrot, 1989, p.145.</w:t>
      </w:r>
    </w:p>
  </w:footnote>
  <w:footnote w:id="7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Fabrega Ponce.  Jorge   </w:t>
      </w:r>
      <w:r w:rsidRPr="009235DC">
        <w:rPr>
          <w:rFonts w:ascii="Palatino Linotype" w:hAnsi="Palatino Linotype" w:cs="Times New Roman"/>
          <w:bCs/>
          <w:sz w:val="18"/>
          <w:szCs w:val="18"/>
        </w:rPr>
        <w:t>Teoría General de la Prueba</w:t>
      </w:r>
      <w:r w:rsidRPr="009235DC">
        <w:rPr>
          <w:rFonts w:ascii="Palatino Linotype" w:hAnsi="Palatino Linotype" w:cs="Times New Roman"/>
          <w:sz w:val="18"/>
          <w:szCs w:val="18"/>
        </w:rPr>
        <w:t>, Bogotá, Ibañez, 1997, p.133.</w:t>
      </w:r>
    </w:p>
  </w:footnote>
  <w:footnote w:id="7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Quintero Beatriz y otro. </w:t>
      </w:r>
      <w:r w:rsidRPr="009235DC">
        <w:rPr>
          <w:rFonts w:ascii="Palatino Linotype" w:hAnsi="Palatino Linotype" w:cs="Times New Roman"/>
          <w:bCs/>
          <w:sz w:val="18"/>
          <w:szCs w:val="18"/>
        </w:rPr>
        <w:t>Teoría General del Proceso</w:t>
      </w:r>
      <w:r w:rsidRPr="009235DC">
        <w:rPr>
          <w:rFonts w:ascii="Palatino Linotype" w:hAnsi="Palatino Linotype" w:cs="Times New Roman"/>
          <w:sz w:val="18"/>
          <w:szCs w:val="18"/>
        </w:rPr>
        <w:t>, Bogotá, Temis, 2000, p.123.</w:t>
      </w:r>
    </w:p>
  </w:footnote>
  <w:footnote w:id="7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Calamandrei </w:t>
      </w:r>
      <w:r w:rsidRPr="009235DC">
        <w:rPr>
          <w:rFonts w:ascii="Palatino Linotype" w:hAnsi="Palatino Linotype" w:cs="Times New Roman"/>
          <w:bCs/>
          <w:sz w:val="18"/>
          <w:szCs w:val="18"/>
        </w:rPr>
        <w:t>Estudios...Op.Cit.</w:t>
      </w:r>
      <w:r w:rsidRPr="009235DC">
        <w:rPr>
          <w:rFonts w:ascii="Palatino Linotype" w:hAnsi="Palatino Linotype" w:cs="Times New Roman"/>
          <w:sz w:val="18"/>
          <w:szCs w:val="18"/>
        </w:rPr>
        <w:t>, p.408.</w:t>
      </w:r>
    </w:p>
  </w:footnote>
  <w:footnote w:id="7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lang w:val="es-MX"/>
        </w:rPr>
        <w:t xml:space="preserve"> </w:t>
      </w:r>
      <w:r w:rsidRPr="009235DC">
        <w:rPr>
          <w:rFonts w:ascii="Palatino Linotype" w:hAnsi="Palatino Linotype" w:cs="Times New Roman"/>
          <w:sz w:val="18"/>
          <w:szCs w:val="18"/>
        </w:rPr>
        <w:t xml:space="preserve">Artavia Barrantes Sergio. </w:t>
      </w:r>
      <w:r w:rsidRPr="009235DC">
        <w:rPr>
          <w:rFonts w:ascii="Palatino Linotype" w:hAnsi="Palatino Linotype" w:cs="Times New Roman"/>
          <w:iCs/>
          <w:sz w:val="18"/>
          <w:szCs w:val="18"/>
        </w:rPr>
        <w:t>Informe sobre Costa Rica</w:t>
      </w:r>
      <w:r w:rsidRPr="009235DC">
        <w:rPr>
          <w:rFonts w:ascii="Palatino Linotype" w:hAnsi="Palatino Linotype" w:cs="Times New Roman"/>
          <w:sz w:val="18"/>
          <w:szCs w:val="18"/>
        </w:rPr>
        <w:t xml:space="preserve">, en </w:t>
      </w:r>
      <w:r w:rsidRPr="009235DC">
        <w:rPr>
          <w:rFonts w:ascii="Palatino Linotype" w:hAnsi="Palatino Linotype" w:cs="Times New Roman"/>
          <w:bCs/>
          <w:sz w:val="18"/>
          <w:szCs w:val="18"/>
        </w:rPr>
        <w:t>El Juez y la Magistratura</w:t>
      </w:r>
      <w:r w:rsidRPr="009235DC">
        <w:rPr>
          <w:rFonts w:ascii="Palatino Linotype" w:hAnsi="Palatino Linotype" w:cs="Times New Roman"/>
          <w:sz w:val="18"/>
          <w:szCs w:val="18"/>
        </w:rPr>
        <w:t>, Buenos Aires, Rubinzal-Culzoni, 2002, p.245.</w:t>
      </w:r>
    </w:p>
  </w:footnote>
  <w:footnote w:id="7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w:t>
      </w:r>
      <w:r w:rsidRPr="009235DC">
        <w:rPr>
          <w:rFonts w:ascii="Palatino Linotype" w:hAnsi="Palatino Linotype" w:cs="Times New Roman"/>
          <w:bCs/>
          <w:sz w:val="18"/>
          <w:szCs w:val="18"/>
        </w:rPr>
        <w:t>Sala Segunda</w:t>
      </w:r>
      <w:r w:rsidRPr="009235DC">
        <w:rPr>
          <w:rFonts w:ascii="Palatino Linotype" w:hAnsi="Palatino Linotype" w:cs="Times New Roman"/>
          <w:sz w:val="18"/>
          <w:szCs w:val="18"/>
        </w:rPr>
        <w:t>, Voto No. 64 de las 14:10 horas del 24 de abril de 1991. Voto No. 27 de las 9:20 horas del 4 de mayo de 1988.</w:t>
      </w:r>
    </w:p>
  </w:footnote>
  <w:footnote w:id="7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w:t>
      </w:r>
      <w:r w:rsidRPr="009235DC">
        <w:rPr>
          <w:rFonts w:ascii="Palatino Linotype" w:hAnsi="Palatino Linotype" w:cs="Times New Roman"/>
          <w:bCs/>
          <w:sz w:val="18"/>
          <w:szCs w:val="18"/>
        </w:rPr>
        <w:t>Sala Segunda</w:t>
      </w:r>
      <w:r w:rsidRPr="009235DC">
        <w:rPr>
          <w:rFonts w:ascii="Palatino Linotype" w:hAnsi="Palatino Linotype" w:cs="Times New Roman"/>
          <w:sz w:val="18"/>
          <w:szCs w:val="18"/>
        </w:rPr>
        <w:t>, Voto No. 42 de las 9:10 horas del 13 de marzo de 1992.</w:t>
      </w:r>
    </w:p>
  </w:footnote>
  <w:footnote w:id="78">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lang w:val="es-CR"/>
        </w:rPr>
        <w:footnoteRef/>
      </w:r>
      <w:r w:rsidRPr="009235DC">
        <w:rPr>
          <w:rFonts w:ascii="Palatino Linotype" w:hAnsi="Palatino Linotype" w:cs="Times New Roman"/>
          <w:sz w:val="18"/>
          <w:szCs w:val="18"/>
        </w:rPr>
        <w:t xml:space="preserve"> En cuanto a la omisión de otorgar el Alegato de Conclusiones, la sentencia es nula porque coloca en estado de indefensión a las partes al no otorgar el plazo de seis días para poder referirse tanto a la prueba ofrecida al inicio como la incorporada por el Juez como para mejor resolver. Se viola el derecho de defensa. </w:t>
      </w:r>
      <w:r w:rsidRPr="009235DC">
        <w:rPr>
          <w:rFonts w:ascii="Palatino Linotype" w:hAnsi="Palatino Linotype" w:cs="Times New Roman"/>
          <w:bCs/>
          <w:sz w:val="18"/>
          <w:szCs w:val="18"/>
        </w:rPr>
        <w:t>Tribunal Agrario</w:t>
      </w:r>
      <w:r w:rsidRPr="009235DC">
        <w:rPr>
          <w:rFonts w:ascii="Palatino Linotype" w:hAnsi="Palatino Linotype" w:cs="Times New Roman"/>
          <w:sz w:val="18"/>
          <w:szCs w:val="18"/>
        </w:rPr>
        <w:t>, Voto No. 1002-04, Voto 384-02.</w:t>
      </w:r>
    </w:p>
  </w:footnote>
  <w:footnote w:id="79">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t>*</w:t>
      </w:r>
      <w:r w:rsidRPr="009235DC">
        <w:rPr>
          <w:rFonts w:ascii="Palatino Linotype" w:hAnsi="Palatino Linotype"/>
          <w:sz w:val="18"/>
          <w:szCs w:val="18"/>
        </w:rPr>
        <w:t xml:space="preserve"> Universitat de Girona. Este artículo se ha realizado en el marco del proyecto “Prueba y atribución de responsabilidad: definición y contrastación del daño” DER2014-52130-P; y mejorado gracias a la estancia de investigación en la Northwestern University financiada por la UdG en la convocatoria MOB-2016. Agradezco a Jordi Ferrer sus comentarios al borrador de este trabajo y a Ron J. Allen por todas las discusiones sobre diversos puntos del mismo, ambos han enriquecido ampliamente mis ideas.  </w:t>
      </w:r>
    </w:p>
  </w:footnote>
  <w:footnote w:id="8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Me referiré exclusivamente al derecho federal estadounidense, no al que se dotan cada uno de los estados que conforman la Federación. </w:t>
      </w:r>
    </w:p>
  </w:footnote>
  <w:footnote w:id="8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Aunque también existen los llamados bench trials, donde no hay jurado y todo el caso es decidido por el mismo juez. En teoría todas las reglas probatorias son igualmente aplicables a éstos, sin embargo, en la práctica parece que éstas se relajan en comparación a los jury trials. </w:t>
      </w:r>
    </w:p>
  </w:footnote>
  <w:footnote w:id="8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Aquí vale la pena ir con cuidado, dado que, como afirman entre otros Allen y Pardo 2003: 1770, no hay una distinción nítida entre ambas cuestiones: “[s]ólo hay diferencias pragmáticas. … [L]o que inició como una defensa de una distinción “analítica” entre el derecho y los hechos acabó en la disolución de toda diferencia, dado que toda determinación de los hechos es implícitamente una determinación normativa y, por ello, en ese sentido, jurídica. Esto no significa que la distinción doctrinal ente ‘derecho’ y ‘hechos’ no sea importante; solo significa que debe ser decidida de forma funcional y no por referencia a supuestas diferencias ontológicas, epistemológicas o analíticas entre dichos conceptos.” </w:t>
      </w:r>
    </w:p>
  </w:footnote>
  <w:footnote w:id="83">
    <w:p w:rsidR="00FC1DF6" w:rsidRPr="009235DC" w:rsidRDefault="00FC1DF6" w:rsidP="00E60FEF">
      <w:pPr>
        <w:jc w:val="both"/>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Entiéndase “presentar” en el sentido más amplio de la palabra, pues no solo tienen las partes la posibilidad de ofrecer pruebas para su admisión, sino que se trata de una facultad que va más allá y está relacionada con la práctica de las pruebas, pues al menos en el trial son las partes quienes preguntan, por ejemplo, a los testigos, a los peritos, a su contrapartes, etc., mientras el juzgador de los hechos permanece pasivo, escuchando la información así brindada</w:t>
      </w:r>
      <w:r w:rsidRPr="009235DC">
        <w:rPr>
          <w:rFonts w:ascii="Palatino Linotype" w:hAnsi="Palatino Linotype"/>
          <w:sz w:val="18"/>
          <w:szCs w:val="18"/>
          <w:lang w:val="es-CR"/>
        </w:rPr>
        <w:t xml:space="preserve">.  </w:t>
      </w:r>
    </w:p>
  </w:footnote>
  <w:footnote w:id="8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Esta discusión ha estado presente en los países del common law en general y puede ser identificada como the relevance plus approach, es decir, además de la relevancia de las pruebas se imponen otros criterios para permitir la entrada de estos elementos. Tales criterios han sido la helpfulness en Reino Unido o la necessity en Canadá y Autralia. Aunado a otros criterios jurídicos aplicables a todo tipo de pruebas. </w:t>
      </w:r>
    </w:p>
  </w:footnote>
  <w:footnote w:id="8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El legislador colombiano, por ejemplo, incorporó los criterios Daubert en el Código de Procedimiento Penal artículo 422; a nivel de la doctrina, véase por todos, Nieva 2010: 285 ss. </w:t>
      </w:r>
    </w:p>
  </w:footnote>
  <w:footnote w:id="8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Según la sentencia del caso, la defensa afirmaba que: “El incremento que se produce es fácilmente detectado y distinguible del aumento producido por el simple miedo al análisis  mismo. En el primer caso, la presión aumenta más que en el segundo y es más pronunciada en tanto el análisis se lleva a cabo; mientras en el primer caso, si el sujeto está diciendo la verdad, la presión registra un aumento al inicio del análisis pero luego baja gradualmente durante éste”.  </w:t>
      </w:r>
    </w:p>
  </w:footnote>
  <w:footnote w:id="8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Véase, Frye v. United States, 54 App.D.C.46, 293F. </w:t>
      </w:r>
      <w:r w:rsidRPr="009235DC">
        <w:rPr>
          <w:rFonts w:ascii="Palatino Linotype" w:hAnsi="Palatino Linotype"/>
          <w:sz w:val="18"/>
          <w:szCs w:val="18"/>
        </w:rPr>
        <w:t xml:space="preserve">1013, 34 A.L.R. 145 1923. </w:t>
      </w:r>
    </w:p>
    <w:p w:rsidR="00FC1DF6" w:rsidRPr="009235DC" w:rsidRDefault="00FC1DF6" w:rsidP="00E60FEF">
      <w:pPr>
        <w:pStyle w:val="Textonotapie"/>
        <w:jc w:val="both"/>
        <w:rPr>
          <w:rFonts w:ascii="Palatino Linotype" w:hAnsi="Palatino Linotype"/>
          <w:sz w:val="18"/>
          <w:szCs w:val="18"/>
        </w:rPr>
      </w:pPr>
      <w:r w:rsidRPr="009235DC">
        <w:rPr>
          <w:rFonts w:ascii="Palatino Linotype" w:hAnsi="Palatino Linotype"/>
          <w:sz w:val="18"/>
          <w:szCs w:val="18"/>
        </w:rPr>
        <w:t xml:space="preserve">Allen 2012: 21 llama la atención sobre la imprecisión del criterio, entre otras cuestiones, porque no es claro a qué se refiere con “aquello” que debe tener la aceptación general. </w:t>
      </w:r>
    </w:p>
  </w:footnote>
  <w:footnote w:id="8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Frye fue condenado a cadena perpetua, pero dieciocho años después de estar en prisión fue liberado. En la literatura estadounidense hay diversas versiones sobre tal liberación, por ejemplo, mientras Wicker 1953 afirma que Frye fue liberado cuando el verdadero homicida confesó, Starrs 1982 sostiene que fue liberado bajo libertad condicional por una reforma legislativa que le favoreció. </w:t>
      </w:r>
    </w:p>
  </w:footnote>
  <w:footnote w:id="89">
    <w:p w:rsidR="00FC1DF6" w:rsidRPr="009235DC" w:rsidRDefault="00FC1DF6" w:rsidP="00E60FEF">
      <w:pPr>
        <w:jc w:val="both"/>
        <w:rPr>
          <w:rFonts w:ascii="Palatino Linotype" w:eastAsia="MS PGothic" w:hAnsi="Palatino Linotype"/>
          <w:sz w:val="18"/>
          <w:szCs w:val="18"/>
          <w:lang w:val="es-MX" w:eastAsia="es-ES"/>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Una </w:t>
      </w:r>
      <w:r w:rsidRPr="009235DC">
        <w:rPr>
          <w:rFonts w:ascii="Palatino Linotype" w:eastAsia="MS PGothic" w:hAnsi="Palatino Linotype"/>
          <w:sz w:val="18"/>
          <w:szCs w:val="18"/>
          <w:lang w:val="es-MX" w:eastAsia="es-ES"/>
        </w:rPr>
        <w:t>cuestión significativa es que el criterio Frye se estableció específicamente para la  “ciencia novel”, sin embargo, esta delimitación inicial se dejó de lado y el criterio fue aplicado a todo tipo de conocimiento experto que pretendiera usarse como elemento de prueba.</w:t>
      </w:r>
    </w:p>
  </w:footnote>
  <w:footnote w:id="9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El término “comunidad científica” es muy vago tanto cualitativa como cuantitativamente, no resultando fácil saber cómo se constituye sustantivamente una comunidad. Por lo que toca a los criterios cualitativos, éstos pueden ser de naturaleza muy diversa, desde la mera credencial de pertenencia por haber pagado una cuota o cumplido algunos requisitos formales hasta el hecho de compartir implícita o explícitamente en grados diversos presupuestos de distintos tipos teóricos, experimentales, metodológicos, etc.. Por ejemplo, Quesada 1998: 263 considera que los investigadores que comparten todo lo siguiente forman una comunidad científica: “experiencias, formación, conocimientos, valores metodológicos y estratégicos y objetivos con otros colegas, leyendo las mismas publicaciones, participando en los mismos congresos, etc..” Aunque quizá la idea de Quesada es intuitiva, las nociones que emplea hipótesis, modelo, valor experimental, conocimiento, método tienen tan diverso significado e implicaciones que resultan exigencias demasiado vagas. Además, sus puntualizaciones sociológicas las mismas publicaciones, los mismos congresos pueden ser cumplidas con relativa facilidad por muchos grupos diversos que no necesariamente se reconozcan como comunidad.  </w:t>
      </w:r>
    </w:p>
  </w:footnote>
  <w:footnote w:id="91">
    <w:p w:rsidR="00FC1DF6" w:rsidRPr="009235DC" w:rsidRDefault="00FC1DF6" w:rsidP="00E60FEF">
      <w:pPr>
        <w:pStyle w:val="Textonotapie"/>
        <w:jc w:val="both"/>
        <w:rPr>
          <w:rFonts w:ascii="Palatino Linotype" w:eastAsia="MS PGothic"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eastAsia="MS PGothic" w:hAnsi="Palatino Linotype"/>
          <w:sz w:val="18"/>
          <w:szCs w:val="18"/>
        </w:rPr>
        <w:t>La decisión sobre cuál es la comunidad relevante puede llegar a ser también bastante problemática sustantivamente, por ejemplo, porque que hay pericias en las que participan áreas de conocimiento diversas que constituyen comunidades diferentes.</w:t>
      </w:r>
    </w:p>
    <w:p w:rsidR="00FC1DF6" w:rsidRPr="009235DC" w:rsidRDefault="00FC1DF6" w:rsidP="00E60FEF">
      <w:pPr>
        <w:jc w:val="both"/>
        <w:rPr>
          <w:rFonts w:ascii="Palatino Linotype" w:eastAsia="MS PGothic" w:hAnsi="Palatino Linotype"/>
          <w:sz w:val="18"/>
          <w:szCs w:val="18"/>
          <w:lang w:val="es-ES_tradnl" w:eastAsia="es-ES"/>
        </w:rPr>
      </w:pPr>
      <w:r w:rsidRPr="009235DC">
        <w:rPr>
          <w:rFonts w:ascii="Palatino Linotype" w:eastAsia="MS PGothic" w:hAnsi="Palatino Linotype"/>
          <w:sz w:val="18"/>
          <w:szCs w:val="18"/>
          <w:lang w:val="es-ES_tradnl" w:eastAsia="es-ES"/>
        </w:rPr>
        <w:t xml:space="preserve">Por citar otros ejemplos a efectos de explicitar los problemas de identificación de “comunidad”, puede pensarse en el artículo 422 del Código de Procedimiento Penal colombiano, donde se alude a “la aceptación de la comunidad académica”; o Nieva 2010: 295 que hace referencia a la “aceptación de la comunidad científica internacional”. Evidentemente una “comunidad científica” puede ser distinta a “una comunidad académica” en la que se supone fundamentalmente objetivos de investigación y/o docencia, muchas veces con alguna adscripción a una universidad. Y, también, la alusión a una comunidad internacional introduce un parámetro cualitativo y cuantitativo diverso; además, no se puede obviar que no todas las áreas de conocimiento tienen algo que se puede identificar como “comunidad internacional”. </w:t>
      </w:r>
    </w:p>
  </w:footnote>
  <w:footnote w:id="92">
    <w:p w:rsidR="00FC1DF6" w:rsidRPr="009235DC" w:rsidRDefault="00FC1DF6" w:rsidP="00E60FEF">
      <w:pPr>
        <w:pStyle w:val="Textonotapie"/>
        <w:jc w:val="both"/>
        <w:rPr>
          <w:rFonts w:ascii="Palatino Linotype" w:eastAsia="MS PGothic"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Si, por ejemplo, pensamos en la aceptación como un criterio numérico o </w:t>
      </w:r>
      <w:r w:rsidRPr="009235DC">
        <w:rPr>
          <w:rFonts w:ascii="Palatino Linotype" w:eastAsia="MS PGothic" w:hAnsi="Palatino Linotype"/>
          <w:sz w:val="18"/>
          <w:szCs w:val="18"/>
        </w:rPr>
        <w:t xml:space="preserve">cuantitativo, ¿cómo debería interpretarse tal aceptación, como una mayoría absoluta, una mayoría calificada, o una mayoría ordinaria de la comunidad científica relevante? Como sucedió, por ejemplo, en la International Astronomical Union que votó en el 2006 la definición de “planeta” que excluyó a Plutón como tal, una decisión por mayoría simple.  </w:t>
      </w:r>
    </w:p>
    <w:p w:rsidR="00FC1DF6" w:rsidRPr="009235DC" w:rsidRDefault="00FC1DF6" w:rsidP="00AA21F8">
      <w:pPr>
        <w:pStyle w:val="Textonotapie"/>
        <w:ind w:firstLine="708"/>
        <w:jc w:val="both"/>
        <w:rPr>
          <w:rFonts w:ascii="Palatino Linotype" w:hAnsi="Palatino Linotype"/>
          <w:sz w:val="18"/>
          <w:szCs w:val="18"/>
        </w:rPr>
      </w:pPr>
      <w:r w:rsidRPr="009235DC">
        <w:rPr>
          <w:rFonts w:ascii="Palatino Linotype" w:hAnsi="Palatino Linotype"/>
          <w:sz w:val="18"/>
          <w:szCs w:val="18"/>
        </w:rPr>
        <w:t xml:space="preserve">Un ejemplo jurídico al respecto proviene de la Corte Europea de Derechos Humanos, Sheffield and Horsham v. UK 1999, un caso donde los demandantes solicitaban al gobierno que hiciera lo necesario para que su reciente cambio de sexo se reflejara en sus diversos documentos oficiales. La Corte rechazó la petición argumentando que la investigación médica sobre la etiología transexual no tenía “el soporte o confirmación universal de una comunidad científica”.  </w:t>
      </w:r>
    </w:p>
  </w:footnote>
  <w:footnote w:id="9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Como equivocadamente hace, por ejemplo, Denti 1972: 280 cuando afirma que “los métodos de investigación se consideran correctos solo porque son aceptados por la generalidad de los estudiosos en un momento histórico determinado, sin excluir que dichos métodos puedan ser considerados como erróneos en un momento sucesivo.” </w:t>
      </w:r>
    </w:p>
    <w:p w:rsidR="00FC1DF6" w:rsidRPr="009235DC" w:rsidRDefault="00FC1DF6" w:rsidP="00E60FEF">
      <w:pPr>
        <w:pStyle w:val="Textonotapie"/>
        <w:jc w:val="both"/>
        <w:rPr>
          <w:rFonts w:ascii="Palatino Linotype" w:hAnsi="Palatino Linotype"/>
          <w:sz w:val="18"/>
          <w:szCs w:val="18"/>
        </w:rPr>
      </w:pPr>
      <w:r w:rsidRPr="009235DC">
        <w:rPr>
          <w:rFonts w:ascii="Palatino Linotype" w:hAnsi="Palatino Linotype"/>
          <w:sz w:val="18"/>
          <w:szCs w:val="18"/>
        </w:rPr>
        <w:t xml:space="preserve">O, más recientemente, Rivera Morales 2011: 271 equipara “verdadera ciencia” con “la considerada como tal por el consenso general en la comunidad científica”.  </w:t>
      </w:r>
    </w:p>
  </w:footnote>
  <w:footnote w:id="9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Para consultar algunas de las críticas más frecuentes a Frye planteadas por tribunales estadounidenses, véase Giannelli e Imwinkelried 1999: 27 ss.  </w:t>
      </w:r>
    </w:p>
  </w:footnote>
  <w:footnote w:id="9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Cuyo proceso de creación, por cierto, es digno de mencionar pues las FRE son resultado de un trabajo conjunto del poder judicial con las barras de abogados y destacados juristas especialistas en la materia, no siendo pues un trabajo meramente legislativo. Así, se constituyó una comisión para discutir cuál sería la reglamentación probatoria adecuada, hasta que después de diez años de arduos debates se presentó un proyecto que fue aprobado por el Legislativo, quien teniendo la facultad de hacer enmiendas, no realizó ninguna. </w:t>
      </w:r>
    </w:p>
  </w:footnote>
  <w:footnote w:id="9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Este caso fue una de las más de 1700 demandas interpuestas en contra de Merrell Dow por el fármaco en cuestión. Véase Sanders 1992 para un panorama general sobre los antecedentes judiciales del Bendectin.    </w:t>
      </w:r>
    </w:p>
    <w:p w:rsidR="00FC1DF6" w:rsidRPr="009235DC" w:rsidRDefault="00FC1DF6" w:rsidP="00E60FEF">
      <w:pPr>
        <w:pStyle w:val="Textonotapie"/>
        <w:jc w:val="both"/>
        <w:rPr>
          <w:rFonts w:ascii="Palatino Linotype" w:hAnsi="Palatino Linotype"/>
          <w:sz w:val="18"/>
          <w:szCs w:val="18"/>
        </w:rPr>
      </w:pPr>
      <w:r w:rsidRPr="009235DC">
        <w:rPr>
          <w:rFonts w:ascii="Palatino Linotype" w:hAnsi="Palatino Linotype"/>
          <w:sz w:val="18"/>
          <w:szCs w:val="18"/>
        </w:rPr>
        <w:t>Según Angell</w:t>
      </w:r>
      <w:r w:rsidRPr="009235DC">
        <w:rPr>
          <w:rFonts w:ascii="Palatino Linotype" w:hAnsi="Palatino Linotype"/>
          <w:smallCaps/>
          <w:sz w:val="18"/>
          <w:szCs w:val="18"/>
        </w:rPr>
        <w:t xml:space="preserve"> </w:t>
      </w:r>
      <w:r w:rsidRPr="009235DC">
        <w:rPr>
          <w:rFonts w:ascii="Palatino Linotype" w:hAnsi="Palatino Linotype"/>
          <w:sz w:val="18"/>
          <w:szCs w:val="18"/>
        </w:rPr>
        <w:t>1996: 127, la probabilidad de este tipo de defectos en aquella época, era 1 en 1000 nacimientos. Sin embargo, entre 1958 y 1983, la ingesta de Bendectin era tan común en las embarazadas, equiparable al uso de vitaminas, que es perfectamente plausible la concurrencia del uso de éste fármaco y las malformaciones genéticas sin que exista una conexión causal entre ambas.</w:t>
      </w:r>
    </w:p>
  </w:footnote>
  <w:footnote w:id="9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Ocho profesionales con currículum nada desdeñable. Por ejemplo, Shanna Helen Swan, maestra en bioestadística por la Columbia University y doctora en estadísticas por la University of California, jefa de sección del California Department of Health and Services y asesora de la Organización Mundial de la Salud.  </w:t>
      </w:r>
    </w:p>
  </w:footnote>
  <w:footnote w:id="98">
    <w:p w:rsidR="00FC1DF6" w:rsidRPr="009235DC" w:rsidRDefault="00FC1DF6" w:rsidP="00E60FEF">
      <w:pPr>
        <w:pStyle w:val="Textonotapie"/>
        <w:jc w:val="both"/>
        <w:rPr>
          <w:rStyle w:val="Refdenotaalpie"/>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Entiéndase bien, los expertos no afirmaban que cada una de esas pruebas o solo una de esas pruebas establecían la relación causal, sino que del conjunto de esas pruebas se podría inferir la prueba de la causalidad. Obviamente, la exclusión de una ellas sería determinante.  </w:t>
      </w:r>
    </w:p>
  </w:footnote>
  <w:footnote w:id="99">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El Bendectin contenía como sustancia activa succinato de doxilamina, un antihistamínico que alivia las náuseas. Dado que a la fecha estaba científicamente comprobado que al menos algunos antihistamínicos eran teratógenos, los expertos consideraron esta similitud estructural para inferir sus conclusiones. </w:t>
      </w:r>
      <w:r w:rsidRPr="009235DC">
        <w:rPr>
          <w:rFonts w:ascii="Palatino Linotype" w:hAnsi="Palatino Linotype"/>
          <w:sz w:val="18"/>
          <w:szCs w:val="18"/>
          <w:lang w:val="en-US"/>
        </w:rPr>
        <w:t xml:space="preserve">Véase, Sanders 1992: 317.   </w:t>
      </w:r>
    </w:p>
  </w:footnote>
  <w:footnote w:id="100">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Daubert v. Merrell Dow Pharms., Inc., 727 F.Supp. 570, 573 S.D.Cal. 1989.</w:t>
      </w:r>
    </w:p>
  </w:footnote>
  <w:footnote w:id="101">
    <w:p w:rsidR="00FC1DF6" w:rsidRPr="009235DC" w:rsidRDefault="00FC1DF6" w:rsidP="00E60FEF">
      <w:pPr>
        <w:pStyle w:val="Textonotapie"/>
        <w:jc w:val="both"/>
        <w:rPr>
          <w:rFonts w:ascii="Palatino Linotype" w:eastAsia="MS PGothic" w:hAnsi="Palatino Linotype"/>
          <w:sz w:val="18"/>
          <w:szCs w:val="18"/>
          <w:lang w:val="es-MX"/>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También se argumentó que dada la </w:t>
      </w:r>
      <w:r w:rsidRPr="009235DC">
        <w:rPr>
          <w:rFonts w:ascii="Palatino Linotype" w:eastAsia="MS PGothic" w:hAnsi="Palatino Linotype"/>
          <w:sz w:val="18"/>
          <w:szCs w:val="18"/>
          <w:lang w:val="es-MX"/>
        </w:rPr>
        <w:t xml:space="preserve">gran cantidad de estudios epidemiológicos sobre el Bendectin, solo las pruebas periciales con este tipo de fundamento podrían probar una correlación entre su ingesta y los daños. </w:t>
      </w:r>
      <w:r w:rsidRPr="009235DC">
        <w:rPr>
          <w:rFonts w:ascii="Palatino Linotype" w:hAnsi="Palatino Linotype"/>
          <w:sz w:val="18"/>
          <w:szCs w:val="18"/>
        </w:rPr>
        <w:t>Según un informe del Tellus Institute 2003: 8, en la época Post-Daubert, algunos jueces han desestimado demandas precisamente porque las partes no presentan pruebas epidemiológicas, pese a que la comunidad científica entiende que para muchas sustancias tóxicas no podría existir evidencia epidemiológica, entre otras cosas, porque no es ético o incluso lícito suministrar o poner en contacto con sustancias tóxicas a individuos a efectos de analizar qué dosis causa qué enfermedad.</w:t>
      </w:r>
    </w:p>
  </w:footnote>
  <w:footnote w:id="102">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Daubert v. Merrell Dow Pharms., Inc., 951 f.2d 1128 9th Circ. 1991.</w:t>
      </w:r>
    </w:p>
  </w:footnote>
  <w:footnote w:id="10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Hay tres conceptos centrales en juego no solo en la sentencia Daubert sino también en este trabajo: fiabilidad, validez y calidad. Si bien podrían tener sentidos diversos, en mi opinión, no es relevante discutir aquí al respecto siempre y cuando entendamos que se alude a información que pretende servir de justificación subyacente a la información experta utilizada. En todo caso, la Corte explicó que con “fiabilidad probatoria” estaba haciendo referencia a la confianza o la credibilidad trusthworthiness. En Vázquez 2015 se pueden encontrar significados distintos de estos conceptos. </w:t>
      </w:r>
    </w:p>
  </w:footnote>
  <w:footnote w:id="104">
    <w:p w:rsidR="00FC1DF6" w:rsidRPr="009235DC" w:rsidRDefault="00FC1DF6" w:rsidP="00E60FEF">
      <w:pPr>
        <w:pStyle w:val="Textonotapie"/>
        <w:jc w:val="both"/>
        <w:rPr>
          <w:rFonts w:ascii="Palatino Linotype" w:eastAsia="MS PGothic"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Pese a que la regla 702 aludía también al conocimiento técnico y al conocimiento especializado, toda la discusión se centró en el “conocimiento científico”. </w:t>
      </w:r>
      <w:r w:rsidRPr="009235DC">
        <w:rPr>
          <w:rFonts w:ascii="Palatino Linotype" w:eastAsia="MS PGothic" w:hAnsi="Palatino Linotype"/>
          <w:sz w:val="18"/>
          <w:szCs w:val="18"/>
        </w:rPr>
        <w:t xml:space="preserve">Con esta omisión se dejó abierto, entonces, el problema de las pruebas periciales no-científicas que tuvo que ser abordado por la propia Corte en un caso sucesivo.   </w:t>
      </w:r>
    </w:p>
    <w:p w:rsidR="00FC1DF6" w:rsidRPr="009235DC" w:rsidRDefault="00FC1DF6" w:rsidP="00E60FEF">
      <w:pPr>
        <w:pStyle w:val="NoSpacing1"/>
        <w:jc w:val="both"/>
        <w:rPr>
          <w:rFonts w:ascii="Palatino Linotype" w:hAnsi="Palatino Linotype" w:cs="Arial"/>
          <w:sz w:val="18"/>
          <w:szCs w:val="18"/>
        </w:rPr>
      </w:pPr>
      <w:r w:rsidRPr="009235DC">
        <w:rPr>
          <w:rFonts w:ascii="Palatino Linotype" w:hAnsi="Palatino Linotype" w:cs="Arial"/>
          <w:sz w:val="18"/>
          <w:szCs w:val="18"/>
        </w:rPr>
        <w:t>Según la sentencia del caso, consultando el Webster’s Third New International Dictionary del año 1986 y las 37 citas de diversos Amicus Curiae, entre ellos, The National Academy of Sciences, l</w:t>
      </w:r>
      <w:r w:rsidRPr="009235DC">
        <w:rPr>
          <w:rFonts w:ascii="Palatino Linotype" w:eastAsia="MS PGothic" w:hAnsi="Palatino Linotype"/>
          <w:sz w:val="18"/>
          <w:szCs w:val="18"/>
          <w:lang w:val="es-ES"/>
        </w:rPr>
        <w:t>a Corte determinó el significado de la expresión “conocimiento científico”, contenida en la regla 702. Así, diseccionando “conocimiento” y “científico”</w:t>
      </w:r>
      <w:r w:rsidRPr="009235DC">
        <w:rPr>
          <w:rFonts w:ascii="Palatino Linotype" w:hAnsi="Palatino Linotype"/>
          <w:sz w:val="18"/>
          <w:szCs w:val="18"/>
          <w:lang w:val="es-ES"/>
        </w:rPr>
        <w:t xml:space="preserve">, </w:t>
      </w:r>
      <w:r w:rsidRPr="009235DC">
        <w:rPr>
          <w:rFonts w:ascii="Palatino Linotype" w:eastAsia="MS PGothic" w:hAnsi="Palatino Linotype"/>
          <w:sz w:val="18"/>
          <w:szCs w:val="18"/>
          <w:lang w:val="es-ES"/>
        </w:rPr>
        <w:t>concluyó que el calificativo “científico” aludiría al fundamento en los métodos y los procedimientos de la ciencia y el sustantivo “conocimiento” connotaría a un “conjunto de hechos conocidos o ideas deducidas de esos hechos o aceptadas como verdaderas en función de sus principios, más que a una mera creencia subjetiva o especulación infundada”</w:t>
      </w:r>
    </w:p>
  </w:footnote>
  <w:footnote w:id="10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Como un ejemplo se puede citar, entre tantos otros, el caso Christophersen v. Allied – Signal Corp. 939 F.2d 1106, donde se alegaba que la exposición al níquel había causado el mortal cáncer de colon del esposo de la actora. En ese caso, el tribunal formuló cuatro criterios para valorar la admisión de pruebas científicas: a la cualificación del perito como experto; b si los hechos considerados por el experto son del mismo tipo de hechos que considerarían otros expertos en la materia; c si para llegar a su conclusión el experto empleó una  metodología bien fundada; y, d el perjuicio que su potencial valoración inadecuada pudiera causar.  </w:t>
      </w:r>
    </w:p>
  </w:footnote>
  <w:footnote w:id="10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Explícitamente la Corte citó, por un lado, el “Weinstein’s Evidence Manual” de Weinstein y Berger, donde se sugieren como criterios de admisibilidad: La  aceptación general de la técnica empleada; la preparación del experto y su nivel académico; el uso de la técnica en el caso concreto; el potencial rango de error; la existencia de literatura especializada; su grado de innovación o novedad, y la dependencia de los resultados de la interpretación subjetiva del experto. Y, por otro lado, citó “Scientific Evidence: Defending a New Approach to Admissibility” de McCormick, sugiriendo como criterios: el grado potencial de error de la técnica empleada; la existencia y el cumplimiento de estándares durante su uso; la existencia, dentro de las características de la técnica, de ciertas precauciones; su analogía con otras técnicas científicas cuyos resultados son admisibles; la aceptación de la técnica en su correspondiente comunidad científica; la naturaleza y amplitud de la inferencia realizada; la claridad y simplicidad con las que la técnica es descrita y sus resultados explicados; la posibilidad de que el tribunal y el jurado puedan verificar los “basic data”; la viabilidad de que otros expertos puedan probar y evaluar la técnica; su valor probatorio en las circunstancias del caso; y, la corrección que observó el experto en la aplicación de la técnica.      </w:t>
      </w:r>
    </w:p>
  </w:footnote>
  <w:footnote w:id="10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La Corte consideró que una técnica que solo contase con una aceptación mínima en la comunidad de referencia tendría que verse con escepticismo Cfr. 509 U.S. 579, 113 S. Ct. 2786, p. 81.. Sin embargo, se puede observar una ligera modificación cuantitativa entre el criterio Frye de la “aceptación general en la comunidad de referencia” y el criterio de “una amplia aceptación de la comunidad” del caso Daubert. </w:t>
      </w:r>
    </w:p>
  </w:footnote>
  <w:footnote w:id="10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El magistrado Stevens en su voto particular argumentó que, en su opinión, se hacía uso de conceptos, citando incluso diversos autores y tratados, que podían fácilmente perder a los juzgadores en su tarea en lugar de tener para ellos utilidad alguna. </w:t>
      </w:r>
    </w:p>
    <w:p w:rsidR="00FC1DF6" w:rsidRPr="009235DC" w:rsidRDefault="00FC1DF6" w:rsidP="00E60FEF">
      <w:pPr>
        <w:pStyle w:val="Textonotapie"/>
        <w:jc w:val="both"/>
        <w:rPr>
          <w:rFonts w:ascii="Palatino Linotype" w:hAnsi="Palatino Linotype"/>
          <w:sz w:val="18"/>
          <w:szCs w:val="18"/>
        </w:rPr>
      </w:pPr>
      <w:r w:rsidRPr="009235DC">
        <w:rPr>
          <w:rFonts w:ascii="Palatino Linotype" w:hAnsi="Palatino Linotype"/>
          <w:sz w:val="18"/>
          <w:szCs w:val="18"/>
        </w:rPr>
        <w:t xml:space="preserve">En el ámbito académico las críticas tampoco fueron muy positivas: se le calificó de trivial, complicado o hasta superado o anticuado. Allen 1994: 1157, por ejemplo, consideró que solo se cambió un anacronismo jurídico el criterio Frye por un anacronismo filosófico. El criterio Frye constituye para Allen un anacronismo jurídico por la deferencia que supone hacía la comunidad científica, teniendo ésta objetivos distintos al ámbito jurídico. </w:t>
      </w:r>
    </w:p>
  </w:footnote>
  <w:footnote w:id="109">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El sistema jurídico estadounidense ha sido uno de los pioneros en el uso de la cientificidad como criterio de valoración de las pruebas periciales. La primera discusión acerca de la cientificidad no fue en razón de la admisión de pruebas periciales, en 1960 en el debate sobre la enseñanza de llamado creacionismo científico vs. la teoría de la evolución. En la sentencia del caso McLean v. Arkansas Board of Education 1982, el juez William R. Overton formuló lo que consideró como características esenciales de la ciencia que la demarcaban de otro tipo de actividades, a saber: a se guía por leyes naturales; b tiene que explicarse a través de leyes naturales; c es contrastable con el mundo empírico; d sus conclusiones son tentativas, i.e. no son necesariamente la última palabra; y, e son falsables.  </w:t>
      </w:r>
    </w:p>
  </w:footnote>
  <w:footnote w:id="11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En cambio, una versión débil parecería solo exigir o bien un conjunto de condiciones necesarias o bien un conjunto de condiciones suficientes. El problema es que las condiciones necesarias de cientificidad no permitirían identificar con certeza aquello que sí es científico, aun cuando permitieran determinar aquello que ciertamente no es científico; por lo que, lo único que se podría afirmar es que “x podría ser científico”. En cambio, si solo se cuenta con condiciones suficientes, no podría determinarse que x no es científico, solo podría afirmarse que x es científico o que posiblemente no es científico. Por ello, parecería que el criterio de cientificidad ideal sería aquel que pudiese identificar ambas condiciones.</w:t>
      </w:r>
    </w:p>
    <w:p w:rsidR="00FC1DF6" w:rsidRPr="009235DC" w:rsidRDefault="00FC1DF6" w:rsidP="00E60FEF">
      <w:pPr>
        <w:pStyle w:val="Textonotapie"/>
        <w:jc w:val="both"/>
        <w:rPr>
          <w:rFonts w:ascii="Palatino Linotype" w:hAnsi="Palatino Linotype"/>
          <w:sz w:val="18"/>
          <w:szCs w:val="18"/>
        </w:rPr>
      </w:pPr>
      <w:r w:rsidRPr="009235DC">
        <w:rPr>
          <w:rFonts w:ascii="Palatino Linotype" w:hAnsi="Palatino Linotype"/>
          <w:sz w:val="18"/>
          <w:szCs w:val="18"/>
        </w:rPr>
        <w:t xml:space="preserve">En Daubert, la Corte usó el término “ordinarily”, lo que podría interpretarse como solo condiciones necesarias o solo condiciones suficientes sobre la cientificidad. </w:t>
      </w:r>
    </w:p>
    <w:p w:rsidR="00FC1DF6" w:rsidRPr="009235DC" w:rsidRDefault="00FC1DF6" w:rsidP="00E60FEF">
      <w:pPr>
        <w:pStyle w:val="Textonotapie"/>
        <w:jc w:val="both"/>
        <w:rPr>
          <w:rFonts w:ascii="Palatino Linotype" w:hAnsi="Palatino Linotype"/>
          <w:sz w:val="18"/>
          <w:szCs w:val="18"/>
        </w:rPr>
      </w:pPr>
      <w:r w:rsidRPr="009235DC">
        <w:rPr>
          <w:rFonts w:ascii="Palatino Linotype" w:hAnsi="Palatino Linotype"/>
          <w:sz w:val="18"/>
          <w:szCs w:val="18"/>
        </w:rPr>
        <w:t xml:space="preserve">Otra discusión sería qué se quiere demarcar, es decir, a qué hace referencia “x”; y también ahí el criterio es vago, algunos aluden a teorías, otros a afirmaciones, otros a métodos, etc. </w:t>
      </w:r>
    </w:p>
  </w:footnote>
  <w:footnote w:id="11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Kaye 2005: 475 opina que no existe mayor implicación filosófica en la enunciación de este factor puesto que el uso que hizo la Corte de la literatura correspondiente es parte de su práctica retórica. Según él, tradicionalmente este órgano ha manifestado una inclinación por usar literatura de muy diversas áreas del conocimiento con el objetivo de fundar sus decisiones. En todo caso, parece que las referencias de este tipo no son extrañas en los tribunales del common law, Edmond y Mercer 2002: 346 hacen una recopilación de algunos filósofos, sociólogos e historiadores de la ciencia que han sido citados por diversos tribunales federales en Estados Unidos.  </w:t>
      </w:r>
    </w:p>
  </w:footnote>
  <w:footnote w:id="11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 diferencia de Popper, Hempel no estuvo interesado en ofrecer ningún criterio de demarcación entre la ciencia y la no-ciencia y “testable” para él era “potencialmente confirmable”. Pero la idea hempeliana tampoco parece muy acertado, no solo porque tal confirmación es tentativa o provisoria, sino porque es demasiado simple para aplicarse a las categorías tan complejas como las pruebas epidemiológicas, toxicológicas, etc., que estaban en juego en un caso como Daubert Haack, 2005: S68.</w:t>
      </w:r>
    </w:p>
  </w:footnote>
  <w:footnote w:id="11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Con “metafísico”, Popper hace referencia explícita a lo que él identifica como las disciplinas no científicas v.gr la historia y las pseudociencias v.gr. la teoría del psicoanálisis. Sin embargo, sostuvo 1934: 34 que el hecho de que una teoría no sea científica no significa que carezca de importancia o de valor. Es más, llegó a afirmar que casi todas las ciencias tenían un pasado metafísico 1980: 522, es decir, especulativo o cuya operación radicaba fundamentalmente en anticipaciones mentales 1972: 312.</w:t>
      </w:r>
    </w:p>
    <w:p w:rsidR="00FC1DF6" w:rsidRPr="009235DC" w:rsidRDefault="00FC1DF6" w:rsidP="00E60FEF">
      <w:pPr>
        <w:pStyle w:val="Textonotapie"/>
        <w:jc w:val="both"/>
        <w:rPr>
          <w:rFonts w:ascii="Palatino Linotype" w:hAnsi="Palatino Linotype"/>
          <w:sz w:val="18"/>
          <w:szCs w:val="18"/>
        </w:rPr>
      </w:pPr>
      <w:r w:rsidRPr="009235DC">
        <w:rPr>
          <w:rFonts w:ascii="Palatino Linotype" w:hAnsi="Palatino Linotype"/>
          <w:sz w:val="18"/>
          <w:szCs w:val="18"/>
        </w:rPr>
        <w:t xml:space="preserve">Tampoco puede dejarse de lado un problema señalado, entre otros, por Laudan </w:t>
      </w:r>
      <w:r w:rsidRPr="009235DC">
        <w:rPr>
          <w:rFonts w:ascii="Palatino Linotype" w:hAnsi="Palatino Linotype"/>
          <w:sz w:val="18"/>
          <w:szCs w:val="18"/>
          <w:lang w:val="es-MX"/>
        </w:rPr>
        <w:t>1983: 119: la demarcación entre la ciencia y la no-ciencia ha sido típicamente usada como “machines de guerre en polémicas batallas entre campos [de conocimiento] rivales”.</w:t>
      </w:r>
      <w:r w:rsidRPr="009235DC">
        <w:rPr>
          <w:rFonts w:ascii="Palatino Linotype" w:hAnsi="Palatino Linotype"/>
          <w:sz w:val="18"/>
          <w:szCs w:val="18"/>
        </w:rPr>
        <w:t xml:space="preserve"> En la misma línea Lakatos 1973 señala:  </w:t>
      </w:r>
      <w:r w:rsidRPr="009235DC">
        <w:rPr>
          <w:rFonts w:ascii="Palatino Linotype" w:hAnsi="Palatino Linotype"/>
          <w:sz w:val="18"/>
          <w:szCs w:val="18"/>
          <w:lang w:val="es-MX"/>
        </w:rPr>
        <w:t>“</w:t>
      </w:r>
      <w:r w:rsidRPr="009235DC">
        <w:rPr>
          <w:rFonts w:ascii="Palatino Linotype" w:hAnsi="Palatino Linotype"/>
          <w:sz w:val="18"/>
          <w:szCs w:val="18"/>
        </w:rPr>
        <w:t>El problema de la demarcación entre la ciencia y la pseudociencia tiene graves consecuencias también para la institucionalización de la crítica.  La teoría de Copérnico fue prohibida por la Iglesia Católica en 1616 porque la consideró pseudocientífica. Fue sacada de ese categoría en 1820 porque en ese momento la Iglesia juzgó que los hechos habían sido probados y, por tanto, devino científica. El Comité Central del Partido Comunista Soviético en 1949 declaró la genética mendeliana como pseudocientífica y algunos de sus defensores, como el académico Vavilov, murieron en los campos de concentración; después del asesinato de Vavilov, la genética mendeliana fue rehabilitada; pero se mantuvo el derecho del Partido a decidir qué es ciencia y publicable y que es pseudociencia y punible. El nuevo establishment liberal del este también ejercía el derecho de coartar la libertad de expresión en lo que consideraba como pseudociencia. Todos esos juicios estaban inevitablemente fundados en alguna suerte de criterio de demarcación. Y esto explica por qué el problema de la demarcación entre la ciencia y la pseudociencia no es un pseudoproblema de filósofos de escritorio: tiene graves consecuencias éticas y políticas.”</w:t>
      </w:r>
    </w:p>
  </w:footnote>
  <w:footnote w:id="11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Precisamente este supuesto carácter gradual implica un primer problema para que la falsabilidad pueda funcionar como criterio de demarcación de la ciencia y la no-ciencia.</w:t>
      </w:r>
    </w:p>
  </w:footnote>
  <w:footnote w:id="11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Peor aún, la filosofía de la ciencia de Popper resulta inadecuada para lo que se pretende porque él explícitamente afirma que el grado de corroboración de una teoría no dice nada acerca de su ‘fiabilidad’, pero además para él 1972: 29 a 34 que una teoría hubiese sido corroborada, incluso ampliamente, nada dice sobre su verdad, ni siquiera sobre su probabilidad. Y el grado corroboración en un tiempo dado depende del número y la severidad de los test a los que fue sometida para falsarla, por lo que la corroboración es estrictamente un reporte del pasado.</w:t>
      </w:r>
    </w:p>
  </w:footnote>
  <w:footnote w:id="11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El problema que surge aquí, al menos al interior de la teoría de Popper, es que utilizaba el término “prueba” e “investigación” y “conocimiento” sin referencia alguna a la verdad Haack, 1993: 97.   </w:t>
      </w:r>
    </w:p>
  </w:footnote>
  <w:footnote w:id="11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Empíricamente, no teóricamente, es decir, no se trata solo de que los peritos expliquen sus supuestos fundamentos sino que presenten información empírica sobre el funcionamiento actual de lo que afirman. Sobre este punto, véase Vázquez 2015: 198 ss.    </w:t>
      </w:r>
    </w:p>
  </w:footnote>
  <w:footnote w:id="11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Entonces posiblemente surgiría un cuestionamiento del tipo ¿qué podría pedir y/o “necesitar” el derecho de la filosofía de la ciencia para el tratamiento de la prueba científica, ¿una descripción de lo que hacen los científicos? o ¿una serie de pautas de lo que deberían hacer los científicos? Este cuestionamiento se presenta en una de las críticas planteadas por Allen 1994:1171 a la supuesta adopción de Popper en Daubert, con el argumento de que la filosofía popperiana es una teoría descriptiva inadecuada de la actividad científica; por cierto, una crítica inadecuada para Popper porque su pretensión teórica era normativa.    </w:t>
      </w:r>
    </w:p>
  </w:footnote>
  <w:footnote w:id="119">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Chan 1995:120, por ejemplo, cita cuatro preguntas básicas que deben responder los reviewers de la revista biomédica JAVA: ¿es válida la metodología descrita?, ¿las conclusiones son razonables?, ¿el material es original? y ¿es importante la información?  </w:t>
      </w:r>
    </w:p>
  </w:footnote>
  <w:footnote w:id="12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Como en el propio caso Daubert, donde se otorgó toda la fiabilidad a las 30 publicaciones presentadas por el experto de Merrell Dow sin analizar previamente su calidad o prestigio, los datos o procedimientos subyacentes a las conclusiones de los autores, o los criterios editoriales que se observaron para su publicación. </w:t>
      </w:r>
    </w:p>
    <w:p w:rsidR="00FC1DF6" w:rsidRPr="009235DC" w:rsidRDefault="00FC1DF6" w:rsidP="00AA21F8">
      <w:pPr>
        <w:pStyle w:val="Textonotapie"/>
        <w:ind w:firstLine="708"/>
        <w:jc w:val="both"/>
        <w:rPr>
          <w:rFonts w:ascii="Palatino Linotype" w:hAnsi="Palatino Linotype"/>
          <w:sz w:val="18"/>
          <w:szCs w:val="18"/>
        </w:rPr>
      </w:pPr>
      <w:r w:rsidRPr="009235DC">
        <w:rPr>
          <w:rFonts w:ascii="Palatino Linotype" w:hAnsi="Palatino Linotype"/>
          <w:sz w:val="18"/>
          <w:szCs w:val="18"/>
        </w:rPr>
        <w:t>Pueden consultarse diversos procesos estadounidenses donde los órganos jurisdiccionales han discutido ampliamente el impacto de la evaluación por pares para la publicación en la fiabilidad probatoria en Kiely 2002: 85 a 104. Y, en Haack 2015 pueden encontrarse varias referencias de los diversos casos en que se vio involucrada la farmacéutica Merrell Dow, las publicaciones que presentó como prueba y sus grandes deficiencias.</w:t>
      </w:r>
    </w:p>
  </w:footnote>
  <w:footnote w:id="12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Con el tiempo y la dinámica científica, solo una ínfima parte de los millones de publicaciones actualmente existentes serán libros o artículos de referencia del futuro Bauer, 1992: 45. Y, por cierto, esa información de referencia tal vez nunca llegue a entrar en los procesos judiciales precisamente por su grado de probabilidad o quizá llegará a entrar en algún proceso judicial pero como un “hecho notorio” y no como una prueba pericial.  </w:t>
      </w:r>
    </w:p>
  </w:footnote>
  <w:footnote w:id="12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Hay al menos dos formas de aprender de los errores, haciendo estudios empíricos sobre cuánto suceden y, de forma más amplia, identificando cómo suceden. Aquí me referiré específicamente a la primera cuestión, pese a que la segunda es también en suma relevante. Como afirma Mayo 1996: xii, en el contexto del conocimiento experimental, conviene “aprender cuáles son los diferentes tipos de error, qué es lo que específicamente se aprende cuando se reconoce un error, cómo se identifica precisamente cuándo es culposo, cómo crece nuestra habilidad para detectar y corregir errores, y cómo está relacionado este conocimiento con el crecimiento del conocimiento científico”. O, en el propio contexto de las pruebas periciales, la National Academy of Science 2009: 188 estadounidense en su Report on Forensic Science afirma: “una agenda de investigación completa debe incluir estudios para establecer las fortalezas y limitaciones de cada procedimiento, fuentes de sesgos y variación, cuantificación de las incertezas creadas por estas fuentes, mediciones del rendimiento, los pasos procedimentales en el proceso de analizar pruebas forenses y los métodos para continuar monitoreando y mejorando los pasos de tal proceso.” </w:t>
      </w:r>
    </w:p>
  </w:footnote>
  <w:footnote w:id="12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Un recién estudio empírico al respecto es el de Pacheco, Cerchiai y Stoiloff 2014. </w:t>
      </w:r>
    </w:p>
  </w:footnote>
  <w:footnote w:id="12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Sobre todo, por ejemplo, en aquellas técnicas forenses que </w:t>
      </w:r>
      <w:r w:rsidRPr="009235DC">
        <w:rPr>
          <w:rFonts w:ascii="Palatino Linotype" w:eastAsia="MS PGothic" w:hAnsi="Palatino Linotype"/>
          <w:sz w:val="18"/>
          <w:szCs w:val="18"/>
        </w:rPr>
        <w:t>“cobran vida” casi exclusivamente en el contexto procesal, por lo que parece aun más justificado exigir que se lleven a cabo el tipo de  investigaciones que permita recabar información sobre los errores de los métodos o técnicas que emplean.</w:t>
      </w:r>
    </w:p>
  </w:footnote>
  <w:footnote w:id="12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 ello alude, por ejemplo, Rakoff 2008: 1379 cuando dice que un 13% de rango de error de los polígrafos, que es el porcentaje aducido por algunos estudiosos del tema, es insuficiente para justificar su admisibilidad como prueba. </w:t>
      </w:r>
    </w:p>
  </w:footnote>
  <w:footnote w:id="12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eastAsia="MS PGothic" w:hAnsi="Palatino Linotype"/>
          <w:sz w:val="18"/>
          <w:szCs w:val="18"/>
        </w:rPr>
        <w:t>A partir de Daubert, es un objetivo que se ha venido planteando que se debería adoptar. Por ejemplo, en la literatura española encontramos la sugerencia de Gascón, Lucena y González 2010: 12 sosteniendo que “junto al control de admisibilidad procesal pertinencia, necesidad y legalidad hay que agregar otro de admisibilidad científica validez científica”.</w:t>
      </w:r>
    </w:p>
  </w:footnote>
  <w:footnote w:id="127">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Si tal incapacidad resultase verdadera, entonces se justificaría el ejercicio de un paternalismo epistémico por el juez de la causa mediante la exclusión de pruebas periciales cuya calidad sea dudosa, evitando cualquier contaminación del jurado del que se desconfía, protegiéndolo así de la formación de creencias equivocadas; aunque, claramente, la protección real y necesaria sería para las partes. Nótese que no se trataría de errores ocasionales, sino de una cuestión más bien sistemática e incluso predecible; por ello, son muchos los estudios empíricos realizados para comprobar tal incapacidad, sin embargo, los resultados han sido muy dispares, algunos de los cuales confirman la hipótesis mientras otros la niegan. Al respecto, véase Vázquez 2015: 140 ss. </w:t>
      </w:r>
    </w:p>
  </w:footnote>
  <w:footnote w:id="12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Una cuestión trascendental es, desde luego, conocer el estándar de prueba, pues solo así el juez de la causa podrá decidir sobre el cumplimiento de la carga de producción de pruebas suficientes para la toma de decisión correspondiente. Ello, precisamente, resulta un problema en nuestros sistemas dada la falta de estas reglas de decisión. En este tema, una referencia obligada es Ferrer 2007. </w:t>
      </w:r>
    </w:p>
  </w:footnote>
  <w:footnote w:id="129">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En los procesos civiles estadounidenses el estándar de prueba es la preponderancia de las pruebas. En los casos donde estaba en juego la prueba de una causación específica, desde 1982 en el caso Cook v. United States, tal estándar se ha interpretado como “un incremento del riesgo en más del doble”. Es decir, si tomamos como ejemplo el caso Daubert, diríamos que se tenía que probar que la ingestión materna del Bendectin aumentó en más del doble la probabilidad de que los niños hubiesen nacido con defectos congénitos. Para un análisis muy detallado sobre estas cuestiones, véase Haack 2014. </w:t>
      </w:r>
    </w:p>
  </w:footnote>
  <w:footnote w:id="13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Me refiero aquí fundamentalmente al llamado discovery, mediante el cual se obliga a las partes a revelar o mostrar la información con la que cada una cuenta para sustentar su caso habría que decir cuándo deben revelarlo; lo que, evidentemente, abona a la completitud de la información disponible y la racionalidad de las decisiones que puedan tomar tanto las partes como los jueces. </w:t>
      </w:r>
    </w:p>
    <w:p w:rsidR="00FC1DF6" w:rsidRPr="009235DC" w:rsidRDefault="00FC1DF6" w:rsidP="00AA21F8">
      <w:pPr>
        <w:pStyle w:val="Textonotapie"/>
        <w:ind w:firstLine="708"/>
        <w:jc w:val="both"/>
        <w:rPr>
          <w:rFonts w:ascii="Palatino Linotype" w:hAnsi="Palatino Linotype"/>
          <w:sz w:val="18"/>
          <w:szCs w:val="18"/>
        </w:rPr>
      </w:pPr>
      <w:r w:rsidRPr="009235DC">
        <w:rPr>
          <w:rFonts w:ascii="Palatino Linotype" w:hAnsi="Palatino Linotype"/>
          <w:sz w:val="18"/>
          <w:szCs w:val="18"/>
        </w:rPr>
        <w:t xml:space="preserve">Ahora bien, un punto interesante es que actualmente en pocos procesos se ejercita el discovery como tal; sin embargo, la revelación de al menos gran parte de la información entre las partes se ha convertido en la práctica cotidiana del sistema estadounidense, sobretodo en materia penal. Ello, por ejemplo, al menos en abstracto, imprime de racionalidad a los tan comunes acuerdos settlements entre las partes.  </w:t>
      </w:r>
    </w:p>
  </w:footnote>
  <w:footnote w:id="13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Incluso si, por ejemplo, las comunidades deberían directamente especificar los factores de fiabilidad conducentes; evidentemente, ello de ninguna manera debería suponer que éstas especifiquen cuándo están probados jurídicamente ciertos hechos. Tal consulta a las comunidades podría evitar, por ejemplo, una de las críticas más fuertes a Daubert, consistente en que tales criterios son propiamente de las llamadas ciencias duras y no son igualmente aplicables a otras áreas del conocimiento.   </w:t>
      </w:r>
    </w:p>
  </w:footnote>
  <w:footnote w:id="13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eastAsia="MS PGothic" w:hAnsi="Palatino Linotype"/>
          <w:sz w:val="18"/>
          <w:szCs w:val="18"/>
          <w:lang w:val="es-MX"/>
        </w:rPr>
        <w:t>Por ejemplo, en la aviación las modificaciones que se pueden llegar a hacer en el motor de un avión pueden ser aceptadas si se trata de un avión militar y en cambio ser rechazadas para los aviones comerciales; o en la farmacología, los efectos de un químico pueden ser aceptados para continuar con la investigación en animales pero no para salir al mercado, etc.</w:t>
      </w:r>
    </w:p>
  </w:footnote>
  <w:footnote w:id="13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Sobre todo lo anterior, puede verse Vázquez 2015: 173 ss. y 255 ss. </w:t>
      </w:r>
    </w:p>
  </w:footnote>
  <w:footnote w:id="13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Presidente del Instituto Costarricense de Derecho Procesal. Miembro de los Institutos Mundial e Iberoamericano de Derecho Procesal. Profesor de Derecho Procesal Civil en la Universidad de Costa Rica. Co-Redactor del nuevo Código Procesal Civil.</w:t>
      </w:r>
    </w:p>
  </w:footnote>
  <w:footnote w:id="135">
    <w:p w:rsidR="00FC1DF6" w:rsidRPr="009235DC" w:rsidRDefault="00FC1DF6" w:rsidP="00E60FEF">
      <w:pPr>
        <w:jc w:val="both"/>
        <w:rPr>
          <w:rFonts w:ascii="Palatino Linotype" w:hAnsi="Palatino Linotype"/>
          <w:sz w:val="18"/>
          <w:szCs w:val="18"/>
        </w:rPr>
      </w:pPr>
      <w:r w:rsidRPr="009235DC">
        <w:rPr>
          <w:rFonts w:ascii="Palatino Linotype" w:hAnsi="Palatino Linotype"/>
          <w:sz w:val="18"/>
          <w:szCs w:val="18"/>
          <w:vertAlign w:val="superscript"/>
        </w:rPr>
        <w:footnoteRef/>
      </w:r>
      <w:r w:rsidRPr="009235DC">
        <w:rPr>
          <w:rFonts w:ascii="Palatino Linotype" w:hAnsi="Palatino Linotype"/>
          <w:sz w:val="18"/>
          <w:szCs w:val="18"/>
        </w:rPr>
        <w:t xml:space="preserve"> Cómo ha señalado De la Oliva. Derecho procesal Civil,  vol.1, pág.165, no es necesario que un proceso sea por completo oral cosa que difícilmente se hallará en las leyes o en la realidad para que pueda ser calificado de tal; más bien, “será suficiente que, aunque exista algún el acto escrito por ejemplo, el de iniciación del proceso, las alegaciones, la prueba y, en su caso, la última concreción de las pretensiones y sus fundamentos, antes de la sentencia, se presenten al juez de viva voz”: estamos, por tanto, ante un proceso oral “cuando -según el mismo autor- la actividad procesal se lleva a cabo predominantemente mediante la palabra hablada”.</w:t>
      </w:r>
    </w:p>
  </w:footnote>
  <w:footnote w:id="13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 pesar de que la tendencia mundial, desde mediados del siglo pasado, en especial a partir de los 70´s fue dotar a los procesos sumarios o reducidos de un sistema oral o por audiencias. Ver el reporte general de Ada Pellegrini al XII Congreso Mundial de Derecho Procesal, de la Asociación Mundial de Derecho Procesal, México, 2002, págs. 129 y ss.</w:t>
      </w:r>
    </w:p>
  </w:footnote>
  <w:footnote w:id="13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Artavia Sergio-Picado Carlos. Comentarios al nuevo Código Procesal Civil, San José, 2016, t. I, art. 2 “El influjo de las ideas políticas en la evolución procesal es evidente, y aun podríamos añadir que entre nosotros el sistema escrito representó, en su tiempo, la dependencia de la colonia. La necesidad de la Corona de controlar los actos de sus personeros hacía imprescindible que todas las actuaciones constaran por escrito. Solo así eran posibles los recursos ante el Consejo de Indias, organismo de centralización del poder que pudo justificar políticamente, en su momento, el sistema escrito, pero que al mismo tiempo muestra que a no ser por razones presupuestarias siempre presentes para demorar las grandes reformas, no hay motivo para mantener más entre nosotros el sistema escrito, ni por razones técnicas ni por razones ideológicas”.</w:t>
      </w:r>
    </w:p>
  </w:footnote>
  <w:footnote w:id="138">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Quien inició la defensa de la oralidad, en la doctrina procesal científica, de manera entusiasta, fue el maestro italiano Guiseppe Chiovenda. El profesor Chiovenda tomó la iluminación de Mancini, quien plasmo los principios procesales en lógico, jurídico, político y económico. En primero de ellos, consiste en elegir los medios más seguros y expeditos para investigar y descubrir la verdad y evitar el error en los juicios; el segundo, en proporcionar a los justiciables, a los verdaderos litigantes, la igualdad en la controversia y la justicia en la resolución judicial; el político, se traduce en introducir en el proceso la máxima garantía social de los derechos con el mínimo sacrificio de la libertad individual y el económico para obtener mayor rendimiento procesal con mínimo esfuerzo mental.</w:t>
      </w:r>
    </w:p>
  </w:footnote>
  <w:footnote w:id="139">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De la Rúa Fernando. Teoría general del Proceso, pág. 113, Cappelletti Mauro. Proceso e ideologías, pág. 37. </w:t>
      </w:r>
    </w:p>
  </w:footnote>
  <w:footnote w:id="140">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En la exposición de motivos del Código Modelo Iberoamericano se dijo expresamente: </w:t>
      </w:r>
      <w:r w:rsidRPr="009235DC">
        <w:rPr>
          <w:rFonts w:ascii="Palatino Linotype" w:hAnsi="Palatino Linotype"/>
          <w:iCs/>
          <w:sz w:val="18"/>
          <w:szCs w:val="18"/>
        </w:rPr>
        <w:t>“La oralidad, por la cual se han inclinado la mayoría de los procesalistas iberoamericanos, no sin alguna discrepancia, es entendida en el sentido general, aunque, en puridad, se plantea un proceso mixto, porque no se trata de perder los beneficios y virtudes de la escritura. Y es así que, fuera de la prueba documental, cuyo valor resultará tan esencial como establecen los Derechos de fondo, en el proceso planeado, son escritos, la etapa de proposición y la de recursos. Es así que es escrita la demanda, la contestación en sentido amplio de contradicción, excepciones y defensas y la reconvención en su caso, ‘la interposición y fundamentación de los recursos y la contestación a la expresión de agravios etc.. Lo que sucede es que se sigue un modelo de proceso por audiencia, como veremos más adelante realizar los actos en forma conjunta; los diversos tramos del proceso, concentrando su actuación”.</w:t>
      </w:r>
    </w:p>
  </w:footnote>
  <w:footnote w:id="141">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Presentación en Cappelletti Mauro. La oralidad y las pruebas en el proceso civil. Buenos Aires, pág. 7.</w:t>
      </w:r>
    </w:p>
  </w:footnote>
  <w:footnote w:id="14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Ortells Manuel. Derecho Procesal Civil, t. I, pág. 300 </w:t>
      </w:r>
    </w:p>
  </w:footnote>
  <w:footnote w:id="14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Igual error incurre el art. 39 de la Ley RAC que señala que el proceso arbitral será guiado por el principio de oralidad, ver crítica en mi obra Comentarios a la Ley de Arbitraje y Conciliación, pág. 98.  Igual error incurre el art. nuevo Código Procesal Civil –NCPC- </w:t>
      </w:r>
      <w:r w:rsidRPr="009235DC">
        <w:rPr>
          <w:rFonts w:ascii="Palatino Linotype" w:hAnsi="Palatino Linotype"/>
          <w:bCs/>
          <w:sz w:val="18"/>
          <w:szCs w:val="18"/>
        </w:rPr>
        <w:t>2.6. Oralidad “</w:t>
      </w:r>
      <w:r w:rsidRPr="009235DC">
        <w:rPr>
          <w:rFonts w:ascii="Palatino Linotype" w:hAnsi="Palatino Linotype"/>
          <w:sz w:val="18"/>
          <w:szCs w:val="18"/>
        </w:rPr>
        <w:t xml:space="preserve">El proceso deberá ajustarse al principio de oralidad…”. </w:t>
      </w:r>
    </w:p>
  </w:footnote>
  <w:footnote w:id="144">
    <w:p w:rsidR="00FC1DF6" w:rsidRPr="009235DC" w:rsidRDefault="00FC1DF6" w:rsidP="00E60FEF">
      <w:pPr>
        <w:jc w:val="both"/>
        <w:rPr>
          <w:rFonts w:ascii="Palatino Linotype" w:hAnsi="Palatino Linotype"/>
          <w:sz w:val="18"/>
          <w:szCs w:val="18"/>
        </w:rPr>
      </w:pPr>
      <w:r w:rsidRPr="009235DC">
        <w:rPr>
          <w:rFonts w:ascii="Palatino Linotype" w:hAnsi="Palatino Linotype"/>
          <w:sz w:val="18"/>
          <w:szCs w:val="18"/>
          <w:vertAlign w:val="superscript"/>
        </w:rPr>
        <w:footnoteRef/>
      </w:r>
      <w:r w:rsidRPr="009235DC">
        <w:rPr>
          <w:rFonts w:ascii="Palatino Linotype" w:hAnsi="Palatino Linotype"/>
          <w:sz w:val="18"/>
          <w:szCs w:val="18"/>
        </w:rPr>
        <w:t xml:space="preserve"> Así, Bachmaier Winter. Nociones de derecho procesal, pág. 11.</w:t>
      </w:r>
    </w:p>
  </w:footnote>
  <w:footnote w:id="145">
    <w:p w:rsidR="00FC1DF6" w:rsidRPr="009235DC" w:rsidRDefault="00FC1DF6" w:rsidP="00E60FEF">
      <w:pPr>
        <w:jc w:val="both"/>
        <w:rPr>
          <w:rFonts w:ascii="Palatino Linotype" w:hAnsi="Palatino Linotype"/>
          <w:sz w:val="18"/>
          <w:szCs w:val="18"/>
        </w:rPr>
      </w:pPr>
      <w:r w:rsidRPr="009235DC">
        <w:rPr>
          <w:rFonts w:ascii="Palatino Linotype" w:hAnsi="Palatino Linotype"/>
          <w:sz w:val="18"/>
          <w:szCs w:val="18"/>
          <w:vertAlign w:val="superscript"/>
        </w:rPr>
        <w:footnoteRef/>
      </w:r>
      <w:r w:rsidRPr="009235DC">
        <w:rPr>
          <w:rFonts w:ascii="Palatino Linotype" w:hAnsi="Palatino Linotype"/>
          <w:sz w:val="18"/>
          <w:szCs w:val="18"/>
        </w:rPr>
        <w:t xml:space="preserve"> Esas ventajas ya las resaltó, hace tiempo, Chiovenda, “L’ oralitá e la prova”, en Riv. Dir. Proc. Civ., 1924, I, págs. 5 y ss. </w:t>
      </w:r>
    </w:p>
  </w:footnote>
  <w:footnote w:id="14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Para conseguir que la inmediación se cumpla de verdad en todos los casos previstos por el Código y sin que ello provoque excesivas dilaciones procesales, parece imprescindible aumentar cuanto antes el número de jueces, pues de lo contrario, debido al reducido número de órganos judiciales y al volumen de la litigiosidad existentes en esta materia, como ya ha advertido algún autor, bien se incrementará el retraso en la tramitación de los procesos a fin de practicar con inmediación toda la prueba, o bien se mantendrá la corruptela consistente en dar por realizadas en presencia del juez actividades probatorias en las que en realidad no habido tal presencia.</w:t>
      </w:r>
    </w:p>
  </w:footnote>
  <w:footnote w:id="147">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Cappelletti-Vigoriti, 1971, pág. </w:t>
      </w:r>
      <w:r w:rsidRPr="009235DC">
        <w:rPr>
          <w:rFonts w:ascii="Palatino Linotype" w:hAnsi="Palatino Linotype"/>
          <w:sz w:val="18"/>
          <w:szCs w:val="18"/>
          <w:lang w:val="it-IT"/>
        </w:rPr>
        <w:t>637 ss.; Comoglio Luigi. Garantías Constitucionales en el Proceso, pág. 148 ss. 217 ss. 301 ss.</w:t>
      </w:r>
    </w:p>
  </w:footnote>
  <w:footnote w:id="14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Sobre la limitación de la defensa y los medios de prueba en estos procesos, véase Artavia Sergio-Picado Carlos. El monitorio de desahucio, 3ª edic., San José, 2016.</w:t>
      </w:r>
    </w:p>
  </w:footnote>
  <w:footnote w:id="149">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lang w:val="it-IT"/>
        </w:rPr>
        <w:t xml:space="preserve"> Taruffo Micheli. La prueba de los hechos, </w:t>
      </w:r>
      <w:r w:rsidRPr="009235DC">
        <w:rPr>
          <w:rFonts w:ascii="Palatino Linotype" w:hAnsi="Palatino Linotype"/>
          <w:sz w:val="18"/>
          <w:szCs w:val="18"/>
        </w:rPr>
        <w:t>pág. 56.  Vid. Rivera Rodrigo. La valoración de la prueba, pág.160.</w:t>
      </w:r>
    </w:p>
  </w:footnote>
  <w:footnote w:id="150">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Sobre ésta garantía Picó Joan. El derecho a las pruebas, pág. 18 “El derecho a la prueba es aquél que posee el litigante consistente en la utilización de los medios probatorios necesarios para formar la convicción del órgano jurisdiccional acerca de lo discutido en el proceso”, el autor señala que ese derecho se materializa: a derecho a que se admita, b derecho a que sea efectivamente practicada, c asegurar a la parte su intervención en la evacuación, d el derecho a que la prueba sea valorada motivadamente. </w:t>
      </w:r>
    </w:p>
  </w:footnote>
  <w:footnote w:id="151">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Sala Const. N° 1018 de las 14:45 hrs. del 18-02-1997 y N° 4455 de las 14:58 hrs. del 24-05-2000.</w:t>
      </w:r>
    </w:p>
  </w:footnote>
  <w:footnote w:id="15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Sobre la naturaleza, presupuestos y caracteres de la resolución de admisión o inadmisión de los medios de prueba “Iniciativa probatoria…”, ob. cit., pp. 346-361. Diez reflexiones en torno al juicio de admisión o inadmisión de los medios de prueba en el proceso civil, en “Libro homenaje al Profesor Dr. Eduardo Font Serra”, t. I, Ministerio de Justicia, Centro de Estudios Jurídicos, Madrid, 2004, pp. 959-981.</w:t>
      </w:r>
    </w:p>
  </w:footnote>
  <w:footnote w:id="15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vertAlign w:val="superscript"/>
        </w:rPr>
        <w:t xml:space="preserve"> </w:t>
      </w:r>
      <w:r w:rsidRPr="009235DC">
        <w:rPr>
          <w:rFonts w:ascii="Palatino Linotype" w:hAnsi="Palatino Linotype"/>
          <w:sz w:val="18"/>
          <w:szCs w:val="18"/>
        </w:rPr>
        <w:t>Garberí J.-Buitrón G.  La prueba civil, Madrid, 2004, pág. 141.</w:t>
      </w:r>
    </w:p>
  </w:footnote>
  <w:footnote w:id="154">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Artavia Sergio. Derecho Procesal Civil, t. III, San José, 2005, pág. 183.  Seguimos a Devis H. 1998, pág. 354. </w:t>
      </w:r>
    </w:p>
  </w:footnote>
  <w:footnote w:id="155">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 II C. N° 80-1996 y N° 367-1994. </w:t>
      </w:r>
    </w:p>
  </w:footnote>
  <w:footnote w:id="15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Decastro Alejandro. La prueba en refutación, Colombia, 2010, pág. 9 y Mauet Thomas. Estudios en técnicas de litigación, trad. Karen Ventura, Lima, 2007, pág. 17 “evidencia que produce el demandante para explicar o contradecir evidencia presentada por el demandado”, pág. 67.</w:t>
      </w:r>
    </w:p>
  </w:footnote>
  <w:footnote w:id="15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S.I C. N°</w:t>
      </w:r>
      <w:r w:rsidRPr="009235DC">
        <w:rPr>
          <w:rFonts w:ascii="Palatino Linotype" w:hAnsi="Palatino Linotype"/>
          <w:bCs/>
          <w:sz w:val="18"/>
          <w:szCs w:val="18"/>
        </w:rPr>
        <w:t>01096-2009</w:t>
      </w:r>
      <w:r w:rsidRPr="009235DC">
        <w:rPr>
          <w:rFonts w:ascii="Palatino Linotype" w:hAnsi="Palatino Linotype"/>
          <w:sz w:val="18"/>
          <w:szCs w:val="18"/>
        </w:rPr>
        <w:t>: “</w:t>
      </w:r>
      <w:r w:rsidRPr="009235DC">
        <w:rPr>
          <w:rFonts w:ascii="Palatino Linotype" w:hAnsi="Palatino Linotype"/>
          <w:bCs/>
          <w:sz w:val="18"/>
          <w:szCs w:val="18"/>
        </w:rPr>
        <w:t>…</w:t>
      </w:r>
      <w:r w:rsidRPr="009235DC">
        <w:rPr>
          <w:rFonts w:ascii="Palatino Linotype" w:hAnsi="Palatino Linotype"/>
          <w:sz w:val="18"/>
          <w:szCs w:val="18"/>
        </w:rPr>
        <w:t xml:space="preserve">no procede darle efectos probatorios a la cinta magnetofónica, pues el artículo 24 de la Constitución Política, garante del derecho a la intimidad, libertad y secreto de las comunicaciones, determina la inviolabilidad de los documentos privados y las comunicaciones escritas, orales o de cualquier otra naturaleza. No existe salvedad que, por ley especial, exonere la aplicación de ese precepto, en el caso concreto, tratándose de la grabación a que aluden los recurrentes”. </w:t>
      </w:r>
    </w:p>
  </w:footnote>
  <w:footnote w:id="158">
    <w:p w:rsidR="00FC1DF6" w:rsidRPr="009235DC" w:rsidRDefault="00FC1DF6" w:rsidP="00E60FEF">
      <w:pPr>
        <w:jc w:val="both"/>
        <w:rPr>
          <w:rFonts w:ascii="Palatino Linotype" w:hAnsi="Palatino Linotype"/>
          <w:bCs/>
          <w:sz w:val="18"/>
          <w:szCs w:val="18"/>
        </w:rPr>
      </w:pPr>
      <w:r w:rsidRPr="009235DC">
        <w:rPr>
          <w:rStyle w:val="Refdenotaalpie"/>
          <w:rFonts w:ascii="Palatino Linotype" w:hAnsi="Palatino Linotype"/>
          <w:sz w:val="18"/>
          <w:szCs w:val="18"/>
        </w:rPr>
        <w:footnoteRef/>
      </w:r>
      <w:r w:rsidRPr="009235DC">
        <w:rPr>
          <w:rFonts w:ascii="Palatino Linotype" w:hAnsi="Palatino Linotype"/>
          <w:bCs/>
          <w:sz w:val="18"/>
          <w:szCs w:val="18"/>
        </w:rPr>
        <w:t xml:space="preserve"> Eisner  citado por Peyrano Jorge.  El proceso..., pág. 99 y 291.</w:t>
      </w:r>
    </w:p>
  </w:footnote>
  <w:footnote w:id="159">
    <w:p w:rsidR="00FC1DF6" w:rsidRPr="009235DC" w:rsidRDefault="00FC1DF6" w:rsidP="00E60FEF">
      <w:pPr>
        <w:jc w:val="both"/>
        <w:rPr>
          <w:rFonts w:ascii="Palatino Linotype" w:hAnsi="Palatino Linotype"/>
          <w:sz w:val="18"/>
          <w:szCs w:val="18"/>
        </w:rPr>
      </w:pPr>
      <w:r w:rsidRPr="009235DC">
        <w:rPr>
          <w:rFonts w:ascii="Palatino Linotype" w:hAnsi="Palatino Linotype"/>
          <w:sz w:val="18"/>
          <w:szCs w:val="18"/>
          <w:vertAlign w:val="superscript"/>
        </w:rPr>
        <w:footnoteRef/>
      </w:r>
      <w:r w:rsidRPr="009235DC">
        <w:rPr>
          <w:rFonts w:ascii="Palatino Linotype" w:hAnsi="Palatino Linotype"/>
          <w:sz w:val="18"/>
          <w:szCs w:val="18"/>
        </w:rPr>
        <w:t xml:space="preserve"> De la Oliva Andrés. Derecho procesal…, T.1, pág.166.</w:t>
      </w:r>
    </w:p>
  </w:footnote>
  <w:footnote w:id="16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Aunque en ambos recursos, a diferencia de la sentencia de primera instancia, esa exigencia es utópica y no obligatoria, pues las normas que regulan ambos recursos no establecen el deber de identidad física del juzgador para la apelación, menos para la sentencia de casación, no sancionado por ello con nulidad absoluta, el dictado de la sentencia recursiva, por otros jueces o magistrados de casación.</w:t>
      </w:r>
    </w:p>
  </w:footnote>
  <w:footnote w:id="161">
    <w:p w:rsidR="00FC1DF6" w:rsidRPr="009235DC" w:rsidRDefault="00FC1DF6" w:rsidP="00E60FEF">
      <w:pPr>
        <w:jc w:val="both"/>
        <w:rPr>
          <w:rFonts w:ascii="Palatino Linotype" w:hAnsi="Palatino Linotype"/>
          <w:sz w:val="18"/>
          <w:szCs w:val="18"/>
        </w:rPr>
      </w:pPr>
      <w:r w:rsidRPr="009235DC">
        <w:rPr>
          <w:rFonts w:ascii="Palatino Linotype" w:hAnsi="Palatino Linotype"/>
          <w:sz w:val="18"/>
          <w:szCs w:val="18"/>
          <w:vertAlign w:val="superscript"/>
        </w:rPr>
        <w:footnoteRef/>
      </w:r>
      <w:r w:rsidRPr="009235DC">
        <w:rPr>
          <w:rFonts w:ascii="Palatino Linotype" w:hAnsi="Palatino Linotype"/>
          <w:sz w:val="18"/>
          <w:szCs w:val="18"/>
        </w:rPr>
        <w:t xml:space="preserve"> De La Oliva Andrés. Derecho Procesal…, T. I, págs.166-167.</w:t>
      </w:r>
    </w:p>
  </w:footnote>
  <w:footnote w:id="16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Artavia Sergio. Teoría general…, pág. 167.</w:t>
      </w:r>
    </w:p>
  </w:footnote>
  <w:footnote w:id="163">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Devis Hernando. Teoría de la prueba..., pág. 128, Mora Luis Paulino.  “Los principios procesales” en Reflexiones..., IV, pág. 30, Artavia Sergio.  Derecho..., I, pág. 70.</w:t>
      </w:r>
    </w:p>
  </w:footnote>
  <w:footnote w:id="16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Sala Const. N° 1739 del 01-07-1992 “c El principio de inmediación de la prueba de una manera directa, inmediata y simultánea.  Es necesario que las pruebas lleguen al ánimo del juez sin alteración alguna.  A la hora de recibir la prueba del juez debe estar en comunicación directa con los demás sujetos del proceso.  Se aplica la regla de la oralidad en las fases de juicio para hacer efectiva esa indicación.”</w:t>
      </w:r>
    </w:p>
  </w:footnote>
  <w:footnote w:id="16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Sobre el principio Artavia Sergio. Teoría general…, 2ª edic., pág. 222.</w:t>
      </w:r>
    </w:p>
  </w:footnote>
  <w:footnote w:id="16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Pueden verse en detalle en Artavia Sergio-Picado Carlos. Curso…, t. I, pág. 67.</w:t>
      </w:r>
    </w:p>
  </w:footnote>
  <w:footnote w:id="167">
    <w:p w:rsidR="00FC1DF6" w:rsidRPr="009235DC" w:rsidRDefault="00FC1DF6" w:rsidP="00E60FEF">
      <w:pPr>
        <w:jc w:val="both"/>
        <w:rPr>
          <w:rFonts w:ascii="Palatino Linotype" w:hAnsi="Palatino Linotype"/>
          <w:sz w:val="18"/>
          <w:szCs w:val="18"/>
        </w:rPr>
      </w:pPr>
      <w:r w:rsidRPr="009235DC">
        <w:rPr>
          <w:rFonts w:ascii="Palatino Linotype" w:hAnsi="Palatino Linotype"/>
          <w:sz w:val="18"/>
          <w:szCs w:val="18"/>
          <w:vertAlign w:val="superscript"/>
        </w:rPr>
        <w:footnoteRef/>
      </w:r>
      <w:r w:rsidRPr="009235DC">
        <w:rPr>
          <w:rFonts w:ascii="Palatino Linotype" w:hAnsi="Palatino Linotype"/>
          <w:sz w:val="18"/>
          <w:szCs w:val="18"/>
        </w:rPr>
        <w:t xml:space="preserve"> En general, la concentración supone, como es sabido, la realización de diversas actuaciones procesales -formulación de alegaciones, práctica de pruebas, en un solo acto, que puede llamarse preliminar, complementaria, comparecencia oral, vista, juicio, juicio oral o, también, “audiencia”, salvo las dos primeras las demás las emplea el NCPC para referirse a los diferentes actos en qué se concentran los actos: orales o escritos. </w:t>
      </w:r>
    </w:p>
  </w:footnote>
  <w:footnote w:id="168">
    <w:p w:rsidR="00FC1DF6" w:rsidRPr="009235DC" w:rsidRDefault="00FC1DF6" w:rsidP="00E60FEF">
      <w:pPr>
        <w:jc w:val="both"/>
        <w:rPr>
          <w:rFonts w:ascii="Palatino Linotype" w:hAnsi="Palatino Linotype"/>
          <w:sz w:val="18"/>
          <w:szCs w:val="18"/>
        </w:rPr>
      </w:pPr>
      <w:r w:rsidRPr="009235DC">
        <w:rPr>
          <w:rFonts w:ascii="Palatino Linotype" w:hAnsi="Palatino Linotype"/>
          <w:sz w:val="18"/>
          <w:szCs w:val="18"/>
          <w:vertAlign w:val="superscript"/>
        </w:rPr>
        <w:footnoteRef/>
      </w:r>
      <w:r w:rsidRPr="009235DC">
        <w:rPr>
          <w:rFonts w:ascii="Palatino Linotype" w:hAnsi="Palatino Linotype"/>
          <w:sz w:val="18"/>
          <w:szCs w:val="18"/>
        </w:rPr>
        <w:t xml:space="preserve"> Vid. en ese sentido, Díez-Picazo Giménez. Derecho procesal…, Madrid, 2000, pág. 13.</w:t>
      </w:r>
    </w:p>
  </w:footnote>
  <w:footnote w:id="169">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Artavia Sergio. Teoría general del proceso, 2ª edic., 2016, pág. 134, Artavia Sergio-Picado Carlos. Curso de Procesal Civil, t. I, 2016, pág. 76.</w:t>
      </w:r>
    </w:p>
  </w:footnote>
  <w:footnote w:id="170">
    <w:p w:rsidR="00FC1DF6" w:rsidRPr="009235DC" w:rsidRDefault="00FC1DF6" w:rsidP="00E60FEF">
      <w:pPr>
        <w:jc w:val="both"/>
        <w:rPr>
          <w:rFonts w:ascii="Palatino Linotype" w:hAnsi="Palatino Linotype"/>
          <w:bCs/>
          <w:sz w:val="18"/>
          <w:szCs w:val="18"/>
        </w:rPr>
      </w:pPr>
      <w:r w:rsidRPr="009235DC">
        <w:rPr>
          <w:rStyle w:val="Refdenotaalpie"/>
          <w:rFonts w:ascii="Palatino Linotype" w:hAnsi="Palatino Linotype"/>
          <w:sz w:val="18"/>
          <w:szCs w:val="18"/>
        </w:rPr>
        <w:footnoteRef/>
      </w:r>
      <w:r w:rsidRPr="009235DC">
        <w:rPr>
          <w:rFonts w:ascii="Palatino Linotype" w:hAnsi="Palatino Linotype"/>
          <w:bCs/>
          <w:sz w:val="18"/>
          <w:szCs w:val="18"/>
        </w:rPr>
        <w:t xml:space="preserve"> Chiovenda Guiseppe. Ensayos de derecho..., II, pág. 255, Devis Hernando. Compendio de Derecho Procesal Civil, pág. 49 y en Nociones..., pág. 60, Gimeno Vicente. Fundamentos..., pág. 234, De la Oliva-Fernández. Derecho..., pág. 131 y Palacio Lino. Derecho..., t. I, pág. 285 que transcribe la cita de Chiovenda "Decir oralidad es tanto como decir concentración. Y aquí se manifiesta mejor la diferencia entre el proceso oral y el escrito, porque mientras el oral tiende necesariamente a restringirse en una o pocas audiencias próximas en las que todas sus actividades procesales tengan su desarrollo, el proceso escrito se extiende, por el contrario".</w:t>
      </w:r>
    </w:p>
  </w:footnote>
  <w:footnote w:id="171">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vertAlign w:val="superscript"/>
        </w:rPr>
        <w:t xml:space="preserve"> </w:t>
      </w:r>
      <w:r w:rsidRPr="009235DC">
        <w:rPr>
          <w:rFonts w:ascii="Palatino Linotype" w:hAnsi="Palatino Linotype"/>
          <w:noProof/>
          <w:sz w:val="18"/>
          <w:szCs w:val="18"/>
        </w:rPr>
        <w:t xml:space="preserve">Antillon Walter. Teoría del proceso jurisdiccional, San José, 2001, pág.410, </w:t>
      </w:r>
      <w:r w:rsidRPr="009235DC">
        <w:rPr>
          <w:rFonts w:ascii="Palatino Linotype" w:hAnsi="Palatino Linotype"/>
          <w:sz w:val="18"/>
          <w:szCs w:val="18"/>
        </w:rPr>
        <w:t>Devis Hernando.  Teoría..., pág. 131.</w:t>
      </w:r>
      <w:r w:rsidRPr="009235DC">
        <w:rPr>
          <w:rFonts w:ascii="Palatino Linotype" w:hAnsi="Palatino Linotype"/>
          <w:noProof/>
          <w:sz w:val="18"/>
          <w:szCs w:val="18"/>
        </w:rPr>
        <w:t xml:space="preserve"> </w:t>
      </w:r>
    </w:p>
  </w:footnote>
  <w:footnote w:id="172">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Sobre ésta garantía Picó Joan. El derecho…, pág. 18 “El derecho a la prueba es aquél que posee el litigante consistente en la utilización de los medios probatorios necesarios para formar la convicción del órgano jurisdiccional acerca de lo discutido en el proceso”, el autor señala que ese derecho se materializa: a derecho a que se admita, b derecho a que sea efectivamente practicada, c asegurar a la parte su intervención en la evacuación, d el derecho a que la prueba sea valorada motivadamente. </w:t>
      </w:r>
    </w:p>
  </w:footnote>
  <w:footnote w:id="173">
    <w:p w:rsidR="00FC1DF6" w:rsidRPr="009235DC" w:rsidRDefault="00FC1DF6" w:rsidP="00E60FEF">
      <w:pPr>
        <w:jc w:val="both"/>
        <w:rPr>
          <w:rFonts w:ascii="Palatino Linotype" w:hAnsi="Palatino Linotype"/>
          <w:sz w:val="18"/>
          <w:szCs w:val="18"/>
        </w:rPr>
      </w:pPr>
      <w:r w:rsidRPr="009235DC">
        <w:rPr>
          <w:rFonts w:ascii="Palatino Linotype" w:hAnsi="Palatino Linotype"/>
          <w:sz w:val="18"/>
          <w:szCs w:val="18"/>
          <w:vertAlign w:val="superscript"/>
        </w:rPr>
        <w:footnoteRef/>
      </w:r>
      <w:r w:rsidRPr="009235DC">
        <w:rPr>
          <w:rFonts w:ascii="Palatino Linotype" w:hAnsi="Palatino Linotype"/>
          <w:sz w:val="18"/>
          <w:szCs w:val="18"/>
        </w:rPr>
        <w:t xml:space="preserve"> Señala sobre este punto Montero Aroca, Derecho jurisdiccional con Gómez Colomer, Montón Redondo y Barona Vilar Valencia, 2000, vol.2.  pág. 275, que la falta de esa citación debe suponer nulidad por indefensión, con independencia de que luego asistan o no las partes y sus defensores al acto de prueba.</w:t>
      </w:r>
    </w:p>
  </w:footnote>
  <w:footnote w:id="174">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Devis Hernando.  Teoría General..., pág. 35 y 124.  Picó Joan.  El derecho…, pág. 21.</w:t>
      </w:r>
    </w:p>
  </w:footnote>
  <w:footnote w:id="175">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Sobre el principio de igualdad procesal Artavia Sergio. Derecho Procesal..., I, pág. 37 y en Garantías constitucionales en el proceso…, cap. v.</w:t>
      </w:r>
    </w:p>
  </w:footnote>
  <w:footnote w:id="176">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Devis Hernando. Teoría…, I, pág. 123.</w:t>
      </w:r>
    </w:p>
  </w:footnote>
  <w:footnote w:id="177">
    <w:p w:rsidR="00FC1DF6" w:rsidRPr="009235DC" w:rsidRDefault="00FC1DF6" w:rsidP="00E60FEF">
      <w:pPr>
        <w:pStyle w:val="NormalWeb"/>
        <w:shd w:val="clear" w:color="auto" w:fill="FFFFFF"/>
        <w:spacing w:before="0" w:beforeAutospacing="0" w:after="0" w:afterAutospacing="0"/>
        <w:jc w:val="both"/>
        <w:rPr>
          <w:rFonts w:ascii="Palatino Linotype" w:hAnsi="Palatino Linotype" w:cs="Arial"/>
          <w:sz w:val="18"/>
          <w:szCs w:val="18"/>
        </w:rPr>
      </w:pPr>
      <w:r w:rsidRPr="009235DC">
        <w:rPr>
          <w:rStyle w:val="Refdenotaalpie"/>
          <w:rFonts w:ascii="Palatino Linotype" w:eastAsiaTheme="majorEastAsia" w:hAnsi="Palatino Linotype" w:cs="Arial"/>
          <w:sz w:val="18"/>
          <w:szCs w:val="18"/>
        </w:rPr>
        <w:footnoteRef/>
      </w:r>
      <w:r w:rsidRPr="009235DC">
        <w:rPr>
          <w:rFonts w:ascii="Palatino Linotype" w:hAnsi="Palatino Linotype" w:cs="Arial"/>
          <w:bCs/>
          <w:sz w:val="18"/>
          <w:szCs w:val="18"/>
        </w:rPr>
        <w:t xml:space="preserve"> S. Const. </w:t>
      </w:r>
      <w:r w:rsidRPr="009235DC">
        <w:rPr>
          <w:rStyle w:val="apple-converted-space"/>
          <w:rFonts w:ascii="Palatino Linotype" w:hAnsi="Palatino Linotype"/>
          <w:bCs/>
          <w:sz w:val="18"/>
          <w:szCs w:val="18"/>
        </w:rPr>
        <w:t> </w:t>
      </w:r>
      <w:r w:rsidRPr="009235DC">
        <w:rPr>
          <w:rFonts w:ascii="Palatino Linotype" w:hAnsi="Palatino Linotype" w:cs="Arial"/>
          <w:sz w:val="18"/>
          <w:szCs w:val="18"/>
        </w:rPr>
        <w:t>2003-01114</w:t>
      </w:r>
      <w:r w:rsidRPr="009235DC">
        <w:rPr>
          <w:rFonts w:ascii="Palatino Linotype" w:hAnsi="Palatino Linotype" w:cs="Arial"/>
          <w:bCs/>
          <w:sz w:val="18"/>
          <w:szCs w:val="18"/>
        </w:rPr>
        <w:t xml:space="preserve"> de las 14.44 hrs del 12-02-2003</w:t>
      </w:r>
      <w:r w:rsidRPr="009235DC">
        <w:rPr>
          <w:rFonts w:ascii="Palatino Linotype" w:hAnsi="Palatino Linotype" w:cs="Arial"/>
          <w:sz w:val="18"/>
          <w:szCs w:val="18"/>
        </w:rPr>
        <w:t>. Ver en igual sentido: 2001-11596</w:t>
      </w:r>
      <w:r w:rsidRPr="009235DC">
        <w:rPr>
          <w:rFonts w:ascii="Palatino Linotype" w:hAnsi="Palatino Linotype" w:cs="Arial"/>
          <w:bCs/>
          <w:sz w:val="18"/>
          <w:szCs w:val="18"/>
        </w:rPr>
        <w:t xml:space="preserve"> a las 09.05 hrs del 09-11-2001; N°</w:t>
      </w:r>
      <w:r w:rsidRPr="009235DC">
        <w:rPr>
          <w:rFonts w:ascii="Palatino Linotype" w:hAnsi="Palatino Linotype" w:cs="Arial"/>
          <w:sz w:val="18"/>
          <w:szCs w:val="18"/>
        </w:rPr>
        <w:t xml:space="preserve"> 2001-11588</w:t>
      </w:r>
      <w:r w:rsidRPr="009235DC">
        <w:rPr>
          <w:rFonts w:ascii="Palatino Linotype" w:hAnsi="Palatino Linotype" w:cs="Arial"/>
          <w:bCs/>
          <w:sz w:val="18"/>
          <w:szCs w:val="18"/>
        </w:rPr>
        <w:t xml:space="preserve"> de las 08.57 hrs del 09-11-2001; </w:t>
      </w:r>
      <w:r w:rsidRPr="009235DC">
        <w:rPr>
          <w:rFonts w:ascii="Palatino Linotype" w:hAnsi="Palatino Linotype" w:cs="Arial"/>
          <w:sz w:val="18"/>
          <w:szCs w:val="18"/>
        </w:rPr>
        <w:t xml:space="preserve">N° </w:t>
      </w:r>
      <w:r w:rsidRPr="009235DC">
        <w:rPr>
          <w:rFonts w:ascii="Palatino Linotype" w:hAnsi="Palatino Linotype" w:cs="Arial"/>
          <w:sz w:val="18"/>
          <w:szCs w:val="18"/>
          <w:shd w:val="clear" w:color="auto" w:fill="FFFFFF"/>
        </w:rPr>
        <w:t>5742-96, a las 15:03 hrs. del 29-10-1996</w:t>
      </w:r>
      <w:r w:rsidRPr="009235DC">
        <w:rPr>
          <w:rFonts w:ascii="Palatino Linotype" w:hAnsi="Palatino Linotype" w:cs="Arial"/>
          <w:bCs/>
          <w:sz w:val="18"/>
          <w:szCs w:val="18"/>
        </w:rPr>
        <w:t>; N° 5588-1994; Nº 3625 del 20-07-1994.</w:t>
      </w:r>
    </w:p>
  </w:footnote>
  <w:footnote w:id="178">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Devis Hernando. Teoría de la prueba..., I, pág. 123.</w:t>
      </w:r>
    </w:p>
  </w:footnote>
  <w:footnote w:id="179">
    <w:p w:rsidR="00FC1DF6" w:rsidRPr="009235DC" w:rsidRDefault="00FC1DF6" w:rsidP="00E60FEF">
      <w:pPr>
        <w:shd w:val="clear" w:color="auto" w:fill="FFFFFF"/>
        <w:jc w:val="both"/>
        <w:rPr>
          <w:rFonts w:ascii="Palatino Linotype" w:hAnsi="Palatino Linotype"/>
          <w:bCs/>
          <w:sz w:val="18"/>
          <w:szCs w:val="18"/>
        </w:rPr>
      </w:pPr>
      <w:r w:rsidRPr="009235DC">
        <w:rPr>
          <w:rStyle w:val="Refdenotaalpie"/>
          <w:rFonts w:ascii="Palatino Linotype" w:hAnsi="Palatino Linotype"/>
          <w:sz w:val="18"/>
          <w:szCs w:val="18"/>
        </w:rPr>
        <w:footnoteRef/>
      </w:r>
      <w:r w:rsidRPr="009235DC">
        <w:rPr>
          <w:rFonts w:ascii="Palatino Linotype" w:hAnsi="Palatino Linotype"/>
          <w:bCs/>
          <w:sz w:val="18"/>
          <w:szCs w:val="18"/>
          <w:vertAlign w:val="superscript"/>
        </w:rPr>
        <w:t xml:space="preserve"> </w:t>
      </w:r>
      <w:r w:rsidRPr="009235DC">
        <w:rPr>
          <w:rFonts w:ascii="Palatino Linotype" w:hAnsi="Palatino Linotype"/>
          <w:bCs/>
          <w:sz w:val="18"/>
          <w:szCs w:val="18"/>
        </w:rPr>
        <w:t xml:space="preserve">Sala Const. Nº </w:t>
      </w:r>
      <w:r w:rsidRPr="009235DC">
        <w:rPr>
          <w:rFonts w:ascii="Palatino Linotype" w:hAnsi="Palatino Linotype"/>
          <w:sz w:val="18"/>
          <w:szCs w:val="18"/>
        </w:rPr>
        <w:t>2003-01114, a las 14.44 hrs del 12-02-2003, N°2001-11596</w:t>
      </w:r>
      <w:r w:rsidRPr="009235DC">
        <w:rPr>
          <w:rFonts w:ascii="Palatino Linotype" w:hAnsi="Palatino Linotype"/>
          <w:bCs/>
          <w:sz w:val="18"/>
          <w:szCs w:val="18"/>
        </w:rPr>
        <w:t>, de las 09.05 hrs del 09-11-2001 y N° 3625 de las 14:45 hrs. del 20-07-1994 consid. IV.</w:t>
      </w:r>
    </w:p>
  </w:footnote>
  <w:footnote w:id="180">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Sobre el fundamento político y constitucional de la publicidad en el proceso penal: Moral García-Santos Vijande. Publicidad en el proceso penal, pág. 7; Maier Julio. Derecho Procesal Penal, pág. 878, Mora Luis. “Los principios fundamentales que informan el Código” en Reflexiones sobre el nuevo proceso penal, pág. 18.</w:t>
      </w:r>
    </w:p>
  </w:footnote>
  <w:footnote w:id="181">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Devis Hernando.  Teoría General..., pág. 124, </w:t>
      </w:r>
      <w:r w:rsidRPr="009235DC">
        <w:rPr>
          <w:rFonts w:ascii="Palatino Linotype" w:hAnsi="Palatino Linotype"/>
          <w:noProof/>
          <w:sz w:val="18"/>
          <w:szCs w:val="18"/>
        </w:rPr>
        <w:t>Antillón Walter.  Teoría..., pág. 405</w:t>
      </w:r>
    </w:p>
  </w:footnote>
  <w:footnote w:id="18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Art. 46.2.5 NCPC “En la práctica de reconocimiento de personas se tomarán las medidas necesarias, a fin de respetarles al máximo los derechos de la personalidad. Con esa finalidad, se les permitirá la compañía de algún familiar o persona de su confianza e incluso se podrá ordenar sin asistencia de partes o abogados, o en la propia casa o lugar donde se encuentre  quien deba ser reconocido”.  Ver Artavia Sergio-Picado Carlos. Comentarios al nuevo…, t. I, pág. 441.</w:t>
      </w:r>
    </w:p>
  </w:footnote>
  <w:footnote w:id="18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La excepción al principio de publicidad y el del secreto externo del sumario en materia penal puede verse en nuestro medio: Llobet Javier. Proceso penal comentado, 4ª edic., 2008, pág. 273 y el derecho comparado a Moral García-Santos Vijande. Publicidad y secreto en el proceso penal, Granada, 1996, especialmente pag. 68, donde desarrollan el fundamento de esas excepciones. </w:t>
      </w:r>
    </w:p>
  </w:footnote>
  <w:footnote w:id="18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bCs/>
          <w:sz w:val="18"/>
          <w:szCs w:val="18"/>
        </w:rPr>
        <w:t>El artículo 14.1 del PIDCP, establece "La prensa y el público podrán ser excluidos de la totalidad o parte de los juicios por consideraciones morales, orden público o seguridad nacional en una sociedad democrática, o cuando lo exija el interés de la vida privada de las partes o, en la medida estrictamente necesaria en opinión del tribunal, cuando por circunstancias especiales del asunto la publicidad pudiera perjudicar a los intereses de la justicia".</w:t>
      </w:r>
    </w:p>
  </w:footnote>
  <w:footnote w:id="18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Nieva Fenol. “La trilogía básica de los derechos procesales: imparcialidad, defensa y cosa juzgada”, en el libro de Memorias del III Congreso del Instituto Costarricense de Derecho Procesal, pág. 480.</w:t>
      </w:r>
    </w:p>
  </w:footnote>
  <w:footnote w:id="18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La Comisión Redactora Original las tomó del art. 138.2 y 140.3 de la LEC española, aunque la Comisión Revisora redujo los supuestos y dejó una fórmula más abierta. Sobre la LEC puede verse: Nieva Fenol. “La trilogía básica de los derechos procesales…, pág. 480.  Dice la norma española, art. 138 LEC “cuando ello sea necesario para la protección del orden público o de la seguridad nacional en una sociedad democrática, o cuando los intereses de los menores o la protección de la vida privada de las partes y de otros derechos y libertades exijan o, en fin, en la medida en que el tribunal lo considere estrictamente necesario, cuando por la concurrencia de circunstancias especiales la publicidad pudiera perjudicar a los intereses de la justicia”.</w:t>
      </w:r>
    </w:p>
  </w:footnote>
  <w:footnote w:id="18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Que ya estaba contenida en el art. 9 de la Ley de Información no Divulgada N° 7975 del 04-01-2000 “</w:t>
      </w:r>
      <w:r w:rsidRPr="009235DC">
        <w:rPr>
          <w:rStyle w:val="Textoennegrita"/>
          <w:rFonts w:ascii="Palatino Linotype" w:hAnsi="Palatino Linotype"/>
          <w:b w:val="0"/>
          <w:sz w:val="18"/>
          <w:szCs w:val="18"/>
        </w:rPr>
        <w:t>Protección de la información no divulgada en procesos administrativos o judiciales.</w:t>
      </w:r>
      <w:r w:rsidRPr="009235DC">
        <w:rPr>
          <w:rStyle w:val="apple-converted-space"/>
          <w:rFonts w:ascii="Palatino Linotype" w:hAnsi="Palatino Linotype"/>
          <w:bCs/>
          <w:sz w:val="18"/>
          <w:szCs w:val="18"/>
        </w:rPr>
        <w:t> </w:t>
      </w:r>
      <w:r w:rsidRPr="009235DC">
        <w:rPr>
          <w:rFonts w:ascii="Palatino Linotype" w:hAnsi="Palatino Linotype"/>
          <w:sz w:val="18"/>
          <w:szCs w:val="18"/>
        </w:rPr>
        <w:t>En todo proceso, administrativo o judicial, en que alguna de las partes deba revelar información no divulgada, la autoridad que conozca del asunto deberá adoptar todas las medidas necesarias para impedir su divulgación a terceros ajenos a la controversia. Ninguna de las partes en el proceso podrá revelar ni usar dicha información”.</w:t>
      </w:r>
    </w:p>
  </w:footnote>
  <w:footnote w:id="188">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Falcón Enrique. Tratado de la prueba..., I, pág. 222, Devis Hernando.  Teoría General..., I, pág. 131.</w:t>
      </w:r>
    </w:p>
  </w:footnote>
  <w:footnote w:id="189">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Muñoz Sabaté. Técnica probatoria…, pág. 73 y 83.</w:t>
      </w:r>
    </w:p>
  </w:footnote>
  <w:footnote w:id="190">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Cappelletti Mauro. La oralidad..., pág. 137,  Kielmanovich Juan. Teoría..., pág. 109, Arazi Roland. La prueba..., pág. 78, Palacio Lino. Derecho…, IV, pág. 578.</w:t>
      </w:r>
    </w:p>
  </w:footnote>
  <w:footnote w:id="191">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Falcón Enrique. Tratado..., I,  pág. 770</w:t>
      </w:r>
    </w:p>
  </w:footnote>
  <w:footnote w:id="192">
    <w:p w:rsidR="00FC1DF6" w:rsidRPr="009235DC" w:rsidRDefault="00FC1DF6" w:rsidP="00E60FEF">
      <w:pPr>
        <w:jc w:val="both"/>
        <w:rPr>
          <w:rFonts w:ascii="Palatino Linotype" w:hAnsi="Palatino Linotype"/>
          <w:sz w:val="18"/>
          <w:szCs w:val="18"/>
          <w:shd w:val="clear" w:color="auto" w:fill="FFFFFF"/>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La prohibición de prueba obtenida mediante tortura tiene una amplia regulación en instrumentos internacionales y la Constitución.</w:t>
      </w:r>
      <w:r w:rsidRPr="009235DC">
        <w:rPr>
          <w:rFonts w:ascii="Palatino Linotype" w:hAnsi="Palatino Linotype"/>
          <w:bCs/>
          <w:sz w:val="18"/>
          <w:szCs w:val="18"/>
          <w:shd w:val="clear" w:color="auto" w:fill="FFFFFF"/>
        </w:rPr>
        <w:t xml:space="preserve"> Así el art. </w:t>
      </w:r>
      <w:r w:rsidRPr="009235DC">
        <w:rPr>
          <w:rFonts w:ascii="Palatino Linotype" w:hAnsi="Palatino Linotype"/>
          <w:sz w:val="18"/>
          <w:szCs w:val="18"/>
          <w:shd w:val="clear" w:color="auto" w:fill="FFFFFF"/>
        </w:rPr>
        <w:t>40 de la Constitución Política </w:t>
      </w:r>
      <w:r w:rsidRPr="009235DC">
        <w:rPr>
          <w:rFonts w:ascii="Palatino Linotype" w:hAnsi="Palatino Linotype"/>
          <w:sz w:val="18"/>
          <w:szCs w:val="18"/>
        </w:rPr>
        <w:t xml:space="preserve">“Nadie será sometido a tratamientos crueles o degradantes ni a penas perpetuas, ni a la pena de confiscación. Toda declaración obtenida por medio de violencia será nula”.  El artículo 1 de la Convención contra la tortura y otros tratos o penas crueles, inhumanos o degradantes, suscrita en Nueva York, el cuatro de febrero de 1985, y ratificada por Costa Rica por medio de ley número 7351 del veintiuno de julio de 1993, define a la tortura como: “Artículo 1. 1.- </w:t>
      </w:r>
      <w:r w:rsidRPr="009235DC">
        <w:rPr>
          <w:rFonts w:ascii="Palatino Linotype" w:hAnsi="Palatino Linotype"/>
          <w:sz w:val="18"/>
          <w:szCs w:val="18"/>
          <w:shd w:val="clear" w:color="auto" w:fill="FFFFFF"/>
        </w:rPr>
        <w:t>A los efectos de la presente Convención, se entenderá por el término "tortura" todo acto por el cual se inflija intencionadamente a una persona dolores o sufrimientos graves, ya sean físicos o mentales , con el fin de obtener de ella o de un tercero información o una confesión, de castigarla por un acto que haya cometido, o se sospeche que ha cometido, o de intimidar o coaccionar a esa persona o a otras, o por cualquier razón basada en cualquier tipo de discriminación, </w:t>
      </w:r>
      <w:r w:rsidRPr="009235DC">
        <w:rPr>
          <w:rFonts w:ascii="Palatino Linotype" w:hAnsi="Palatino Linotype"/>
          <w:bCs/>
          <w:sz w:val="18"/>
          <w:szCs w:val="18"/>
          <w:shd w:val="clear" w:color="auto" w:fill="FFFFFF"/>
        </w:rPr>
        <w:t>cuando dichos dolores o sufrimientos sean infligidos por un funcionario público u otra persona en el ejercicio de funciones públicas, a instigación suya</w:t>
      </w:r>
      <w:r w:rsidRPr="009235DC">
        <w:rPr>
          <w:rFonts w:ascii="Palatino Linotype" w:hAnsi="Palatino Linotype"/>
          <w:sz w:val="18"/>
          <w:szCs w:val="18"/>
          <w:shd w:val="clear" w:color="auto" w:fill="FFFFFF"/>
        </w:rPr>
        <w:t>, o con su consentimiento o aquiescencia. No se considerarán torturas los dolores o sufrimientos que sean consecuencia únicamente de sanciones legítimas, o que sean inherentes o incidentales a éstas. …”.</w:t>
      </w:r>
    </w:p>
    <w:p w:rsidR="00FC1DF6" w:rsidRPr="009235DC" w:rsidRDefault="00FC1DF6" w:rsidP="00E60FEF">
      <w:pPr>
        <w:jc w:val="both"/>
        <w:rPr>
          <w:rFonts w:ascii="Palatino Linotype" w:hAnsi="Palatino Linotype"/>
          <w:sz w:val="18"/>
          <w:szCs w:val="18"/>
          <w:shd w:val="clear" w:color="auto" w:fill="FFFFFF"/>
        </w:rPr>
      </w:pPr>
      <w:r w:rsidRPr="009235DC">
        <w:rPr>
          <w:rFonts w:ascii="Palatino Linotype" w:hAnsi="Palatino Linotype"/>
          <w:sz w:val="18"/>
          <w:szCs w:val="18"/>
          <w:shd w:val="clear" w:color="auto" w:fill="FFFFFF"/>
        </w:rPr>
        <w:tab/>
      </w:r>
      <w:r w:rsidRPr="009235DC">
        <w:rPr>
          <w:rFonts w:ascii="Palatino Linotype" w:hAnsi="Palatino Linotype"/>
          <w:sz w:val="18"/>
          <w:szCs w:val="18"/>
        </w:rPr>
        <w:t xml:space="preserve">Por su parte, la Convención Interamericana para prevenir y sancionar la tortura, suscrita en Cartagena de Indias, Colombia, el nueve de diciembre de 1985  y ratificada por Costa Rica mediante Ley número 7934 del veintiocho de octubre de 1989, en el artículo 2 define como “tortura”: “Artículo 2.- </w:t>
      </w:r>
      <w:r w:rsidRPr="009235DC">
        <w:rPr>
          <w:rFonts w:ascii="Palatino Linotype" w:hAnsi="Palatino Linotype"/>
          <w:sz w:val="18"/>
          <w:szCs w:val="18"/>
          <w:shd w:val="clear" w:color="auto" w:fill="FFFFFF"/>
        </w:rPr>
        <w:t xml:space="preserve">Para los efectos de la presente Convención se entenderá por tortura todo acto realizado intencionalmente por el cual se inflijan a una persona penas o sufrimientos físicos o mentales, con fines de investigación criminal, como medio intimidatorio, como castigo personal, como medida preventiva, como pena o con cualquier otro fin. Se entenderá también como tortura la aplicación sobre una persona de métodos tendientes a anular la personalidad de la víctima o a disminuir su capacidad física o mental, aunque no causen dolor físico o angustia psíquica. No estarán comprendidos en el concepto de tortura las penas o sufrimientos físicos o mentales que sean únicamente consecuencia de medidas legales o inherentes a estas, siempre que no incluyan la realización de los actos o la aplicación de los métodos a que se refiere el presente artículo.”  </w:t>
      </w:r>
      <w:r w:rsidRPr="009235DC">
        <w:rPr>
          <w:rFonts w:ascii="Palatino Linotype" w:hAnsi="Palatino Linotype"/>
          <w:sz w:val="18"/>
          <w:szCs w:val="18"/>
        </w:rPr>
        <w:t xml:space="preserve">En el artículo 10 se establece: “Artículo 10.- </w:t>
      </w:r>
      <w:r w:rsidRPr="009235DC">
        <w:rPr>
          <w:rFonts w:ascii="Palatino Linotype" w:hAnsi="Palatino Linotype"/>
          <w:sz w:val="18"/>
          <w:szCs w:val="18"/>
          <w:shd w:val="clear" w:color="auto" w:fill="FFFFFF"/>
        </w:rPr>
        <w:t>Ninguna declaración que se compruebe haber sido obtenida mediante tortura podrá ser admitida como medio de prueba en un proceso, salvo en el que se siga contra la persona o personas acusadas de haberla obtenido mediante actos de tortura y únicamente como prueba de que por este medio el acusado obtuvo tal declaración”.</w:t>
      </w:r>
    </w:p>
    <w:p w:rsidR="00FC1DF6" w:rsidRPr="009235DC" w:rsidRDefault="00FC1DF6" w:rsidP="00E60FEF">
      <w:pPr>
        <w:jc w:val="both"/>
        <w:rPr>
          <w:rFonts w:ascii="Palatino Linotype" w:hAnsi="Palatino Linotype"/>
          <w:sz w:val="18"/>
          <w:szCs w:val="18"/>
        </w:rPr>
      </w:pPr>
      <w:r w:rsidRPr="009235DC">
        <w:rPr>
          <w:rFonts w:ascii="Palatino Linotype" w:hAnsi="Palatino Linotype"/>
          <w:sz w:val="18"/>
          <w:szCs w:val="18"/>
          <w:shd w:val="clear" w:color="auto" w:fill="FFFFFF"/>
        </w:rPr>
        <w:tab/>
      </w:r>
      <w:r w:rsidRPr="009235DC">
        <w:rPr>
          <w:rFonts w:ascii="Palatino Linotype" w:hAnsi="Palatino Linotype"/>
          <w:sz w:val="18"/>
          <w:szCs w:val="18"/>
        </w:rPr>
        <w:t>La Convención Americana de Derechos Humanos, suscrita en San José de Costa Rica el veintidós de noviembre de 1969 y ratificada por Ley número 4534 del veintitrés de febrero de 1970, indica: Artículo 5. 1 Toda persona tiene derecho a que se respete su integridad física, psíquica y moral. 2. Nadie puede ser sometido a torturas ni a penas o tratos crueles, inhumanos o degradantes. Toda persona privada de libertad será tratada con el respeto debido a la dignidad inherente al ser humano”.</w:t>
      </w:r>
    </w:p>
    <w:p w:rsidR="00FC1DF6" w:rsidRPr="009235DC" w:rsidRDefault="00FC1DF6" w:rsidP="00E60FEF">
      <w:pPr>
        <w:shd w:val="clear" w:color="auto" w:fill="FFFFFF"/>
        <w:ind w:firstLine="708"/>
        <w:jc w:val="both"/>
        <w:rPr>
          <w:rFonts w:ascii="Palatino Linotype" w:hAnsi="Palatino Linotype"/>
          <w:sz w:val="18"/>
          <w:szCs w:val="18"/>
        </w:rPr>
      </w:pPr>
      <w:r w:rsidRPr="009235DC">
        <w:rPr>
          <w:rFonts w:ascii="Palatino Linotype" w:hAnsi="Palatino Linotype"/>
          <w:sz w:val="18"/>
          <w:szCs w:val="18"/>
        </w:rPr>
        <w:t>El Pacto Internacional de Derechos Civiles y Políticos refiere en el artículo 7 que “nadie será sometido a torturas ni a penas o tratos crueles, inhumanos o degradantes”.</w:t>
      </w:r>
    </w:p>
  </w:footnote>
  <w:footnote w:id="193">
    <w:p w:rsidR="00FC1DF6" w:rsidRPr="009235DC" w:rsidRDefault="00FC1DF6" w:rsidP="00E60FEF">
      <w:pPr>
        <w:pStyle w:val="NormalWeb"/>
        <w:spacing w:before="0" w:beforeAutospacing="0" w:after="0" w:afterAutospacing="0"/>
        <w:jc w:val="both"/>
        <w:rPr>
          <w:rFonts w:ascii="Palatino Linotype" w:hAnsi="Palatino Linotype" w:cs="Arial"/>
          <w:sz w:val="18"/>
          <w:szCs w:val="18"/>
        </w:rPr>
      </w:pPr>
      <w:r w:rsidRPr="009235DC">
        <w:rPr>
          <w:rStyle w:val="Refdenotaalpie"/>
          <w:rFonts w:ascii="Palatino Linotype" w:eastAsiaTheme="majorEastAsia" w:hAnsi="Palatino Linotype" w:cs="Arial"/>
          <w:sz w:val="18"/>
          <w:szCs w:val="18"/>
        </w:rPr>
        <w:footnoteRef/>
      </w:r>
      <w:r w:rsidRPr="009235DC">
        <w:rPr>
          <w:rFonts w:ascii="Palatino Linotype" w:hAnsi="Palatino Linotype" w:cs="Arial"/>
          <w:sz w:val="18"/>
          <w:szCs w:val="18"/>
        </w:rPr>
        <w:t xml:space="preserve"> S. Const. N° 2003-13136</w:t>
      </w:r>
      <w:r w:rsidRPr="009235DC">
        <w:rPr>
          <w:rFonts w:ascii="Palatino Linotype" w:hAnsi="Palatino Linotype" w:cs="Arial"/>
          <w:bCs/>
          <w:sz w:val="18"/>
          <w:szCs w:val="18"/>
        </w:rPr>
        <w:t xml:space="preserve"> de las 14.33 hrs </w:t>
      </w:r>
      <w:r w:rsidRPr="009235DC">
        <w:rPr>
          <w:rFonts w:ascii="Palatino Linotype" w:hAnsi="Palatino Linotype" w:cs="Arial"/>
          <w:sz w:val="18"/>
          <w:szCs w:val="18"/>
        </w:rPr>
        <w:t xml:space="preserve">del 12-11-2003.  Ver en igual sentido: N° 2002-06511 </w:t>
      </w:r>
      <w:r w:rsidRPr="009235DC">
        <w:rPr>
          <w:rFonts w:ascii="Palatino Linotype" w:hAnsi="Palatino Linotype" w:cs="Arial"/>
          <w:bCs/>
          <w:sz w:val="18"/>
          <w:szCs w:val="18"/>
        </w:rPr>
        <w:t xml:space="preserve">de las 14.55 hrs del 03-07-2002;  N° </w:t>
      </w:r>
      <w:r w:rsidRPr="009235DC">
        <w:rPr>
          <w:rFonts w:ascii="Palatino Linotype" w:hAnsi="Palatino Linotype" w:cs="Arial"/>
          <w:sz w:val="18"/>
          <w:szCs w:val="18"/>
        </w:rPr>
        <w:t>2001-09373</w:t>
      </w:r>
      <w:r w:rsidRPr="009235DC">
        <w:rPr>
          <w:rFonts w:ascii="Palatino Linotype" w:hAnsi="Palatino Linotype" w:cs="Arial"/>
          <w:bCs/>
          <w:sz w:val="18"/>
          <w:szCs w:val="18"/>
        </w:rPr>
        <w:t xml:space="preserve"> de las 14.35 hrs </w:t>
      </w:r>
      <w:r w:rsidRPr="009235DC">
        <w:rPr>
          <w:rFonts w:ascii="Palatino Linotype" w:hAnsi="Palatino Linotype" w:cs="Arial"/>
          <w:sz w:val="18"/>
          <w:szCs w:val="18"/>
        </w:rPr>
        <w:t>del 19-09-2001, N° 2001-09127</w:t>
      </w:r>
      <w:r w:rsidRPr="009235DC">
        <w:rPr>
          <w:rFonts w:ascii="Palatino Linotype" w:hAnsi="Palatino Linotype" w:cs="Arial"/>
          <w:bCs/>
          <w:sz w:val="18"/>
          <w:szCs w:val="18"/>
        </w:rPr>
        <w:t xml:space="preserve"> de las 14.38 hrs del 12-09-2001, N° </w:t>
      </w:r>
      <w:r w:rsidRPr="009235DC">
        <w:rPr>
          <w:rFonts w:ascii="Palatino Linotype" w:hAnsi="Palatino Linotype" w:cs="Arial"/>
          <w:sz w:val="18"/>
          <w:szCs w:val="18"/>
        </w:rPr>
        <w:t>2001-01019</w:t>
      </w:r>
      <w:r w:rsidRPr="009235DC">
        <w:rPr>
          <w:rFonts w:ascii="Palatino Linotype" w:hAnsi="Palatino Linotype" w:cs="Arial"/>
          <w:bCs/>
          <w:sz w:val="18"/>
          <w:szCs w:val="18"/>
        </w:rPr>
        <w:t xml:space="preserve"> de las 15.00 hrs del 06-02-2001, N° 787 de 1996, N° 5582-94, 5397-94, 3306-94, 408-94 1739-92, 5966-93; 280-91, 556-91, 701-91, 885-91, 1409-91, 1578-91, 802-90, 1298-90, 1345-90, 1417-90 y 1855-90.</w:t>
      </w:r>
    </w:p>
  </w:footnote>
  <w:footnote w:id="194">
    <w:p w:rsidR="00FC1DF6" w:rsidRPr="009235DC" w:rsidRDefault="00FC1DF6" w:rsidP="00E60FEF">
      <w:pPr>
        <w:shd w:val="clear" w:color="auto" w:fill="FFFFFF"/>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 Const. 2003-13136, a las 14.33 hrs del 12-11-2003. Ver en igual sentido: N° 2002-06511, a las 14.55 hrs del 03-07-2002; N° 2001-09373, a las 14.35 hrs del 19-09-2001; N° 2001-09127, a las 14.38 hrs del 12-09-2001; N° 2001-0101, a las 15 hrs del 06-02-2001; </w:t>
      </w:r>
      <w:r w:rsidRPr="009235DC">
        <w:rPr>
          <w:rFonts w:ascii="Palatino Linotype" w:hAnsi="Palatino Linotype"/>
          <w:bCs/>
          <w:sz w:val="18"/>
          <w:szCs w:val="18"/>
        </w:rPr>
        <w:t>N° 787 de 1996, N° 5582-94, 5397-94, N° 3306-94, N° 408-94, N° 5966-93; 1739-92; 802-90, 1298-90, 1345-90, 1417-90, 1855-90, 280-91, 556-91, 701-91, 885-91, 1409-91 y 1578-91.</w:t>
      </w:r>
    </w:p>
  </w:footnote>
  <w:footnote w:id="195">
    <w:p w:rsidR="00FC1DF6" w:rsidRPr="009235DC" w:rsidRDefault="00FC1DF6" w:rsidP="00E60FEF">
      <w:pPr>
        <w:pStyle w:val="NormalWeb"/>
        <w:shd w:val="clear" w:color="auto" w:fill="FFFFFF"/>
        <w:spacing w:before="0" w:beforeAutospacing="0" w:after="0" w:afterAutospacing="0"/>
        <w:jc w:val="both"/>
        <w:rPr>
          <w:rFonts w:ascii="Palatino Linotype" w:hAnsi="Palatino Linotype" w:cs="Arial"/>
          <w:sz w:val="18"/>
          <w:szCs w:val="18"/>
        </w:rPr>
      </w:pPr>
      <w:r w:rsidRPr="009235DC">
        <w:rPr>
          <w:rStyle w:val="Refdenotaalpie"/>
          <w:rFonts w:ascii="Palatino Linotype" w:eastAsiaTheme="majorEastAsia" w:hAnsi="Palatino Linotype" w:cs="Arial"/>
          <w:sz w:val="18"/>
          <w:szCs w:val="18"/>
        </w:rPr>
        <w:footnoteRef/>
      </w:r>
      <w:r w:rsidRPr="009235DC">
        <w:rPr>
          <w:rFonts w:ascii="Palatino Linotype" w:hAnsi="Palatino Linotype" w:cs="Arial"/>
          <w:sz w:val="18"/>
          <w:szCs w:val="18"/>
        </w:rPr>
        <w:t xml:space="preserve"> “</w:t>
      </w:r>
      <w:r w:rsidRPr="009235DC">
        <w:rPr>
          <w:rFonts w:ascii="Palatino Linotype" w:hAnsi="Palatino Linotype" w:cs="Arial"/>
          <w:iCs/>
          <w:sz w:val="18"/>
          <w:szCs w:val="18"/>
          <w:shd w:val="clear" w:color="auto" w:fill="FFFFFF"/>
        </w:rPr>
        <w:t>Este Tribunal ha desarrollado los alcances del derecho a la intimidad, tutelado en el numeral 24 de la Constitución Política, que constituye el derecho del individuo a tener un sector personal, una esfera privada de su vida, inaccesible al público, salvo expresa voluntad del interesado sentencia No. 1991-678. Se trata de un fuero de protección a la vida privada de los ciudadanos, pues el ámbito de intimidad, formado por aquellos fenómenos, comportamientos, datos y situaciones de una persona, que normalmente están sustraídos al conocimiento de extraños, cuyo conocimiento por éstos puede afectar su pudor y su recato sentencia N°-1994-1026. Las normas en comentario, reconocen a todas las personas el derecho de contar con un ámbito de actividad propia de cada ser humano, y en el cual, se limita la intervención de los poderes públicos, así como de otros sujetos. Esta limitación de intervención de otras personas se manifiesta tanto en la observación y captación de la imagen, como en la escucha o grabación de las conversaciones privadas, o en la divulgación de</w:t>
      </w:r>
      <w:r w:rsidRPr="009235DC">
        <w:rPr>
          <w:rStyle w:val="apple-converted-space"/>
          <w:rFonts w:ascii="Palatino Linotype" w:hAnsi="Palatino Linotype"/>
          <w:iCs/>
          <w:sz w:val="18"/>
          <w:szCs w:val="18"/>
          <w:shd w:val="clear" w:color="auto" w:fill="FFFFFF"/>
        </w:rPr>
        <w:t xml:space="preserve"> comunicaciones </w:t>
      </w:r>
      <w:r w:rsidRPr="009235DC">
        <w:rPr>
          <w:rFonts w:ascii="Palatino Linotype" w:hAnsi="Palatino Linotype" w:cs="Arial"/>
          <w:iCs/>
          <w:sz w:val="18"/>
          <w:szCs w:val="18"/>
          <w:shd w:val="clear" w:color="auto" w:fill="FFFFFF"/>
        </w:rPr>
        <w:t xml:space="preserve">privadas, así como en la posterior difusión o divulgación de lo captado sin el consentimiento de la persona a la que le atañen”, S. Const. N°. </w:t>
      </w:r>
      <w:r w:rsidRPr="009235DC">
        <w:rPr>
          <w:rFonts w:ascii="Palatino Linotype" w:hAnsi="Palatino Linotype" w:cs="Arial"/>
          <w:bCs/>
          <w:sz w:val="18"/>
          <w:szCs w:val="18"/>
        </w:rPr>
        <w:t xml:space="preserve">2016-012831 a las 10.15 hrs del 09-09-2016. Ver en igual sentido N° 2008-007841 de las 11.00 hrs del 09-05-2008; N° 2007-003890  de las 15.51 hrs del 20-03-2007, </w:t>
      </w:r>
      <w:r w:rsidRPr="009235DC">
        <w:rPr>
          <w:rFonts w:ascii="Palatino Linotype" w:hAnsi="Palatino Linotype" w:cs="Arial"/>
          <w:sz w:val="18"/>
          <w:szCs w:val="18"/>
        </w:rPr>
        <w:t>N° 3308 de las 14:57 hrs. del 5-07-1994</w:t>
      </w:r>
      <w:r w:rsidRPr="009235DC">
        <w:rPr>
          <w:rFonts w:ascii="Palatino Linotype" w:hAnsi="Palatino Linotype" w:cs="Arial"/>
          <w:bCs/>
          <w:sz w:val="18"/>
          <w:szCs w:val="18"/>
        </w:rPr>
        <w:t>.</w:t>
      </w:r>
    </w:p>
  </w:footnote>
  <w:footnote w:id="19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 I C. N° 1245 de las 11:00 hrs. del 21-12-2001.</w:t>
      </w:r>
    </w:p>
  </w:footnote>
  <w:footnote w:id="197">
    <w:p w:rsidR="00FC1DF6" w:rsidRPr="009235DC" w:rsidRDefault="00FC1DF6" w:rsidP="00E60FEF">
      <w:pPr>
        <w:shd w:val="clear" w:color="auto" w:fill="FFFFFF"/>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 I C. </w:t>
      </w:r>
      <w:r w:rsidRPr="009235DC">
        <w:rPr>
          <w:rFonts w:ascii="Palatino Linotype" w:hAnsi="Palatino Linotype"/>
          <w:spacing w:val="-3"/>
          <w:sz w:val="18"/>
          <w:szCs w:val="18"/>
        </w:rPr>
        <w:t xml:space="preserve">N° </w:t>
      </w:r>
      <w:r w:rsidRPr="009235DC">
        <w:rPr>
          <w:rFonts w:ascii="Palatino Linotype" w:hAnsi="Palatino Linotype"/>
          <w:bCs/>
          <w:spacing w:val="-3"/>
          <w:sz w:val="18"/>
          <w:szCs w:val="18"/>
          <w:lang w:val="es-ES_tradnl"/>
        </w:rPr>
        <w:t>001018-F-2005 de las 16.23 hrs del 21-12-2005</w:t>
      </w:r>
      <w:r w:rsidRPr="009235DC">
        <w:rPr>
          <w:rFonts w:ascii="Palatino Linotype" w:hAnsi="Palatino Linotype"/>
          <w:spacing w:val="-3"/>
          <w:sz w:val="18"/>
          <w:szCs w:val="18"/>
          <w:lang w:val="es-ES_tradnl"/>
        </w:rPr>
        <w:t xml:space="preserve">.  Ver en igual sentido: </w:t>
      </w:r>
      <w:r w:rsidRPr="009235DC">
        <w:rPr>
          <w:rFonts w:ascii="Palatino Linotype" w:hAnsi="Palatino Linotype"/>
          <w:bCs/>
          <w:spacing w:val="-3"/>
          <w:sz w:val="18"/>
          <w:szCs w:val="18"/>
        </w:rPr>
        <w:t>000965-F-2005 a las 14.90 hrs del 15-12-2005,</w:t>
      </w:r>
      <w:r w:rsidRPr="009235DC">
        <w:rPr>
          <w:rFonts w:ascii="Palatino Linotype" w:hAnsi="Palatino Linotype"/>
          <w:sz w:val="18"/>
          <w:szCs w:val="18"/>
          <w:shd w:val="clear" w:color="auto" w:fill="FFFFFF"/>
        </w:rPr>
        <w:t xml:space="preserve"> N° </w:t>
      </w:r>
      <w:r w:rsidRPr="009235DC">
        <w:rPr>
          <w:rFonts w:ascii="Palatino Linotype" w:hAnsi="Palatino Linotype"/>
          <w:bCs/>
          <w:sz w:val="18"/>
          <w:szCs w:val="18"/>
          <w:shd w:val="clear" w:color="auto" w:fill="FFFFFF"/>
        </w:rPr>
        <w:t xml:space="preserve">000840-F-03 de las 12.05 hrs del 12-12-2003; N° </w:t>
      </w:r>
      <w:r w:rsidRPr="009235DC">
        <w:rPr>
          <w:rFonts w:ascii="Palatino Linotype" w:hAnsi="Palatino Linotype"/>
          <w:spacing w:val="-3"/>
          <w:sz w:val="18"/>
          <w:szCs w:val="18"/>
        </w:rPr>
        <w:t xml:space="preserve">645 de las 16:40 hrs. del 22-08-2001, N° 104 de las 14:10 hrs. del 19-11-1997, N° 74 de las 15:10 hrs. del 20-08-1997,  N° 42 de las 15:00 hrs. del 14-05-1997, N° 3 de las 14:40 hrs. del 06-01-1995, N° 23 de las 14:00 hrs. del 16-01-1995, N° 59 de las 14:30 hrs. del 09-08-1994,  </w:t>
      </w:r>
      <w:r w:rsidRPr="009235DC">
        <w:rPr>
          <w:rFonts w:ascii="Palatino Linotype" w:hAnsi="Palatino Linotype"/>
          <w:sz w:val="18"/>
          <w:szCs w:val="18"/>
        </w:rPr>
        <w:t xml:space="preserve">N° </w:t>
      </w:r>
      <w:r w:rsidRPr="009235DC">
        <w:rPr>
          <w:rFonts w:ascii="Palatino Linotype" w:hAnsi="Palatino Linotype"/>
          <w:spacing w:val="-3"/>
          <w:sz w:val="18"/>
          <w:szCs w:val="18"/>
        </w:rPr>
        <w:t>67 de las 15:15 hrs. del 20-10-1993.</w:t>
      </w:r>
    </w:p>
  </w:footnote>
  <w:footnote w:id="198">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Para todo Falcón Enrique.  Tratado..., I, pág. 221, Devis Hernando.  Teoría..., I, pág. 115, Bentham Jeremias.  Tratado de la prueba, II, pág. 95, Sentís Melendo. La prueba..., pág. 221, Denti Vittorio. Estudios de derecho..., pág. 278 y Stein Friedrich. El conocimiento privado..., pág. 41</w:t>
      </w:r>
    </w:p>
  </w:footnote>
  <w:footnote w:id="199">
    <w:p w:rsidR="00FC1DF6" w:rsidRPr="009235DC" w:rsidRDefault="00FC1DF6" w:rsidP="00E60FEF">
      <w:pPr>
        <w:pStyle w:val="NormalWeb"/>
        <w:shd w:val="clear" w:color="auto" w:fill="FFFFFF"/>
        <w:spacing w:before="0" w:beforeAutospacing="0" w:after="0" w:afterAutospacing="0"/>
        <w:jc w:val="both"/>
        <w:rPr>
          <w:rFonts w:ascii="Palatino Linotype" w:hAnsi="Palatino Linotype" w:cs="Arial"/>
          <w:sz w:val="18"/>
          <w:szCs w:val="18"/>
        </w:rPr>
      </w:pPr>
      <w:r w:rsidRPr="009235DC">
        <w:rPr>
          <w:rStyle w:val="Refdenotaalpie"/>
          <w:rFonts w:ascii="Palatino Linotype" w:eastAsiaTheme="majorEastAsia" w:hAnsi="Palatino Linotype" w:cs="Arial"/>
          <w:sz w:val="18"/>
          <w:szCs w:val="18"/>
        </w:rPr>
        <w:footnoteRef/>
      </w:r>
      <w:r w:rsidRPr="009235DC">
        <w:rPr>
          <w:rFonts w:ascii="Palatino Linotype" w:hAnsi="Palatino Linotype" w:cs="Arial"/>
          <w:sz w:val="18"/>
          <w:szCs w:val="18"/>
          <w:vertAlign w:val="superscript"/>
        </w:rPr>
        <w:t xml:space="preserve"> </w:t>
      </w:r>
      <w:r w:rsidRPr="009235DC">
        <w:rPr>
          <w:rFonts w:ascii="Palatino Linotype" w:hAnsi="Palatino Linotype" w:cs="Arial"/>
          <w:sz w:val="18"/>
          <w:szCs w:val="18"/>
        </w:rPr>
        <w:t>S. Const. N° 2000-04455</w:t>
      </w:r>
      <w:r w:rsidRPr="009235DC">
        <w:rPr>
          <w:rFonts w:ascii="Palatino Linotype" w:hAnsi="Palatino Linotype" w:cs="Arial"/>
          <w:bCs/>
          <w:sz w:val="18"/>
          <w:szCs w:val="18"/>
        </w:rPr>
        <w:t xml:space="preserve"> de las 14.58 hrs del 24-05-2000 y N° </w:t>
      </w:r>
      <w:r w:rsidRPr="009235DC">
        <w:rPr>
          <w:rFonts w:ascii="Palatino Linotype" w:hAnsi="Palatino Linotype" w:cs="Arial"/>
          <w:sz w:val="18"/>
          <w:szCs w:val="18"/>
        </w:rPr>
        <w:t xml:space="preserve">1018 de las 14:45 hrs. del 18-02-1997. </w:t>
      </w:r>
    </w:p>
  </w:footnote>
  <w:footnote w:id="20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Artavia Sergio. Teoría general…, pág. 223.</w:t>
      </w:r>
    </w:p>
  </w:footnote>
  <w:footnote w:id="20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Muñoz Sabaté. Técnica probatoria…, pág. 91 y 151.</w:t>
      </w:r>
    </w:p>
  </w:footnote>
  <w:footnote w:id="202">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vertAlign w:val="superscript"/>
        </w:rPr>
        <w:t xml:space="preserve"> </w:t>
      </w:r>
      <w:r w:rsidRPr="009235DC">
        <w:rPr>
          <w:rFonts w:ascii="Palatino Linotype" w:hAnsi="Palatino Linotype"/>
          <w:sz w:val="18"/>
          <w:szCs w:val="18"/>
        </w:rPr>
        <w:t>Carnelutti Francesco. Sistema..., III, pág. 19, citado por Falcón Enrique. Tratado..., I, pág. 219.</w:t>
      </w:r>
    </w:p>
  </w:footnote>
  <w:footnote w:id="203">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vertAlign w:val="superscript"/>
        </w:rPr>
        <w:t xml:space="preserve"> </w:t>
      </w:r>
      <w:r w:rsidRPr="009235DC">
        <w:rPr>
          <w:rFonts w:ascii="Palatino Linotype" w:hAnsi="Palatino Linotype"/>
          <w:sz w:val="18"/>
          <w:szCs w:val="18"/>
        </w:rPr>
        <w:t xml:space="preserve"> Muñoz Luis. Fundamentos…, pág. 209, Parra Jairo. Tratado..., pág. 17, Devis Hernando. Teoría de la prueba..., pág. 118, Falcón Enrique. Tratado..., I, pág. 219, Kelmanovich Juan. Teoría..., pág. 53. </w:t>
      </w:r>
    </w:p>
  </w:footnote>
  <w:footnote w:id="20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También Sala Const. votos 358 de 1995 y 1537 de 1995.</w:t>
      </w:r>
    </w:p>
  </w:footnote>
  <w:footnote w:id="20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Sobre el carácter público del derecho procesal:  Artavia Sergio. Teoría general…, pág. 67, Carnelutti Francesco. Sistema…, t.I, pág. 83, Guasp Jaime. Derecho Procesal…, t.I, pág. 32, Prieto Castro. Derecho Procesal…, t.I, pág. 12, Rosenberg Leo. Tratado…, t.I, 7, Liebman Enrico. Manual…, t. 12. Schonke. Derecho Procesal Civil, pág. 14, Alsina Hugo. Tratado…, t.I, pág. 43; Artavia Sergio-Picado Carlos. Comentarios al nuevo…, t. I, pág. 94.</w:t>
      </w:r>
    </w:p>
  </w:footnote>
  <w:footnote w:id="206">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vertAlign w:val="superscript"/>
        </w:rPr>
        <w:t xml:space="preserve"> </w:t>
      </w:r>
      <w:r w:rsidRPr="009235DC">
        <w:rPr>
          <w:rFonts w:ascii="Palatino Linotype" w:hAnsi="Palatino Linotype"/>
          <w:sz w:val="18"/>
          <w:szCs w:val="18"/>
        </w:rPr>
        <w:t>Devis Hernando.  Teoría..., pág. 127, Artavia Sergio.  Derecho..., I, pág. 96.</w:t>
      </w:r>
    </w:p>
  </w:footnote>
  <w:footnote w:id="207">
    <w:p w:rsidR="00FC1DF6" w:rsidRPr="009235DC" w:rsidRDefault="00FC1DF6" w:rsidP="00E60FEF">
      <w:pPr>
        <w:jc w:val="both"/>
        <w:rPr>
          <w:rFonts w:ascii="Palatino Linotype" w:hAnsi="Palatino Linotype"/>
          <w:bCs/>
          <w:sz w:val="18"/>
          <w:szCs w:val="18"/>
        </w:rPr>
      </w:pPr>
      <w:r w:rsidRPr="009235DC">
        <w:rPr>
          <w:rStyle w:val="Refdenotaalpie"/>
          <w:rFonts w:ascii="Palatino Linotype" w:hAnsi="Palatino Linotype"/>
          <w:sz w:val="18"/>
          <w:szCs w:val="18"/>
        </w:rPr>
        <w:footnoteRef/>
      </w:r>
      <w:r w:rsidRPr="009235DC">
        <w:rPr>
          <w:rFonts w:ascii="Palatino Linotype" w:hAnsi="Palatino Linotype"/>
          <w:bCs/>
          <w:sz w:val="18"/>
          <w:szCs w:val="18"/>
        </w:rPr>
        <w:t xml:space="preserve"> Gelsi Bidart. Principios formativos..., en "Temis", Nº 15, pág. 5 citado por Vescovi Enrique y otros. Código..., pág. 124, Gozaini Osvaldo.  Temeridad y malicia..., pág. 31 y en la obra colectiva Abuso dos direitos processuaias.  Instituto Iberoamericano de Derecho Procesal Civil, Río de Janeiro, 2000. Sobre el deber de veracidad, </w:t>
      </w:r>
      <w:r w:rsidRPr="009235DC">
        <w:rPr>
          <w:rFonts w:ascii="Palatino Linotype" w:hAnsi="Palatino Linotype"/>
          <w:sz w:val="18"/>
          <w:szCs w:val="18"/>
        </w:rPr>
        <w:t>Ossorio Angel. El alma..., pág. 37, Calamandrei. Elogio de los jueces…, pág. 47, Vigo. Ética del abogado…, pág. 143, Couture Eduardo. “El deber de veracidad…” en Estudios..., III, pág. 247, Artavia Sergio. Derecho…, I, pág. 113.</w:t>
      </w:r>
    </w:p>
  </w:footnote>
  <w:footnote w:id="208">
    <w:p w:rsidR="00FC1DF6" w:rsidRPr="009235DC" w:rsidRDefault="00FC1DF6" w:rsidP="00E60FEF">
      <w:pPr>
        <w:jc w:val="both"/>
        <w:rPr>
          <w:rFonts w:ascii="Palatino Linotype" w:hAnsi="Palatino Linotype"/>
          <w:bCs/>
          <w:sz w:val="18"/>
          <w:szCs w:val="18"/>
        </w:rPr>
      </w:pPr>
      <w:r w:rsidRPr="009235DC">
        <w:rPr>
          <w:rStyle w:val="Refdenotaalpie"/>
          <w:rFonts w:ascii="Palatino Linotype" w:hAnsi="Palatino Linotype"/>
          <w:sz w:val="18"/>
          <w:szCs w:val="18"/>
        </w:rPr>
        <w:footnoteRef/>
      </w:r>
      <w:r w:rsidRPr="009235DC">
        <w:rPr>
          <w:rFonts w:ascii="Palatino Linotype" w:hAnsi="Palatino Linotype"/>
          <w:bCs/>
          <w:sz w:val="18"/>
          <w:szCs w:val="18"/>
          <w:vertAlign w:val="superscript"/>
        </w:rPr>
        <w:t xml:space="preserve"> </w:t>
      </w:r>
      <w:r w:rsidRPr="009235DC">
        <w:rPr>
          <w:rFonts w:ascii="Palatino Linotype" w:hAnsi="Palatino Linotype"/>
          <w:bCs/>
          <w:sz w:val="18"/>
          <w:szCs w:val="18"/>
        </w:rPr>
        <w:t>Peyrano Jorge. El proceso..., pág. 172, Díaz Clemente. Instituciones de derecho..., pág. 264. En términos general Couture, lo define diciendo que consiste en la calidad jurídica de la conducta, legalmente exigida, de actuar en el proceso con probidad, en sincero convencimiento de hallarse asistido de razón.</w:t>
      </w:r>
    </w:p>
  </w:footnote>
  <w:footnote w:id="209">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Devis Hernando.  Teoría..., pág. 120-121, Gozaíni Osvaldo.  Temeridad..., pág. 33, Couture Eduardo.  El deber..., pág. 249.</w:t>
      </w:r>
    </w:p>
  </w:footnote>
  <w:footnote w:id="21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vertAlign w:val="superscript"/>
        </w:rPr>
        <w:t xml:space="preserve"> </w:t>
      </w:r>
      <w:r w:rsidRPr="009235DC">
        <w:rPr>
          <w:rFonts w:ascii="Palatino Linotype" w:hAnsi="Palatino Linotype"/>
          <w:sz w:val="18"/>
          <w:szCs w:val="18"/>
        </w:rPr>
        <w:t>Picado Carlos-Calderón Ana. Técnica y estrategia…, pág. 109.</w:t>
      </w:r>
    </w:p>
  </w:footnote>
  <w:footnote w:id="211">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vertAlign w:val="superscript"/>
        </w:rPr>
        <w:t xml:space="preserve"> </w:t>
      </w:r>
      <w:r w:rsidRPr="009235DC">
        <w:rPr>
          <w:rFonts w:ascii="Palatino Linotype" w:hAnsi="Palatino Linotype"/>
          <w:spacing w:val="-3"/>
          <w:sz w:val="18"/>
          <w:szCs w:val="18"/>
        </w:rPr>
        <w:t xml:space="preserve">S. I C.  </w:t>
      </w:r>
      <w:r w:rsidRPr="009235DC">
        <w:rPr>
          <w:rFonts w:ascii="Palatino Linotype" w:hAnsi="Palatino Linotype"/>
          <w:spacing w:val="-3"/>
          <w:sz w:val="18"/>
          <w:szCs w:val="18"/>
          <w:lang w:val="es-ES_tradnl"/>
        </w:rPr>
        <w:t>Nº 268-F-02 a las 16:10 hrs. del 03-04-2002</w:t>
      </w:r>
    </w:p>
  </w:footnote>
  <w:footnote w:id="212">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Sala Const. N° 1018 de las 14:45 hrs. del 18-02-1997 y 676 de las 13:00 hrs. del 31 de enero de 1997.</w:t>
      </w:r>
    </w:p>
  </w:footnote>
  <w:footnote w:id="21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Así por ejp. el CPCA solo contiene una norma sobre la forma de interrogatorio –art. 107 CPCA-; la Ley de Cobro derogada, que introdujo la oralidad en los procesos de esa materia, si bien se refiere a la oralidad en los art. 4.4. –dirección de la audiencia-, 4.5.2 –grabación-, y art.  13, “Las audiencias deberán ajustarse al principio de oralidad. La expresión oral será el medio fundamental de comunicación…En caso de duda entre la aplicación de la oralidad y la escritura, el tribunal escogerá siempre la oralidad”.  Igual sucedió con la LMAD, que no contiene reglas de evacuación oral de la prueba, con lo cual, en los tres sistemas</w:t>
      </w: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se omitió un aspecto tan fundamental para el proceso.  En estos sistemas, al igual que sucedió en el arbitraje</w:t>
      </w:r>
      <w:r w:rsidRPr="009235DC">
        <w:rPr>
          <w:rStyle w:val="Refdenotaalpie"/>
          <w:rFonts w:ascii="Palatino Linotype" w:hAnsi="Palatino Linotype"/>
          <w:sz w:val="18"/>
          <w:szCs w:val="18"/>
        </w:rPr>
        <w:footnoteRef/>
      </w:r>
      <w:r w:rsidRPr="009235DC">
        <w:rPr>
          <w:rFonts w:ascii="Palatino Linotype" w:hAnsi="Palatino Linotype"/>
          <w:sz w:val="18"/>
          <w:szCs w:val="18"/>
        </w:rPr>
        <w:t>, en la práctica, debieron seguir aplicando supletoriamente las normas sobre prueba del Código Procesal Civil, al que remitían supletoriamente todas esas normativas.</w:t>
      </w:r>
    </w:p>
  </w:footnote>
  <w:footnote w:id="21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vertAlign w:val="superscript"/>
        </w:rPr>
        <w:t xml:space="preserve"> </w:t>
      </w:r>
      <w:r w:rsidRPr="009235DC">
        <w:rPr>
          <w:rFonts w:ascii="Palatino Linotype" w:hAnsi="Palatino Linotype"/>
          <w:sz w:val="18"/>
          <w:szCs w:val="18"/>
        </w:rPr>
        <w:t xml:space="preserve">Sobre la evacuación de las pruebas, en estos sistemas comparados, véase Taruffo Micheli. “Pruebas orales. Tipos de prueba”, en La Prueba, Madrid, 2008, pág. 62; “Oralidad y escritura como factores de eficiencia en el Proceso Civil” y “La recolección y presentación de las pruebas en el proceso civil: tradiciones culturales y tendencias teóricas” ambas en Páginas sobre la justicia…, pág. 245;  “El proceso civil de “Civil Law” y el proceso civil de “Common Law”: aspectos fundamentales”, en Sobre las fronteras…, pág. 57.  En la doctrina clásica Cappelletti Mauro. “El testimonio de la parte y el principio de la oralidad”, en El testimonio de la parte en el sistema de la oralidad, t.I, trad. Tomás Banzhaf, pág. 27.  </w:t>
      </w:r>
    </w:p>
  </w:footnote>
  <w:footnote w:id="21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vertAlign w:val="superscript"/>
        </w:rPr>
        <w:t xml:space="preserve"> </w:t>
      </w:r>
      <w:r w:rsidRPr="009235DC">
        <w:rPr>
          <w:rFonts w:ascii="Palatino Linotype" w:hAnsi="Palatino Linotype"/>
          <w:sz w:val="18"/>
          <w:szCs w:val="18"/>
        </w:rPr>
        <w:t xml:space="preserve">Calamandrei Piero. </w:t>
      </w:r>
      <w:r w:rsidRPr="009235DC">
        <w:rPr>
          <w:rFonts w:ascii="Palatino Linotype" w:hAnsi="Palatino Linotype"/>
          <w:iCs/>
          <w:sz w:val="18"/>
          <w:szCs w:val="18"/>
        </w:rPr>
        <w:t xml:space="preserve">Elogio de los jueces…, </w:t>
      </w:r>
      <w:r w:rsidRPr="009235DC">
        <w:rPr>
          <w:rFonts w:ascii="Palatino Linotype" w:hAnsi="Palatino Linotype"/>
          <w:sz w:val="18"/>
          <w:szCs w:val="18"/>
        </w:rPr>
        <w:t>pág.211.</w:t>
      </w:r>
    </w:p>
  </w:footnote>
  <w:footnote w:id="21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La figura en el arbitraje puede verse en Artavia Sergio. Manual de Arbitraje…, t. II, pág. 40.</w:t>
      </w:r>
    </w:p>
  </w:footnote>
  <w:footnote w:id="21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Cappelleti Mauro. “El instituto de la examination y cross examinatio y, en general, la utilización del saber de las partes y de los terceros interesados, en el proceso civil inglés y norteamericano” en El testimonio de las partes…, pág. 23 y ss. </w:t>
      </w:r>
    </w:p>
  </w:footnote>
  <w:footnote w:id="21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Baytelman Andrés y Duce Mauricio. Litigación penal y juicio oral, USAID, 2004, pág. 46.</w:t>
      </w:r>
    </w:p>
  </w:footnote>
  <w:footnote w:id="219">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Berman Paul. La defensa en juicio…, pág. 57.  En igual sentido Ramos y Vélez. Teoría y práctica de la litigación en Puerto Rico, San Juan, 1996, pág. 18.</w:t>
      </w:r>
    </w:p>
  </w:footnote>
  <w:footnote w:id="22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Las objeciones a preguntas pueden estar referidas a preguntas: capcionas, irrelevantes o inconducentes, sugestivas, conclusivas, de opinión, confusas, vagas, ambiguas, ininteligibles, especulativas, argumentativas, compuestas, repetidas, tendenciosas, así Chillón Liseth. Técnicas de comunicación…, págs. 128 y ss. </w:t>
      </w:r>
    </w:p>
  </w:footnote>
  <w:footnote w:id="22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vertAlign w:val="superscript"/>
        </w:rPr>
        <w:t xml:space="preserve"> </w:t>
      </w:r>
      <w:r w:rsidRPr="009235DC">
        <w:rPr>
          <w:rFonts w:ascii="Palatino Linotype" w:hAnsi="Palatino Linotype"/>
          <w:sz w:val="18"/>
          <w:szCs w:val="18"/>
        </w:rPr>
        <w:t>Por eso hay un error conceptual grave que contiene el art. 107.1 del CPCA que permite que el declarante, antes de ser interrogado por la parte que lo ofreció, declare libremente: “1 Después de juramentar e interrogar al perito, al testigo o al testigo-perito, sobre su identidad personal y las circunstancias generales para valorar su informe o declaración, quien presida le concederá la palabra, para que indique cuanto  sabe acerca del hecho sobre el que versa la prueba”.  Dichosamente,  desde la Comisión Redactora Original del NCPC, se eliminó esa posibilidad en el Proceso Civil.</w:t>
      </w:r>
    </w:p>
  </w:footnote>
  <w:footnote w:id="222">
    <w:p w:rsidR="00FC1DF6" w:rsidRPr="009235DC" w:rsidRDefault="00FC1DF6" w:rsidP="00E60FEF">
      <w:pPr>
        <w:tabs>
          <w:tab w:val="left" w:pos="2160"/>
        </w:tabs>
        <w:jc w:val="both"/>
        <w:textAlignment w:val="center"/>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Decía el art. 345 CPCD para la “confesión”: “…Cuando su mandatario judicial o abogado director manifestaren al juez que se van a oponer a la admisión de una pregunta o repregunta, antes de que se formule la oposición, se retirará al confesante del lugar en el que se practica la diligencia, mientras se discute y resuelve si la oposición es procedente. Al abogado que en alguna forma tratare de insinuar a su parte la contestación que debe dar, el juez deberá retirarlo de la audiencia, de oficio o a solicitud de parte…”.</w:t>
      </w:r>
    </w:p>
    <w:p w:rsidR="00FC1DF6" w:rsidRPr="009235DC" w:rsidRDefault="00FC1DF6" w:rsidP="00E60FEF">
      <w:pPr>
        <w:tabs>
          <w:tab w:val="left" w:pos="2160"/>
        </w:tabs>
        <w:ind w:firstLine="425"/>
        <w:jc w:val="both"/>
        <w:textAlignment w:val="center"/>
        <w:rPr>
          <w:rFonts w:ascii="Palatino Linotype" w:hAnsi="Palatino Linotype"/>
          <w:sz w:val="18"/>
          <w:szCs w:val="18"/>
        </w:rPr>
      </w:pPr>
      <w:r w:rsidRPr="009235DC">
        <w:rPr>
          <w:rFonts w:ascii="Palatino Linotype" w:hAnsi="Palatino Linotype"/>
          <w:sz w:val="18"/>
          <w:szCs w:val="18"/>
        </w:rPr>
        <w:t>Y para la prueba testimonial el art. 359 decía “</w:t>
      </w:r>
      <w:r w:rsidRPr="009235DC">
        <w:rPr>
          <w:rFonts w:ascii="Palatino Linotype" w:hAnsi="Palatino Linotype"/>
          <w:bCs/>
          <w:sz w:val="18"/>
          <w:szCs w:val="18"/>
        </w:rPr>
        <w:t>Oposición a preguntas y repreguntas.</w:t>
      </w:r>
      <w:r w:rsidRPr="009235DC">
        <w:rPr>
          <w:rFonts w:ascii="Palatino Linotype" w:hAnsi="Palatino Linotype"/>
          <w:sz w:val="18"/>
          <w:szCs w:val="18"/>
        </w:rPr>
        <w:t xml:space="preserve"> Si una parte se opusiera a una pregunta o repregunta, el juez hará pasar al testigo a otro departamento para que no se entere del debate. El juez no consignará los debates sobre admisión de preguntas o repreguntas; simplemente hará constar la oposición, de la parte, en la forma más lacónica posible, y la resolución que dicte. Resuelta la oposición, hará pasar de nuevo al testigo”.</w:t>
      </w:r>
    </w:p>
  </w:footnote>
  <w:footnote w:id="22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Decía la norma, para testigos: art. 355 “…El juez calificará la procedencia de las preguntas…”.  Y para “confesión” el art. 344 “</w:t>
      </w:r>
      <w:r w:rsidRPr="009235DC">
        <w:rPr>
          <w:rFonts w:ascii="Palatino Linotype" w:hAnsi="Palatino Linotype"/>
          <w:bCs/>
          <w:sz w:val="18"/>
          <w:szCs w:val="18"/>
        </w:rPr>
        <w:t>Calificación del interrogatorio.</w:t>
      </w:r>
      <w:r w:rsidRPr="009235DC">
        <w:rPr>
          <w:rFonts w:ascii="Palatino Linotype" w:hAnsi="Palatino Linotype"/>
          <w:sz w:val="18"/>
          <w:szCs w:val="18"/>
        </w:rPr>
        <w:t xml:space="preserve"> En el acto de la comparecencia, previa calificación de las preguntas, el juez examinará a la parte que haya de absolverlas, sobre cada una de las que admitiere. Si rechazare algunas preguntas, lo consignará en el acta”.</w:t>
      </w:r>
    </w:p>
  </w:footnote>
  <w:footnote w:id="224">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vertAlign w:val="superscript"/>
        </w:rPr>
        <w:t xml:space="preserve"> </w:t>
      </w:r>
      <w:r w:rsidRPr="009235DC">
        <w:rPr>
          <w:rFonts w:ascii="Palatino Linotype" w:hAnsi="Palatino Linotype"/>
          <w:sz w:val="18"/>
          <w:szCs w:val="18"/>
        </w:rPr>
        <w:t xml:space="preserve">Canetti Elías. Masa y poder, Barcelona, 2000, trad. </w:t>
      </w:r>
      <w:r w:rsidRPr="009235DC">
        <w:rPr>
          <w:rFonts w:ascii="Palatino Linotype" w:hAnsi="Palatino Linotype"/>
          <w:sz w:val="18"/>
          <w:szCs w:val="18"/>
          <w:lang w:val="en-US"/>
        </w:rPr>
        <w:t xml:space="preserve">Horst Vogel, pág. 299. </w:t>
      </w:r>
    </w:p>
  </w:footnote>
  <w:footnote w:id="225">
    <w:p w:rsidR="00FC1DF6" w:rsidRPr="009235DC" w:rsidRDefault="00FC1DF6" w:rsidP="00E60FEF">
      <w:pPr>
        <w:jc w:val="both"/>
        <w:rPr>
          <w:rFonts w:ascii="Palatino Linotype" w:hAnsi="Palatino Linotype"/>
          <w:bCs/>
          <w:sz w:val="18"/>
          <w:szCs w:val="18"/>
        </w:rPr>
      </w:pPr>
      <w:r w:rsidRPr="009235DC">
        <w:rPr>
          <w:rStyle w:val="Refdenotaalpie"/>
          <w:rFonts w:ascii="Palatino Linotype" w:hAnsi="Palatino Linotype"/>
          <w:sz w:val="18"/>
          <w:szCs w:val="18"/>
        </w:rPr>
        <w:footnoteRef/>
      </w:r>
      <w:r w:rsidRPr="009235DC">
        <w:rPr>
          <w:rFonts w:ascii="Palatino Linotype" w:hAnsi="Palatino Linotype"/>
          <w:bCs/>
          <w:sz w:val="18"/>
          <w:szCs w:val="18"/>
          <w:vertAlign w:val="superscript"/>
          <w:lang w:val="en-US"/>
        </w:rPr>
        <w:t xml:space="preserve"> </w:t>
      </w:r>
      <w:r w:rsidRPr="009235DC">
        <w:rPr>
          <w:rFonts w:ascii="Palatino Linotype" w:hAnsi="Palatino Linotype"/>
          <w:bCs/>
          <w:sz w:val="18"/>
          <w:szCs w:val="18"/>
          <w:lang w:val="en-US"/>
        </w:rPr>
        <w:t xml:space="preserve">Eisner Isidro.  </w:t>
      </w:r>
      <w:r w:rsidRPr="009235DC">
        <w:rPr>
          <w:rFonts w:ascii="Palatino Linotype" w:hAnsi="Palatino Linotype"/>
          <w:bCs/>
          <w:sz w:val="18"/>
          <w:szCs w:val="18"/>
        </w:rPr>
        <w:t>citado por Peyrano.  El proceso..., págs. 99 y 291.</w:t>
      </w:r>
    </w:p>
  </w:footnote>
  <w:footnote w:id="226">
    <w:p w:rsidR="00FC1DF6" w:rsidRPr="009235DC" w:rsidRDefault="00FC1DF6" w:rsidP="00E60FEF">
      <w:pPr>
        <w:pStyle w:val="Textonotapie"/>
        <w:jc w:val="both"/>
        <w:rPr>
          <w:rFonts w:ascii="Palatino Linotype" w:hAnsi="Palatino Linotype"/>
          <w:sz w:val="18"/>
          <w:szCs w:val="18"/>
          <w:lang w:val="es-MX"/>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MX"/>
        </w:rPr>
        <w:t xml:space="preserve">Palacio Lino. Derecho Procesal…, t. I, pág. 301.  </w:t>
      </w:r>
    </w:p>
  </w:footnote>
  <w:footnote w:id="227">
    <w:p w:rsidR="00FC1DF6" w:rsidRPr="009235DC" w:rsidRDefault="00FC1DF6" w:rsidP="00E60FEF">
      <w:pPr>
        <w:pStyle w:val="Textonotapie"/>
        <w:jc w:val="both"/>
        <w:rPr>
          <w:rFonts w:ascii="Palatino Linotype" w:hAnsi="Palatino Linotype"/>
          <w:sz w:val="18"/>
          <w:szCs w:val="18"/>
          <w:lang w:val="es-MX"/>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MX"/>
        </w:rPr>
        <w:t xml:space="preserve">Passi Lanza M. </w:t>
      </w:r>
      <w:r w:rsidRPr="009235DC">
        <w:rPr>
          <w:rFonts w:ascii="Palatino Linotype" w:hAnsi="Palatino Linotype"/>
          <w:sz w:val="18"/>
          <w:szCs w:val="18"/>
        </w:rPr>
        <w:t xml:space="preserve">Los principios del proceso moderno…, </w:t>
      </w:r>
      <w:r w:rsidRPr="009235DC">
        <w:rPr>
          <w:rFonts w:ascii="Palatino Linotype" w:hAnsi="Palatino Linotype"/>
          <w:sz w:val="18"/>
          <w:szCs w:val="18"/>
          <w:lang w:val="es-MX"/>
        </w:rPr>
        <w:t>pág. 105. En igual sentido. Cappelletti Mauro. “El testimonio de las partes…, t. I, pág. 124.</w:t>
      </w:r>
    </w:p>
  </w:footnote>
  <w:footnote w:id="228">
    <w:p w:rsidR="00FC1DF6" w:rsidRPr="009235DC" w:rsidRDefault="00FC1DF6" w:rsidP="00E60FEF">
      <w:pPr>
        <w:pStyle w:val="Textonotapie"/>
        <w:jc w:val="both"/>
        <w:rPr>
          <w:rFonts w:ascii="Palatino Linotype" w:hAnsi="Palatino Linotype"/>
          <w:sz w:val="18"/>
          <w:szCs w:val="18"/>
          <w:lang w:val="es-MX"/>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MX"/>
        </w:rPr>
        <w:t>Fernández José Carlos.  La reforma procesal civil. Exposición de motivos, LL, 103-903, pág. 911.</w:t>
      </w:r>
    </w:p>
  </w:footnote>
  <w:footnote w:id="229">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vertAlign w:val="superscript"/>
        </w:rPr>
        <w:t xml:space="preserve"> </w:t>
      </w:r>
      <w:r w:rsidRPr="009235DC">
        <w:rPr>
          <w:rFonts w:ascii="Palatino Linotype" w:hAnsi="Palatino Linotype"/>
          <w:sz w:val="18"/>
          <w:szCs w:val="18"/>
        </w:rPr>
        <w:t>En contra , Zusman Shoschana. “Artículo 42 audiencias”, en Comentarios…, coord. Carlos Soto, que cuestiona la oralidad como “¿Principio procesal deseable?</w:t>
      </w:r>
    </w:p>
  </w:footnote>
  <w:footnote w:id="230">
    <w:p w:rsidR="00FC1DF6" w:rsidRPr="009235DC" w:rsidRDefault="00FC1DF6" w:rsidP="00E60FEF">
      <w:pPr>
        <w:pStyle w:val="Textonotapie"/>
        <w:jc w:val="both"/>
        <w:rPr>
          <w:rFonts w:ascii="Palatino Linotype" w:hAnsi="Palatino Linotype"/>
          <w:sz w:val="18"/>
          <w:szCs w:val="18"/>
          <w:lang w:val="es-MX"/>
        </w:rPr>
      </w:pPr>
      <w:r w:rsidRPr="009235DC">
        <w:rPr>
          <w:rStyle w:val="Refdenotaalpie"/>
          <w:rFonts w:ascii="Palatino Linotype" w:hAnsi="Palatino Linotype"/>
          <w:sz w:val="18"/>
          <w:szCs w:val="18"/>
        </w:rPr>
        <w:footnoteRef/>
      </w:r>
      <w:r w:rsidRPr="009235DC">
        <w:rPr>
          <w:rFonts w:ascii="Palatino Linotype" w:hAnsi="Palatino Linotype"/>
          <w:sz w:val="18"/>
          <w:szCs w:val="18"/>
          <w:vertAlign w:val="superscript"/>
        </w:rPr>
        <w:t xml:space="preserve"> </w:t>
      </w:r>
      <w:r w:rsidRPr="009235DC">
        <w:rPr>
          <w:rFonts w:ascii="Palatino Linotype" w:hAnsi="Palatino Linotype"/>
          <w:sz w:val="18"/>
          <w:szCs w:val="18"/>
          <w:lang w:val="es-MX"/>
        </w:rPr>
        <w:t>Díaz Clemente.  Derecho...,  t. I, pág. 382.</w:t>
      </w:r>
    </w:p>
  </w:footnote>
  <w:footnote w:id="231">
    <w:p w:rsidR="00FC1DF6" w:rsidRPr="009235DC" w:rsidRDefault="00FC1DF6" w:rsidP="00E60FEF">
      <w:pPr>
        <w:pStyle w:val="NormalWeb"/>
        <w:shd w:val="clear" w:color="auto" w:fill="FFFFFF"/>
        <w:spacing w:before="0" w:beforeAutospacing="0" w:after="0" w:afterAutospacing="0"/>
        <w:jc w:val="both"/>
        <w:rPr>
          <w:rFonts w:ascii="Palatino Linotype" w:hAnsi="Palatino Linotype" w:cs="Arial"/>
          <w:sz w:val="18"/>
          <w:szCs w:val="18"/>
        </w:rPr>
      </w:pPr>
      <w:r w:rsidRPr="009235DC">
        <w:rPr>
          <w:rStyle w:val="Refdenotaalpie"/>
          <w:rFonts w:ascii="Palatino Linotype" w:eastAsiaTheme="majorEastAsia" w:hAnsi="Palatino Linotype" w:cs="Arial"/>
          <w:sz w:val="18"/>
          <w:szCs w:val="18"/>
        </w:rPr>
        <w:footnoteRef/>
      </w:r>
      <w:r w:rsidRPr="009235DC">
        <w:rPr>
          <w:rFonts w:ascii="Palatino Linotype" w:hAnsi="Palatino Linotype" w:cs="Arial"/>
          <w:sz w:val="18"/>
          <w:szCs w:val="18"/>
          <w:vertAlign w:val="superscript"/>
        </w:rPr>
        <w:t xml:space="preserve"> </w:t>
      </w:r>
      <w:r w:rsidRPr="009235DC">
        <w:rPr>
          <w:rFonts w:ascii="Palatino Linotype" w:hAnsi="Palatino Linotype" w:cs="Arial"/>
          <w:sz w:val="18"/>
          <w:szCs w:val="18"/>
        </w:rPr>
        <w:t>S. Const. N° 2015-014448 a las 9:45 hrs del 11-09-2015</w:t>
      </w:r>
      <w:r w:rsidRPr="009235DC">
        <w:rPr>
          <w:rFonts w:ascii="Palatino Linotype" w:hAnsi="Palatino Linotype" w:cs="Arial"/>
          <w:bCs/>
          <w:sz w:val="18"/>
          <w:szCs w:val="18"/>
        </w:rPr>
        <w:t xml:space="preserve"> </w:t>
      </w:r>
      <w:r w:rsidRPr="009235DC">
        <w:rPr>
          <w:rFonts w:ascii="Palatino Linotype" w:hAnsi="Palatino Linotype" w:cs="Arial"/>
          <w:sz w:val="18"/>
          <w:szCs w:val="18"/>
        </w:rPr>
        <w:t xml:space="preserve">"El artículo 41 de la Carta Política no ha constitucionalizado un derecho a los plazos, sino el derecho fundamental a toda persona a que su causa se resuelva dentro de un plazo razonable, lo que ha de ser establecido en cada caso concreto atendiendo: a la complejidad del asunto, la conducta de los litigantes y de las autoridades, las consecuencias para las partes de la demora, las pautas y márgenes ordinarios de los tipos de proceso de que se trata, y el estándar medio para la resolución de asuntos similares, por las autoridades de la misma materia". En igual sentido: N° 14445-2015; N° 6989-2015; 1846-2015; N° 17350-2014. </w:t>
      </w:r>
    </w:p>
  </w:footnote>
  <w:footnote w:id="232">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vertAlign w:val="superscript"/>
        </w:rPr>
        <w:t xml:space="preserve"> </w:t>
      </w:r>
      <w:r w:rsidRPr="009235DC">
        <w:rPr>
          <w:rFonts w:ascii="Palatino Linotype" w:hAnsi="Palatino Linotype"/>
          <w:sz w:val="18"/>
          <w:szCs w:val="18"/>
        </w:rPr>
        <w:t>Couture Eduardo. Código..., pág. 37.</w:t>
      </w:r>
    </w:p>
  </w:footnote>
  <w:footnote w:id="23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vertAlign w:val="superscript"/>
        </w:rPr>
        <w:t xml:space="preserve"> </w:t>
      </w:r>
      <w:r w:rsidRPr="009235DC">
        <w:rPr>
          <w:rFonts w:ascii="Palatino Linotype" w:hAnsi="Palatino Linotype"/>
          <w:sz w:val="18"/>
          <w:szCs w:val="18"/>
        </w:rPr>
        <w:t>La norma tiene su origen en el Proyecto de Código 2003 y 2005 –Artavia-Zeledón-Montenegro, del que fue tomado textualmente  “audiencias podrán verificarse en una o varias sesiones separadas por recesos e incluso continuarse el día siguiente como una misma unidad procesal.</w:t>
      </w:r>
    </w:p>
  </w:footnote>
  <w:footnote w:id="23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Peyrano Jorge. El proceso civil…, pág. 278.</w:t>
      </w:r>
    </w:p>
  </w:footnote>
  <w:footnote w:id="23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Art. </w:t>
      </w:r>
      <w:r w:rsidRPr="009235DC">
        <w:rPr>
          <w:rFonts w:ascii="Palatino Linotype" w:hAnsi="Palatino Linotype"/>
          <w:bCs/>
          <w:sz w:val="18"/>
          <w:szCs w:val="18"/>
        </w:rPr>
        <w:t xml:space="preserve">50.1 NCPC “Concentración de actividad.  </w:t>
      </w:r>
      <w:r w:rsidRPr="009235DC">
        <w:rPr>
          <w:rFonts w:ascii="Palatino Linotype" w:hAnsi="Palatino Linotype"/>
          <w:sz w:val="18"/>
          <w:szCs w:val="18"/>
        </w:rPr>
        <w:t>Las audiencias podrán verificarse en una o varias sesiones separadas por recesos e incluso continuarse el día siguiente como una misma unidad procesal.</w:t>
      </w:r>
    </w:p>
  </w:footnote>
  <w:footnote w:id="23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vertAlign w:val="superscript"/>
        </w:rPr>
        <w:t xml:space="preserve"> </w:t>
      </w:r>
      <w:r w:rsidRPr="009235DC">
        <w:rPr>
          <w:rFonts w:ascii="Palatino Linotype" w:hAnsi="Palatino Linotype"/>
          <w:sz w:val="18"/>
          <w:szCs w:val="18"/>
        </w:rPr>
        <w:t>Artavia Sergio-Picado Carlos. Comentarios al nuevo…, t. I, art. 20.  Dice la norma “</w:t>
      </w:r>
      <w:r w:rsidRPr="009235DC">
        <w:rPr>
          <w:rFonts w:ascii="Palatino Linotype" w:eastAsia="Arial" w:hAnsi="Palatino Linotype"/>
          <w:sz w:val="18"/>
          <w:szCs w:val="18"/>
        </w:rPr>
        <w:t>La firma del abogado autenticante implicará, salvo manifestación expresa en contrario, dirección del proceso con las facultades de actuar en nombre de la parte para todo lo que le beneficie, siempre y cuando no se requiera poder especial judicial o la participación personal de la parte. El autenticante será responsable por el contenido de sus gestiones”.</w:t>
      </w:r>
    </w:p>
  </w:footnote>
  <w:footnote w:id="23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vertAlign w:val="superscript"/>
        </w:rPr>
        <w:t xml:space="preserve"> </w:t>
      </w:r>
      <w:r w:rsidRPr="009235DC">
        <w:rPr>
          <w:rFonts w:ascii="Palatino Linotype" w:hAnsi="Palatino Linotype"/>
          <w:sz w:val="18"/>
          <w:szCs w:val="18"/>
        </w:rPr>
        <w:t>Se varió el sistema que contenía el art. 354, CPCD, pues si el abogado no tenía poder judicial y el cliente no asistía, no podía interrogar a los testigos.</w:t>
      </w:r>
    </w:p>
  </w:footnote>
  <w:footnote w:id="23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vertAlign w:val="superscript"/>
        </w:rPr>
        <w:t xml:space="preserve"> </w:t>
      </w:r>
      <w:r w:rsidRPr="009235DC">
        <w:rPr>
          <w:rFonts w:ascii="Palatino Linotype" w:hAnsi="Palatino Linotype"/>
          <w:sz w:val="18"/>
          <w:szCs w:val="18"/>
        </w:rPr>
        <w:t xml:space="preserve">Se varía así el sistema histórico que permitía a la parte preguntar a los testigos, cuando su abogado no concurría a la audiencia.  </w:t>
      </w:r>
      <w:r w:rsidRPr="009235DC">
        <w:rPr>
          <w:rFonts w:ascii="Palatino Linotype" w:hAnsi="Palatino Linotype"/>
          <w:sz w:val="18"/>
          <w:szCs w:val="18"/>
          <w:lang w:val="es-ES_tradnl"/>
        </w:rPr>
        <w:t xml:space="preserve">  Aunque el artículo  114  CPCD exigía para todo acto procesal –audiencia, vista, prueba o escrito,- representación letrada, el artículo 354 establecía una excepción y permitía a la parte interrogar o repreguntar al testigo en ausencia de su abogado o apoderado, lo cual obedecía al derecho de contradicción de la prueba, reconocido en ese aspecto por la doctrina.  </w:t>
      </w:r>
    </w:p>
  </w:footnote>
  <w:footnote w:id="239">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sym w:font="Symbol" w:char="002A"/>
      </w:r>
      <w:r w:rsidRPr="009235DC">
        <w:rPr>
          <w:rFonts w:ascii="Palatino Linotype" w:hAnsi="Palatino Linotype"/>
          <w:sz w:val="18"/>
          <w:szCs w:val="18"/>
        </w:rPr>
        <w:t xml:space="preserve"> Magister Legum en Derecho Civil LL. M. de la Ruprecht-Karls Universität Heidelberg Alemania y Juez de la República de Costa Rica.</w:t>
      </w:r>
    </w:p>
  </w:footnote>
  <w:footnote w:id="240">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Eisenberg/Gildeggen/Reuter/Willburger, Produkthaftung, 2. Auflage, 2014, Seiten 7 bis 11.</w:t>
      </w:r>
    </w:p>
  </w:footnote>
  <w:footnote w:id="241">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Reichsgericht. Urteil vom 25.2.1915 VI 526/14, Reichsgericht 87,1. </w:t>
      </w:r>
      <w:r w:rsidRPr="009235DC">
        <w:rPr>
          <w:rFonts w:ascii="Palatino Linotype" w:hAnsi="Palatino Linotype"/>
          <w:sz w:val="18"/>
          <w:szCs w:val="18"/>
          <w:lang w:val="es-ES_tradnl"/>
        </w:rPr>
        <w:t>El Reichsgericht fue el Tribunal Supremo del Imperio alemán, en materia civil y penal, desde 1879 hasta 1945.</w:t>
      </w:r>
    </w:p>
  </w:footnote>
  <w:footnote w:id="242">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Court of Appeals of New York, 217 N. Y. 382</w:t>
      </w:r>
    </w:p>
  </w:footnote>
  <w:footnote w:id="243">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BGH Urteil vom 26.11.1968 —VI ZR 212/66, BGHZ 51,91.</w:t>
      </w:r>
    </w:p>
  </w:footnote>
  <w:footnote w:id="244">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California Supreme Court, 59 Cal. 2d 57, 377 P 2d 8897 1963.</w:t>
      </w:r>
    </w:p>
  </w:footnote>
  <w:footnote w:id="245">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w:t>
      </w:r>
      <w:r w:rsidRPr="009235DC">
        <w:rPr>
          <w:rFonts w:ascii="Palatino Linotype" w:hAnsi="Palatino Linotype"/>
          <w:sz w:val="18"/>
          <w:szCs w:val="18"/>
          <w:lang w:val="de-DE"/>
        </w:rPr>
        <w:t>Pott/Frieling, Produkthaftungsgesetz. Kommentar, 1992, Einführung, Seite 23, Rdn. 3.</w:t>
      </w:r>
    </w:p>
  </w:footnote>
  <w:footnote w:id="246">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w:t>
      </w:r>
      <w:r w:rsidRPr="009235DC">
        <w:rPr>
          <w:rFonts w:ascii="Palatino Linotype" w:hAnsi="Palatino Linotype"/>
          <w:sz w:val="18"/>
          <w:szCs w:val="18"/>
          <w:lang w:val="de-DE"/>
        </w:rPr>
        <w:t>Pott/Frieling, Produkthaftungsgesetz. Kommentar, 1992, Einführung, Seite 23 Rdn. 3; von Hippel, Produkthaftung und Verbraucherschutz, BB 1978, 721 ff.</w:t>
      </w:r>
    </w:p>
  </w:footnote>
  <w:footnote w:id="247">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Propiamente frente al fabricante del producto, el comprador del producto defectuoso puede exigirle la garantía respectiva, de conformidad con los §§ 443 y 477 del Código Civil alemán.</w:t>
      </w:r>
    </w:p>
  </w:footnote>
  <w:footnote w:id="248">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Eisenberg/Gildeggen/Reuter/Willburger, Produkthaftung, 2. Auflage, 2014, Seite 18.</w:t>
      </w:r>
    </w:p>
  </w:footnote>
  <w:footnote w:id="249">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BGH, Urteil vom 18.2.1981 —VIII ZR 14/80, NJW 1981, 1269, 1270. </w:t>
      </w:r>
      <w:r w:rsidRPr="009235DC">
        <w:rPr>
          <w:rFonts w:ascii="Palatino Linotype" w:hAnsi="Palatino Linotype"/>
          <w:sz w:val="18"/>
          <w:szCs w:val="18"/>
          <w:lang w:val="es-ES_tradnl"/>
        </w:rPr>
        <w:t xml:space="preserve">El vendedor de la cosa defectuosa, entendido en los términos indicados en el texto que da origen a esta nota de pie de página, no responde por los defectos de fabricación o de construcción en los que hubiese incurrido el fabricante de la cosa defectuosa vendida al comprador. </w:t>
      </w:r>
    </w:p>
  </w:footnote>
  <w:footnote w:id="250">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 xml:space="preserve">Es importante aclarar que los regímenes jurídicos de responsabilidad civil extracontractual tendentes a obtener el resarcimiento de los daños y perjuicios causados por el producto defectuoso no tienen, como finalidad, el resarcimiento de los daños que hubiese experimentado el producto defectuoso en sí mismo considerado. Por el contrario, su sentido y finalidad es obtener el resarcimiento de los daños y perjuicios que el producto defectuoso hubiese causado en la vida, la salud o el cuerpo del damnificado o en otras cosas o bienes daños materiales distintos del producto defectuoso en sí mismo considerado. Esto es lo que la doctrina alemana conoce como “Haftung für Folgeschäden”. </w:t>
      </w:r>
      <w:r w:rsidRPr="009235DC">
        <w:rPr>
          <w:rFonts w:ascii="Palatino Linotype" w:hAnsi="Palatino Linotype"/>
          <w:sz w:val="18"/>
          <w:szCs w:val="18"/>
        </w:rPr>
        <w:t xml:space="preserve">Con este rasgo lo que se pretende enfatizar es que el consumidor damnificado por el producto defectuoso no puede pretender, por ejemplo, el resarcimiento del daño que sufra el producto defectuoso en sí mismo considerado. No se tutela entonces el “Äquivalenzinteresse” sino el “Integritätsinteresse”. Al respecto ver Sossna, Die Rechtsprechung des BGH zur Produkthaftung, Jura, 1996, 587, 588. </w:t>
      </w:r>
      <w:r w:rsidRPr="009235DC">
        <w:rPr>
          <w:rFonts w:ascii="Palatino Linotype" w:hAnsi="Palatino Linotype"/>
          <w:sz w:val="18"/>
          <w:szCs w:val="18"/>
          <w:lang w:val="es-ES_tradnl"/>
        </w:rPr>
        <w:t xml:space="preserve">La única excepción a esta regla es el resarcimiento de los llamados “weiterfressende Schäden”, los cuales se abordarán en el punto 2.2.5.3. de este trabajo. </w:t>
      </w:r>
    </w:p>
  </w:footnote>
  <w:footnote w:id="251">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de-DE"/>
        </w:rPr>
        <w:t>Wieckhorst, Vom Produzentenfehler zum Produktfehler des § 3 ProdHaftG, VersR 95, 1005; Meyer, Instruktionshaftung, 89 ff.; Diederichsen, Wohin treibt die Produzentenhaftung?, NJW 1978, 1281, 1283.</w:t>
      </w:r>
    </w:p>
  </w:footnote>
  <w:footnote w:id="252">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w:t>
      </w:r>
      <w:r w:rsidRPr="009235DC">
        <w:rPr>
          <w:rFonts w:ascii="Palatino Linotype" w:hAnsi="Palatino Linotype"/>
          <w:sz w:val="18"/>
          <w:szCs w:val="18"/>
          <w:lang w:val="de-DE"/>
        </w:rPr>
        <w:t>Pott/Frieling, Produkthaftungsgesetz. Kommentar, 1992, § 3, página 165, Rdn. 76 ff.</w:t>
      </w:r>
    </w:p>
  </w:footnote>
  <w:footnote w:id="253">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w:t>
      </w:r>
      <w:r w:rsidRPr="009235DC">
        <w:rPr>
          <w:rFonts w:ascii="Palatino Linotype" w:hAnsi="Palatino Linotype"/>
          <w:sz w:val="18"/>
          <w:szCs w:val="18"/>
          <w:lang w:val="de-DE"/>
        </w:rPr>
        <w:t>Michalski, Das Produkthaftungsgesetz, Jura 1995, 505, 508; Landrock, Das Produkthaftungsrecht im Lichte neuerer Gesetzgebung und Rechtsprechung, JA 2003, 981, 987; Taschner/Frietsch, Produkthaftungsgesetz und EG-Produkthaftungsrichtlinie, página 51, Rdn. 67.</w:t>
      </w:r>
    </w:p>
  </w:footnote>
  <w:footnote w:id="254">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Lenz, Tobias, </w:t>
      </w:r>
      <w:r w:rsidRPr="009235DC">
        <w:rPr>
          <w:rFonts w:ascii="Palatino Linotype" w:hAnsi="Palatino Linotype"/>
          <w:bCs/>
          <w:sz w:val="18"/>
          <w:szCs w:val="18"/>
        </w:rPr>
        <w:t>Produkthaftung, 2014</w:t>
      </w:r>
      <w:r w:rsidRPr="009235DC">
        <w:rPr>
          <w:rFonts w:ascii="Palatino Linotype" w:hAnsi="Palatino Linotype"/>
          <w:sz w:val="18"/>
          <w:szCs w:val="18"/>
        </w:rPr>
        <w:t>, Rdn. 200, Seite 128. De acuerdo con el autor alemán Tobias Lenz, por los llamados “Ausreißer”, el fabricante no es civilmente responsable de conformidad con el régimen jurídico de la deliktische Produzentenhaftung, empero sí responde, inexorablemente, por los daños que esos defectos causen, si se le exige responsabilidad civil de conformidad con el régimen jurídico de la ley especial alemana de responsabilidad civil por productos defectuosos ProdHaftG. En el mismo sentido ver BGH NJW 1995, 2162, 2163 “Mineralwasserflasche II”.</w:t>
      </w:r>
    </w:p>
  </w:footnote>
  <w:footnote w:id="255">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de-DE"/>
        </w:rPr>
        <w:t>Reinicke/Tiedtke, Kaufrecht, página 346, Rdn. 927; BGH Urteil vom 12.11.1991 VI ZR 7/91, ZIP 1/92, 38 ff.</w:t>
      </w:r>
    </w:p>
  </w:footnote>
  <w:footnote w:id="256">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Al respecto ver López Casal, Yuri. </w:t>
      </w:r>
      <w:r w:rsidRPr="009235DC">
        <w:rPr>
          <w:rFonts w:ascii="Palatino Linotype" w:hAnsi="Palatino Linotype"/>
          <w:bCs/>
          <w:sz w:val="18"/>
          <w:szCs w:val="18"/>
        </w:rPr>
        <w:t>La responsabilidad civil</w:t>
      </w:r>
      <w:r w:rsidRPr="009235DC">
        <w:rPr>
          <w:rFonts w:ascii="Palatino Linotype" w:hAnsi="Palatino Linotype"/>
          <w:sz w:val="18"/>
          <w:szCs w:val="18"/>
        </w:rPr>
        <w:t>, 2014, páginas 39 a 65.</w:t>
      </w:r>
    </w:p>
  </w:footnote>
  <w:footnote w:id="257">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Fuchs/Pauker, </w:t>
      </w:r>
      <w:r w:rsidRPr="009235DC">
        <w:rPr>
          <w:rFonts w:ascii="Palatino Linotype" w:hAnsi="Palatino Linotype"/>
          <w:bCs/>
          <w:sz w:val="18"/>
          <w:szCs w:val="18"/>
          <w:lang w:val="en-US"/>
        </w:rPr>
        <w:t>Delikts-und Schadensersatzrecht</w:t>
      </w:r>
      <w:r w:rsidRPr="009235DC">
        <w:rPr>
          <w:rFonts w:ascii="Palatino Linotype" w:hAnsi="Palatino Linotype"/>
          <w:sz w:val="18"/>
          <w:szCs w:val="18"/>
          <w:lang w:val="en-US"/>
        </w:rPr>
        <w:t xml:space="preserve">, 8. </w:t>
      </w:r>
      <w:r w:rsidRPr="009235DC">
        <w:rPr>
          <w:rFonts w:ascii="Palatino Linotype" w:hAnsi="Palatino Linotype"/>
          <w:sz w:val="18"/>
          <w:szCs w:val="18"/>
          <w:lang w:val="es-CR"/>
        </w:rPr>
        <w:t>Auflage, 2012, Seite 119.</w:t>
      </w:r>
    </w:p>
  </w:footnote>
  <w:footnote w:id="258">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CR"/>
        </w:rPr>
        <w:t xml:space="preserve">Al respecto ver Eisenberg/Gildeggen/Reuter/Willburger, Produkthaftung, 2. Auflage, 2014, Seite 86. </w:t>
      </w:r>
    </w:p>
  </w:footnote>
  <w:footnote w:id="259">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 xml:space="preserve">Hay casos excepcionales, como cuando entre el fabricante y el distribuidor existe un grupo de interés económico konzernmäβige Verflechtungen, en los cuales la doctrina y la jurisprudencia alemanas han establecido que al distribuidor sí le asiste la obligación de examinar y controlar el producto que vende. Al respecto ver BGH BauR 1981, 497; BGH VM 1987, 176, citadas por Pott/Frieling. </w:t>
      </w:r>
      <w:r w:rsidRPr="009235DC">
        <w:rPr>
          <w:rFonts w:ascii="Palatino Linotype" w:hAnsi="Palatino Linotype"/>
          <w:sz w:val="18"/>
          <w:szCs w:val="18"/>
          <w:lang w:val="de-DE"/>
        </w:rPr>
        <w:t>Produkthaftungsgesetz. Kommentar, 1992, § 15, Seiten 365-369, Rdn. 111-123.</w:t>
      </w:r>
    </w:p>
  </w:footnote>
  <w:footnote w:id="260">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Así lo ha establecido la jurisprudencia alemana, sobre todo en la llamada sentencia del “Kindertee Fall III”, BGH Urteil vom 31.1.1995- VI ZR 27/94, NJW 1995, 1286.</w:t>
      </w:r>
    </w:p>
  </w:footnote>
  <w:footnote w:id="261">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w:t>
      </w:r>
      <w:r w:rsidRPr="009235DC">
        <w:rPr>
          <w:rFonts w:ascii="Palatino Linotype" w:hAnsi="Palatino Linotype"/>
          <w:sz w:val="18"/>
          <w:szCs w:val="18"/>
          <w:lang w:val="de-DE"/>
        </w:rPr>
        <w:t>Pott/Frieling, Produkthaftungsgesetz. Kommentar, 1992, Einführung, Seite 23, Rdn. 3.</w:t>
      </w:r>
    </w:p>
  </w:footnote>
  <w:footnote w:id="262">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w:t>
      </w:r>
      <w:r w:rsidRPr="009235DC">
        <w:rPr>
          <w:rFonts w:ascii="Palatino Linotype" w:hAnsi="Palatino Linotype"/>
          <w:sz w:val="18"/>
          <w:szCs w:val="18"/>
          <w:lang w:val="de-DE"/>
        </w:rPr>
        <w:t>Michalski, Das Produkthaftungsgesetz, Jura 1995, 505; Landrock, Das Produkthaftungsrecht im Lichte neuerer Gesetzgebung und Rechtsprechung, JA 2003, 981, 982.</w:t>
      </w:r>
    </w:p>
  </w:footnote>
  <w:footnote w:id="263">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Pott/Frieling. </w:t>
      </w:r>
      <w:r w:rsidRPr="009235DC">
        <w:rPr>
          <w:rFonts w:ascii="Palatino Linotype" w:hAnsi="Palatino Linotype"/>
          <w:sz w:val="18"/>
          <w:szCs w:val="18"/>
          <w:lang w:val="de-DE"/>
        </w:rPr>
        <w:t>Produkthaftungsgesetz. Kommentar, 1992, § 4, Seite 183, Rdn. 3-4.</w:t>
      </w:r>
    </w:p>
  </w:footnote>
  <w:footnote w:id="264">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Pott/Frieling. </w:t>
      </w:r>
      <w:r w:rsidRPr="009235DC">
        <w:rPr>
          <w:rFonts w:ascii="Palatino Linotype" w:hAnsi="Palatino Linotype"/>
          <w:sz w:val="18"/>
          <w:szCs w:val="18"/>
          <w:lang w:val="de-DE"/>
        </w:rPr>
        <w:t>Produkthaftungsgesetz. Kommentar, 1992, § 4, Seiten 202-207, Rdn. 47-61.</w:t>
      </w:r>
    </w:p>
  </w:footnote>
  <w:footnote w:id="265">
    <w:p w:rsidR="00FC1DF6" w:rsidRPr="009235DC" w:rsidRDefault="00FC1DF6" w:rsidP="00E60FEF">
      <w:pPr>
        <w:pStyle w:val="Textonotapie"/>
        <w:jc w:val="both"/>
        <w:rPr>
          <w:rFonts w:ascii="Palatino Linotype" w:hAnsi="Palatino Linotype"/>
          <w:sz w:val="18"/>
          <w:szCs w:val="18"/>
          <w:lang w:val="de-DE"/>
        </w:rPr>
      </w:pPr>
      <w:r w:rsidRPr="009235DC">
        <w:rPr>
          <w:rStyle w:val="Refdenotaalpie"/>
          <w:rFonts w:ascii="Palatino Linotype" w:hAnsi="Palatino Linotype"/>
          <w:sz w:val="18"/>
          <w:szCs w:val="18"/>
        </w:rPr>
        <w:footnoteRef/>
      </w:r>
      <w:r w:rsidRPr="009235DC">
        <w:rPr>
          <w:rFonts w:ascii="Palatino Linotype" w:hAnsi="Palatino Linotype"/>
          <w:sz w:val="18"/>
          <w:szCs w:val="18"/>
          <w:lang w:val="de-DE"/>
        </w:rPr>
        <w:t xml:space="preserve"> Medicus, Dieter, Allgemeiner Teil des BGB, 8. neu bearbeitete Auflage, 2002, Seite 35, Rdnr. 73.</w:t>
      </w:r>
    </w:p>
  </w:footnote>
  <w:footnote w:id="266">
    <w:p w:rsidR="00FC1DF6" w:rsidRPr="009235DC" w:rsidRDefault="00FC1DF6" w:rsidP="00E60FEF">
      <w:pPr>
        <w:pStyle w:val="Textonotapie"/>
        <w:jc w:val="both"/>
        <w:rPr>
          <w:rFonts w:ascii="Palatino Linotype" w:hAnsi="Palatino Linotype"/>
          <w:sz w:val="18"/>
          <w:szCs w:val="18"/>
          <w:lang w:val="de-DE"/>
        </w:rPr>
      </w:pPr>
      <w:r w:rsidRPr="009235DC">
        <w:rPr>
          <w:rStyle w:val="Refdenotaalpie"/>
          <w:rFonts w:ascii="Palatino Linotype" w:hAnsi="Palatino Linotype"/>
          <w:sz w:val="18"/>
          <w:szCs w:val="18"/>
        </w:rPr>
        <w:footnoteRef/>
      </w:r>
      <w:r w:rsidRPr="009235DC">
        <w:rPr>
          <w:rFonts w:ascii="Palatino Linotype" w:hAnsi="Palatino Linotype"/>
          <w:sz w:val="18"/>
          <w:szCs w:val="18"/>
          <w:lang w:val="de-DE"/>
        </w:rPr>
        <w:t xml:space="preserve"> Medicus, Dieter, op. cit., Seite 36, Rdnr. 74.</w:t>
      </w:r>
    </w:p>
  </w:footnote>
  <w:footnote w:id="267">
    <w:p w:rsidR="00FC1DF6" w:rsidRPr="009235DC" w:rsidRDefault="00FC1DF6" w:rsidP="00E60FEF">
      <w:pPr>
        <w:pStyle w:val="Textonotapie"/>
        <w:jc w:val="both"/>
        <w:rPr>
          <w:rFonts w:ascii="Palatino Linotype" w:hAnsi="Palatino Linotype"/>
          <w:sz w:val="18"/>
          <w:szCs w:val="18"/>
          <w:lang w:val="de-DE"/>
        </w:rPr>
      </w:pPr>
      <w:r w:rsidRPr="009235DC">
        <w:rPr>
          <w:rStyle w:val="Refdenotaalpie"/>
          <w:rFonts w:ascii="Palatino Linotype" w:hAnsi="Palatino Linotype"/>
          <w:sz w:val="18"/>
          <w:szCs w:val="18"/>
        </w:rPr>
        <w:footnoteRef/>
      </w:r>
      <w:r w:rsidRPr="009235DC">
        <w:rPr>
          <w:rFonts w:ascii="Palatino Linotype" w:hAnsi="Palatino Linotype"/>
          <w:sz w:val="18"/>
          <w:szCs w:val="18"/>
          <w:lang w:val="de-DE"/>
        </w:rPr>
        <w:t xml:space="preserve"> Al respecto ver Bork, Reinhard. Allgemeiner Teil des Bürgerlichen Gesetzbuchs, 2. Auflage, 2006, Seite 120, Rdnr. 292.</w:t>
      </w:r>
    </w:p>
  </w:footnote>
  <w:footnote w:id="268">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De acuerdo con Bork, este ejemplo del contrato de obra es una ilustración del fundamento de la pretensión de tipo negocial rechtsgeschäftliche Ansprunchsgrundlage. </w:t>
      </w:r>
      <w:r w:rsidRPr="009235DC">
        <w:rPr>
          <w:rFonts w:ascii="Palatino Linotype" w:hAnsi="Palatino Linotype"/>
          <w:sz w:val="18"/>
          <w:szCs w:val="18"/>
          <w:lang w:val="en-US"/>
        </w:rPr>
        <w:t xml:space="preserve">Ver Bork, Reinhard, op. cit., </w:t>
      </w:r>
      <w:r w:rsidRPr="009235DC">
        <w:rPr>
          <w:rFonts w:ascii="Palatino Linotype" w:hAnsi="Palatino Linotype"/>
          <w:sz w:val="18"/>
          <w:szCs w:val="18"/>
          <w:lang w:val="de-DE"/>
        </w:rPr>
        <w:t>Seite 120, Rdnr. 292.</w:t>
      </w:r>
      <w:r w:rsidRPr="009235DC">
        <w:rPr>
          <w:rFonts w:ascii="Palatino Linotype" w:hAnsi="Palatino Linotype"/>
          <w:sz w:val="18"/>
          <w:szCs w:val="18"/>
          <w:lang w:val="en-US"/>
        </w:rPr>
        <w:t xml:space="preserve"> </w:t>
      </w:r>
    </w:p>
  </w:footnote>
  <w:footnote w:id="269">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Schwarz, Günter Christian. </w:t>
      </w:r>
      <w:r w:rsidRPr="009235DC">
        <w:rPr>
          <w:rFonts w:ascii="Palatino Linotype" w:hAnsi="Palatino Linotype"/>
          <w:sz w:val="18"/>
          <w:szCs w:val="18"/>
          <w:lang w:val="es-ES_tradnl"/>
        </w:rPr>
        <w:t>Gesetzliche Schuldverhältnisse, 2003, Seite 2, Rdn. 5.</w:t>
      </w:r>
    </w:p>
  </w:footnote>
  <w:footnote w:id="270">
    <w:p w:rsidR="00FC1DF6" w:rsidRPr="009235DC" w:rsidRDefault="00FC1DF6" w:rsidP="00E60FEF">
      <w:pPr>
        <w:pStyle w:val="Textonotapie"/>
        <w:jc w:val="both"/>
        <w:rPr>
          <w:rFonts w:ascii="Palatino Linotype" w:hAnsi="Palatino Linotype"/>
          <w:sz w:val="18"/>
          <w:szCs w:val="18"/>
          <w:lang w:val="de-DE"/>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De acuerdo con el autor alemán Rolf Belke, “el concurso de pretensiones se da cuando el mismo caso o situación fáctica llena los supuestos de hecho de varias normas que tienen iguales o diferentes consecuencias jurídicas”. </w:t>
      </w:r>
      <w:r w:rsidRPr="009235DC">
        <w:rPr>
          <w:rFonts w:ascii="Palatino Linotype" w:hAnsi="Palatino Linotype"/>
          <w:sz w:val="18"/>
          <w:szCs w:val="18"/>
          <w:lang w:val="de-DE"/>
        </w:rPr>
        <w:t>Al respecto ver Belke, Rolf. Prüfungstraining Zivilrecht. Band 1: Fallbearbeitung und Anspruchsmethode, 2. Auflage, 1995, Seite 257. Sobre el tema del concurso de pretensiones en el Derecho español puede consultarse Ortí Vallejo, Antonio. La cuestión de la concurrencia de responsabilidad contractual y extracontractual en los daños por servicios. En: Ortí Vallejo, Antonio y otros. La responsabilidad civil por daños causados por servicios defectuosos. Thomson Aranzadi, 2006.</w:t>
      </w:r>
    </w:p>
  </w:footnote>
  <w:footnote w:id="271">
    <w:p w:rsidR="00FC1DF6" w:rsidRPr="009235DC" w:rsidRDefault="00FC1DF6" w:rsidP="00E60FEF">
      <w:pPr>
        <w:pStyle w:val="Textonotapie"/>
        <w:jc w:val="both"/>
        <w:rPr>
          <w:rFonts w:ascii="Palatino Linotype" w:hAnsi="Palatino Linotype"/>
          <w:sz w:val="18"/>
          <w:szCs w:val="18"/>
          <w:lang w:val="de-DE"/>
        </w:rPr>
      </w:pPr>
      <w:r w:rsidRPr="009235DC">
        <w:rPr>
          <w:rStyle w:val="Refdenotaalpie"/>
          <w:rFonts w:ascii="Palatino Linotype" w:hAnsi="Palatino Linotype"/>
          <w:sz w:val="18"/>
          <w:szCs w:val="18"/>
        </w:rPr>
        <w:footnoteRef/>
      </w:r>
      <w:r w:rsidRPr="009235DC">
        <w:rPr>
          <w:rFonts w:ascii="Palatino Linotype" w:hAnsi="Palatino Linotype"/>
          <w:sz w:val="18"/>
          <w:szCs w:val="18"/>
          <w:lang w:val="de-DE"/>
        </w:rPr>
        <w:t xml:space="preserve"> Medicus, Dieter, Schuldrecht I. Allgemeiner Teil, 16. Auflage, 2005, Seite 135, Rdnr. 356 ff.</w:t>
      </w:r>
    </w:p>
  </w:footnote>
  <w:footnote w:id="27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lang w:val="de-DE"/>
        </w:rPr>
        <w:t xml:space="preserve"> En </w:t>
      </w:r>
      <w:r w:rsidRPr="009235DC">
        <w:rPr>
          <w:rFonts w:ascii="Palatino Linotype" w:hAnsi="Palatino Linotype"/>
          <w:sz w:val="18"/>
          <w:szCs w:val="18"/>
        </w:rPr>
        <w:t>Costa Rica, el jurista Juan Marcos Rivero Sánchez, con base en sus estudios doctorales en Alemania, fue el pionero de la distinción entre ambos institutos. Al respecto ver Rivero Sánchez, Juan Marcos, Responsabilidad civil. Tomo II., 2. ed., 2001, páginas 256 y siguientes.</w:t>
      </w:r>
    </w:p>
  </w:footnote>
  <w:footnote w:id="27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lang w:val="de-DE"/>
        </w:rPr>
        <w:t xml:space="preserve"> Schwarz, Günter Christian. Gesetzliche Schuldverhältnisse, 2003, Seite 2, Rdnr. 5 y Seite 510, Rdn. 31. </w:t>
      </w:r>
      <w:r w:rsidRPr="009235DC">
        <w:rPr>
          <w:rFonts w:ascii="Palatino Linotype" w:hAnsi="Palatino Linotype"/>
          <w:sz w:val="18"/>
          <w:szCs w:val="18"/>
        </w:rPr>
        <w:t xml:space="preserve">Al referirse a "ley“, se hace referencia al parágrafo 823 párrafo primero del Código Civil alemán, norma que es bastante semejante al artículo 1045 del Código Civil costarricense. </w:t>
      </w:r>
    </w:p>
  </w:footnote>
  <w:footnote w:id="274">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BGHZ 66,315; 67,359.</w:t>
      </w:r>
    </w:p>
  </w:footnote>
  <w:footnote w:id="275">
    <w:p w:rsidR="00FC1DF6" w:rsidRPr="009235DC" w:rsidRDefault="00FC1DF6" w:rsidP="00E60FEF">
      <w:pPr>
        <w:pStyle w:val="Textonotapie"/>
        <w:jc w:val="both"/>
        <w:rPr>
          <w:rFonts w:ascii="Palatino Linotype" w:hAnsi="Palatino Linotype"/>
          <w:sz w:val="18"/>
          <w:szCs w:val="18"/>
          <w:lang w:val="de-DE"/>
        </w:rPr>
      </w:pPr>
      <w:r w:rsidRPr="009235DC">
        <w:rPr>
          <w:rStyle w:val="Refdenotaalpie"/>
          <w:rFonts w:ascii="Palatino Linotype" w:hAnsi="Palatino Linotype"/>
          <w:sz w:val="18"/>
          <w:szCs w:val="18"/>
        </w:rPr>
        <w:footnoteRef/>
      </w:r>
      <w:r w:rsidRPr="009235DC">
        <w:rPr>
          <w:rFonts w:ascii="Palatino Linotype" w:hAnsi="Palatino Linotype"/>
          <w:sz w:val="18"/>
          <w:szCs w:val="18"/>
          <w:lang w:val="de-DE"/>
        </w:rPr>
        <w:t xml:space="preserve"> Schwarz, Günter Christian. Loc. cit., 2003, Seite 2, Rdnr. 8.</w:t>
      </w:r>
    </w:p>
  </w:footnote>
  <w:footnote w:id="276">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 xml:space="preserve">De acuerdo con las instituciones básicas del Derecho Procesal Civil, el concurso de pretensiones, desde la óptica de la teoría de la Anspruchskonkurrenz, posibilita la acumulación subsidiaria o alternativa de las pretensiones resarcitorias. Al respecto puede consultarse Tapia Fernández Isabel. El tratamiento en el proceso del concurso de acciones de responsabilidad civil contractual y extracontractual. Consejo General del Poder Judicial de España, en “Cuadernos y estudios de Derecho Judicial. Responsabilidad civil”, 19/1993. </w:t>
      </w:r>
    </w:p>
  </w:footnote>
  <w:footnote w:id="277">
    <w:p w:rsidR="00FC1DF6" w:rsidRPr="009235DC" w:rsidRDefault="00FC1DF6" w:rsidP="00E60FEF">
      <w:pPr>
        <w:pStyle w:val="Textonotapie"/>
        <w:jc w:val="both"/>
        <w:rPr>
          <w:rFonts w:ascii="Palatino Linotype" w:hAnsi="Palatino Linotype"/>
          <w:sz w:val="18"/>
          <w:szCs w:val="18"/>
          <w:lang w:val="pt-BR"/>
        </w:rPr>
      </w:pPr>
      <w:r w:rsidRPr="009235DC">
        <w:rPr>
          <w:rStyle w:val="Refdenotaalpie"/>
          <w:rFonts w:ascii="Palatino Linotype" w:hAnsi="Palatino Linotype"/>
          <w:sz w:val="18"/>
          <w:szCs w:val="18"/>
        </w:rPr>
        <w:footnoteRef/>
      </w:r>
      <w:r w:rsidRPr="009235DC">
        <w:rPr>
          <w:rFonts w:ascii="Palatino Linotype" w:hAnsi="Palatino Linotype"/>
          <w:sz w:val="18"/>
          <w:szCs w:val="18"/>
          <w:lang w:val="de-DE"/>
        </w:rPr>
        <w:t xml:space="preserve"> BGHZ 96, 221, 229; BGH VersR 1992, 589, 590 citadas por Medicus, Dieter, Schuldrecht I. Allgemeiner Teil, 16. </w:t>
      </w:r>
      <w:r w:rsidRPr="009235DC">
        <w:rPr>
          <w:rFonts w:ascii="Palatino Linotype" w:hAnsi="Palatino Linotype"/>
          <w:sz w:val="18"/>
          <w:szCs w:val="18"/>
          <w:lang w:val="en-US"/>
        </w:rPr>
        <w:t>Auflage, 2005, Seite 136, Rdnr. 358 ff.</w:t>
      </w:r>
    </w:p>
  </w:footnote>
  <w:footnote w:id="278">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Pott/Frieling. </w:t>
      </w:r>
      <w:r w:rsidRPr="009235DC">
        <w:rPr>
          <w:rFonts w:ascii="Palatino Linotype" w:hAnsi="Palatino Linotype"/>
          <w:sz w:val="18"/>
          <w:szCs w:val="18"/>
          <w:lang w:val="de-DE"/>
        </w:rPr>
        <w:t>Produkthaftungsgesetz. Kommentar, 1992, § 3, Seite 137, Rdn. 6.</w:t>
      </w:r>
    </w:p>
  </w:footnote>
  <w:footnote w:id="279">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Ver, supra, punto 2.2.1.4 de este trabajo.</w:t>
      </w:r>
    </w:p>
  </w:footnote>
  <w:footnote w:id="280">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En términos sencillos, la llamada prohibición de la opción significa que el damnificado no puede, ante un determinado daño, elegir o escoger el régimen de responsabilidad civil que estime más favorable para sus intereses. De este modo, si el daño surgió dentro del ciclo vital de una relación contractual, entonces el damnificado solamente puede exigir su resarcimiento con base en las reglas de la responsabilidad civil contractual. No puede, por tanto, acudir a las reglas de la responsabilidad civil extracontractual para sustentar y obtener el resarcimiento del daño que hubiese surgido en el marco de una relación contractual. Al respecto ver Velásquez Posada, Obdulio. La prohibición de opción entre responsabilidad contractual y extracontractual en el caso Cárdenas Lalinde. En: Revista IARCE, No. 22, octubre de 2007, página 24.</w:t>
      </w:r>
    </w:p>
  </w:footnote>
  <w:footnote w:id="281">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Velásquez Posada, Obdulio. op. cit., página 33. </w:t>
      </w:r>
    </w:p>
  </w:footnote>
  <w:footnote w:id="282">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Pott/Frieling. </w:t>
      </w:r>
      <w:r w:rsidRPr="009235DC">
        <w:rPr>
          <w:rFonts w:ascii="Palatino Linotype" w:hAnsi="Palatino Linotype"/>
          <w:sz w:val="18"/>
          <w:szCs w:val="18"/>
          <w:lang w:val="de-DE"/>
        </w:rPr>
        <w:t>Produkthaftungsgesetz. Kommentar, 1992, § 15, Seite 336, Rdn. 35.</w:t>
      </w:r>
    </w:p>
  </w:footnote>
  <w:footnote w:id="283">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Eisenberg/Gildeggen/Reuter/Willburger, Produkthaftung, 2. Auflage, 2014, Seite 11.</w:t>
      </w:r>
    </w:p>
  </w:footnote>
  <w:footnote w:id="284">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Pott/Frieling. </w:t>
      </w:r>
      <w:r w:rsidRPr="009235DC">
        <w:rPr>
          <w:rFonts w:ascii="Palatino Linotype" w:hAnsi="Palatino Linotype"/>
          <w:sz w:val="18"/>
          <w:szCs w:val="18"/>
          <w:lang w:val="de-DE"/>
        </w:rPr>
        <w:t>Produkthaftungsgesetz. Kommentar, 1992, Einführung, Seite 30, Rdn. 19.</w:t>
      </w:r>
    </w:p>
  </w:footnote>
  <w:footnote w:id="285">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 xml:space="preserve">Son los daños que surgen de una parte o componente del producto, de manera tal que provocan que otras partes del producto, las cuales no presentaban ningún defecto, se dañen o se destruyan. </w:t>
      </w:r>
      <w:r w:rsidRPr="009235DC">
        <w:rPr>
          <w:rFonts w:ascii="Palatino Linotype" w:hAnsi="Palatino Linotype"/>
          <w:sz w:val="18"/>
          <w:szCs w:val="18"/>
          <w:lang w:val="en-US"/>
        </w:rPr>
        <w:t>Al respecto ver Pott/Frieling, op. cit., § 15, Seite 337, Rdn. 41.</w:t>
      </w:r>
    </w:p>
  </w:footnote>
  <w:footnote w:id="286">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Ibidem., § 15, Seite 337, Rdn. 43.</w:t>
      </w:r>
    </w:p>
  </w:footnote>
  <w:footnote w:id="287">
    <w:p w:rsidR="00FC1DF6" w:rsidRPr="009235DC" w:rsidRDefault="00FC1DF6" w:rsidP="00E60FEF">
      <w:pPr>
        <w:pStyle w:val="Textonotapie"/>
        <w:jc w:val="both"/>
        <w:rPr>
          <w:rFonts w:ascii="Palatino Linotype" w:hAnsi="Palatino Linotype"/>
          <w:sz w:val="18"/>
          <w:szCs w:val="18"/>
          <w:lang w:val="de-DE"/>
        </w:rPr>
      </w:pPr>
      <w:r w:rsidRPr="009235DC">
        <w:rPr>
          <w:rStyle w:val="Refdenotaalpie"/>
          <w:rFonts w:ascii="Palatino Linotype" w:hAnsi="Palatino Linotype"/>
          <w:sz w:val="18"/>
          <w:szCs w:val="18"/>
        </w:rPr>
        <w:footnoteRef/>
      </w:r>
      <w:r w:rsidRPr="009235DC">
        <w:rPr>
          <w:rFonts w:ascii="Palatino Linotype" w:hAnsi="Palatino Linotype"/>
          <w:sz w:val="18"/>
          <w:szCs w:val="18"/>
          <w:lang w:val="de-DE"/>
        </w:rPr>
        <w:t xml:space="preserve"> Scheller, in: Produkthaftung in der Unternehmerpraxis, página 65, Rdnr. 241.</w:t>
      </w:r>
    </w:p>
  </w:footnote>
  <w:footnote w:id="28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Ver </w:t>
      </w:r>
      <w:hyperlink r:id="rId2" w:history="1">
        <w:r w:rsidRPr="009235DC">
          <w:rPr>
            <w:rStyle w:val="Hipervnculo"/>
            <w:rFonts w:ascii="Palatino Linotype" w:hAnsi="Palatino Linotype"/>
            <w:color w:val="auto"/>
            <w:sz w:val="18"/>
            <w:szCs w:val="18"/>
            <w:u w:val="none"/>
          </w:rPr>
          <w:t>www.fda.gov/cder/drug/antidepressants/default.htm</w:t>
        </w:r>
      </w:hyperlink>
      <w:r w:rsidRPr="009235DC">
        <w:rPr>
          <w:rFonts w:ascii="Palatino Linotype" w:hAnsi="Palatino Linotype"/>
          <w:sz w:val="18"/>
          <w:szCs w:val="18"/>
        </w:rPr>
        <w:t xml:space="preserve"> </w:t>
      </w:r>
    </w:p>
  </w:footnote>
  <w:footnote w:id="289">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Pott/Frieling. </w:t>
      </w:r>
      <w:r w:rsidRPr="009235DC">
        <w:rPr>
          <w:rFonts w:ascii="Palatino Linotype" w:hAnsi="Palatino Linotype"/>
          <w:sz w:val="18"/>
          <w:szCs w:val="18"/>
          <w:lang w:val="de-DE"/>
        </w:rPr>
        <w:t>Produkthaftungsgesetz. Kommentar, 1992, Einführung, Seite 28, Rdn. 15.</w:t>
      </w:r>
    </w:p>
  </w:footnote>
  <w:footnote w:id="290">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Ortells Ramos, Manuel. La prueba: Concepto y naturaleza jurídica. En: Ortells Ramos, Manuel Coordinador. Derecho Procesal Civil. Navarra, 12. ed., 2013, página 356.</w:t>
      </w:r>
    </w:p>
  </w:footnote>
  <w:footnote w:id="291">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 xml:space="preserve">De esto nace la conocida expresión, utilizada por el Bundesgerichtshof BGH en el </w:t>
      </w:r>
      <w:r w:rsidRPr="009235DC">
        <w:rPr>
          <w:rFonts w:ascii="Palatino Linotype" w:hAnsi="Palatino Linotype"/>
          <w:sz w:val="18"/>
          <w:szCs w:val="18"/>
        </w:rPr>
        <w:t xml:space="preserve">“Hühnerpesturteil”, de que el fabricante “está más cerca” “so ist der Produzent näher daran”. Al respecto ver BGHZ 51, 91, 105. Algo similar ocurre con un tema estrechamente relacionado con la responsabilidad civil por productos defectuosos, cual es la incertidumbre causal. Al respecto ver </w:t>
      </w:r>
      <w:r w:rsidRPr="009235DC">
        <w:rPr>
          <w:rFonts w:ascii="Palatino Linotype" w:hAnsi="Palatino Linotype"/>
          <w:bCs/>
          <w:sz w:val="18"/>
          <w:szCs w:val="18"/>
          <w:lang w:val="es-CR"/>
        </w:rPr>
        <w:t>Reglero Campos, Luis Fernando y Medina Alcoz, Luis. El nexo causal. La pérdida de oportunidad. Las causas de exoneración de responsabilidad: culpa de la víctima y fuerza mayor. En: Busto Lago, José Manuel y Reglero Campos, Luis Fernando coordinadores. Tratado de responsabilidad civil. Tomo I, Navarra, Thomson Reuters Aranzadi, 5. ed., 2014, páginas 819 a 823 En Costa Rica, una de las pocas sentencias que ha tratado y aplicado el tema de la incertidumbre causal es el Voto No. 345-2016 de las 16:16 horas del 28 de setiembre de 2016, emitido por el Tribunal Civil del Primer Circuito Judicial de Alajuela.</w:t>
      </w:r>
    </w:p>
  </w:footnote>
  <w:footnote w:id="292">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Eisenberg/Gildeggen/Reuter/Willburger, Produkthaftung, 2. </w:t>
      </w:r>
      <w:r w:rsidRPr="009235DC">
        <w:rPr>
          <w:rFonts w:ascii="Palatino Linotype" w:hAnsi="Palatino Linotype"/>
          <w:sz w:val="18"/>
          <w:szCs w:val="18"/>
        </w:rPr>
        <w:t xml:space="preserve">Auflage, 2014, Seite 91, Fuβnote 120. En el mismo sentido, BGHZ 116, 60, 72 citada por </w:t>
      </w:r>
      <w:r w:rsidRPr="009235DC">
        <w:rPr>
          <w:rFonts w:ascii="Palatino Linotype" w:hAnsi="Palatino Linotype"/>
          <w:sz w:val="18"/>
          <w:szCs w:val="18"/>
          <w:lang w:val="de-DE"/>
        </w:rPr>
        <w:t xml:space="preserve">Schwarz, Günter Christian. Gesetzliche Schuldverhältnisse, 2003, Seite 537, </w:t>
      </w:r>
      <w:r w:rsidRPr="009235DC">
        <w:rPr>
          <w:rFonts w:ascii="Palatino Linotype" w:hAnsi="Palatino Linotype"/>
          <w:sz w:val="18"/>
          <w:szCs w:val="18"/>
        </w:rPr>
        <w:t>Fuβnote 62.</w:t>
      </w:r>
    </w:p>
  </w:footnote>
  <w:footnote w:id="293">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Esto resulta ser cierto para la deliktische Produzenhaftung, cuyo criterio de imputación es la culpa del fabricante por violación de sus obligaciones de seguridad del tráfico. En cambio, para la responsabilidad civil objetiva, prevista por la ProdHaftG, el tema de la carga de la prueba es más simple, menos complejo, por cuanto el damnificado debe probar ciertos requisitos y el fabricante y los restantes miembros de la cadena de comercialización y distribución del producto deben concentrarse en probar la configuración de los requisitos de las causales de exoneración de la responsabilidad civil, previstas en esa ley especial.</w:t>
      </w:r>
    </w:p>
  </w:footnote>
  <w:footnote w:id="294">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w:t>
      </w:r>
      <w:r w:rsidRPr="009235DC">
        <w:rPr>
          <w:rFonts w:ascii="Palatino Linotype" w:hAnsi="Palatino Linotype"/>
          <w:sz w:val="18"/>
          <w:szCs w:val="18"/>
          <w:lang w:val="de-DE"/>
        </w:rPr>
        <w:t xml:space="preserve">Schwarz, Günter Christian. Ibídem., Seite 539, Rdn. 57. En el mismo sentido, </w:t>
      </w:r>
      <w:r w:rsidRPr="009235DC">
        <w:rPr>
          <w:rFonts w:ascii="Palatino Linotype" w:hAnsi="Palatino Linotype"/>
          <w:sz w:val="18"/>
          <w:szCs w:val="18"/>
        </w:rPr>
        <w:t xml:space="preserve">Eisenberg/Gildeggen/Reuter/Willburger, Produkthaftung, 2. </w:t>
      </w:r>
      <w:r w:rsidRPr="009235DC">
        <w:rPr>
          <w:rFonts w:ascii="Palatino Linotype" w:hAnsi="Palatino Linotype"/>
          <w:sz w:val="18"/>
          <w:szCs w:val="18"/>
          <w:lang w:val="en-US"/>
        </w:rPr>
        <w:t>Auflage, 2014, Seiten 92-93.</w:t>
      </w:r>
    </w:p>
  </w:footnote>
  <w:footnote w:id="295">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Pott/Frieling. </w:t>
      </w:r>
      <w:r w:rsidRPr="009235DC">
        <w:rPr>
          <w:rFonts w:ascii="Palatino Linotype" w:hAnsi="Palatino Linotype"/>
          <w:sz w:val="18"/>
          <w:szCs w:val="18"/>
          <w:lang w:val="de-DE"/>
        </w:rPr>
        <w:t>Produkthaftungsgesetz. Kommentar, 1992, § 15, Seite 338, Rdn. 51.</w:t>
      </w:r>
      <w:r w:rsidRPr="009235DC">
        <w:rPr>
          <w:rFonts w:ascii="Palatino Linotype" w:hAnsi="Palatino Linotype"/>
          <w:sz w:val="18"/>
          <w:szCs w:val="18"/>
          <w:lang w:val="en-US"/>
        </w:rPr>
        <w:t xml:space="preserve"> </w:t>
      </w:r>
    </w:p>
  </w:footnote>
  <w:footnote w:id="296">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Pott/Frieling. </w:t>
      </w:r>
      <w:r w:rsidRPr="009235DC">
        <w:rPr>
          <w:rFonts w:ascii="Palatino Linotype" w:hAnsi="Palatino Linotype"/>
          <w:sz w:val="18"/>
          <w:szCs w:val="18"/>
          <w:lang w:val="de-DE"/>
        </w:rPr>
        <w:t>Produkthaftungsgesetz. Kommentar, 1992, § 15, Seite 354, Rdn. 87.</w:t>
      </w:r>
      <w:r w:rsidRPr="009235DC">
        <w:rPr>
          <w:rFonts w:ascii="Palatino Linotype" w:hAnsi="Palatino Linotype"/>
          <w:sz w:val="18"/>
          <w:szCs w:val="18"/>
          <w:lang w:val="en-US"/>
        </w:rPr>
        <w:t xml:space="preserve"> </w:t>
      </w:r>
    </w:p>
  </w:footnote>
  <w:footnote w:id="297">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w:t>
      </w:r>
      <w:r w:rsidRPr="009235DC">
        <w:rPr>
          <w:rFonts w:ascii="Palatino Linotype" w:hAnsi="Palatino Linotype"/>
          <w:sz w:val="18"/>
          <w:szCs w:val="18"/>
          <w:lang w:val="de-DE"/>
        </w:rPr>
        <w:t>Schwarz, Günter Christian. Gesetzliche Schuldverhältnisse, 2003, Seite 469, Rdn. 15 ff.</w:t>
      </w:r>
    </w:p>
  </w:footnote>
  <w:footnote w:id="298">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w:t>
      </w:r>
      <w:r w:rsidRPr="009235DC">
        <w:rPr>
          <w:rFonts w:ascii="Palatino Linotype" w:hAnsi="Palatino Linotype"/>
          <w:sz w:val="18"/>
          <w:szCs w:val="18"/>
          <w:lang w:val="de-DE"/>
        </w:rPr>
        <w:t>Schwarz, Günter Christian. Gesetzliche Schuldverhältnisse, 2003, Seite 540, Rdn. 57.</w:t>
      </w:r>
    </w:p>
  </w:footnote>
  <w:footnote w:id="299">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 xml:space="preserve">Las obligaciones de seguridad del tráfico del fabricante están presentes en todas las fases del proceso de producción, desde la construcción, pasando por la fabricación, la instrucción, hasta la obligación de vigilancia, después de la introducción del producto en el mercado. </w:t>
      </w:r>
      <w:r w:rsidRPr="009235DC">
        <w:rPr>
          <w:rFonts w:ascii="Palatino Linotype" w:hAnsi="Palatino Linotype"/>
          <w:sz w:val="18"/>
          <w:szCs w:val="18"/>
          <w:lang w:val="en-US"/>
        </w:rPr>
        <w:t>Al respecto ver Eisenberg/Gildeggen/Reuter/Willburger, Produkthaftung, 2. Auflage, 2014, Seite 66.</w:t>
      </w:r>
    </w:p>
  </w:footnote>
  <w:footnote w:id="300">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Pott/Frieling. </w:t>
      </w:r>
      <w:r w:rsidRPr="009235DC">
        <w:rPr>
          <w:rFonts w:ascii="Palatino Linotype" w:hAnsi="Palatino Linotype"/>
          <w:sz w:val="18"/>
          <w:szCs w:val="18"/>
          <w:lang w:val="de-DE"/>
        </w:rPr>
        <w:t>Produkthaftungsgesetz. Kommentar, 1992, § 15, Seite 357, Rdn. 93.</w:t>
      </w:r>
    </w:p>
  </w:footnote>
  <w:footnote w:id="301">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BGH NJW 1975, 1828.</w:t>
      </w:r>
    </w:p>
  </w:footnote>
  <w:footnote w:id="302">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Si el damnificado demuestra el defecto del producto, se presume, de manera relativa, que, cuando fue introducido en el mercado, era defectuoso. Por consiguiente, le corresponderá al fabricante demostrar que el producto, cuando fue introducido al mercado, no presentaba ningún defecto. Al respecto ver </w:t>
      </w:r>
      <w:r w:rsidRPr="009235DC">
        <w:rPr>
          <w:rFonts w:ascii="Palatino Linotype" w:hAnsi="Palatino Linotype"/>
          <w:sz w:val="18"/>
          <w:szCs w:val="18"/>
          <w:lang w:val="es-ES_tradnl"/>
        </w:rPr>
        <w:t xml:space="preserve">Pott/Frieling. </w:t>
      </w:r>
      <w:r w:rsidRPr="009235DC">
        <w:rPr>
          <w:rFonts w:ascii="Palatino Linotype" w:hAnsi="Palatino Linotype"/>
          <w:sz w:val="18"/>
          <w:szCs w:val="18"/>
          <w:lang w:val="de-DE"/>
        </w:rPr>
        <w:t>Produkthaftungsgesetz. Kommentar, 1992, § 1, Seite 147, Rdn. 97.</w:t>
      </w:r>
    </w:p>
  </w:footnote>
  <w:footnote w:id="303">
    <w:p w:rsidR="00FC1DF6" w:rsidRPr="009235DC" w:rsidRDefault="00FC1DF6" w:rsidP="00E60FEF">
      <w:pPr>
        <w:pStyle w:val="Textonotapie"/>
        <w:jc w:val="both"/>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cs="Times New Roman"/>
          <w:sz w:val="18"/>
          <w:szCs w:val="18"/>
        </w:rPr>
        <w:t>Ezequiel Osorio Acorta. Las medidas cautelares en el proceso civil español. Editorial Juruá, Lisboa, 2013, página 17</w:t>
      </w:r>
    </w:p>
  </w:footnote>
  <w:footnote w:id="304">
    <w:p w:rsidR="00FC1DF6" w:rsidRPr="009235DC" w:rsidRDefault="00FC1DF6" w:rsidP="00E60FEF">
      <w:pPr>
        <w:pStyle w:val="Textonotapie"/>
        <w:jc w:val="both"/>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eastAsia="Calibri" w:hAnsi="Palatino Linotype" w:cs="Calibri"/>
          <w:sz w:val="18"/>
          <w:szCs w:val="18"/>
        </w:rPr>
        <w:t xml:space="preserve"> </w:t>
      </w:r>
      <w:r w:rsidRPr="009235DC">
        <w:rPr>
          <w:rFonts w:ascii="Palatino Linotype" w:eastAsia="Calibri" w:hAnsi="Palatino Linotype" w:cs="Times New Roman"/>
          <w:sz w:val="18"/>
          <w:szCs w:val="18"/>
        </w:rPr>
        <w:t>Ídem, página 22</w:t>
      </w:r>
    </w:p>
  </w:footnote>
  <w:footnote w:id="30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cs="Times New Roman"/>
          <w:sz w:val="18"/>
          <w:szCs w:val="18"/>
        </w:rPr>
        <w:t>Andrés de la Oliva Santos, Ignacio Díez-Picazo Giménez y Jaime Vegas Torres. Díez-Picazo Giménez. Curso de Derecho Procesal Civil II, Parte Especial. Editorial Universitaria Ramón Areces, Madrid, España, 2012, página 488.</w:t>
      </w:r>
      <w:r w:rsidRPr="009235DC">
        <w:rPr>
          <w:rFonts w:ascii="Palatino Linotype" w:hAnsi="Palatino Linotype"/>
          <w:sz w:val="18"/>
          <w:szCs w:val="18"/>
        </w:rPr>
        <w:t> </w:t>
      </w:r>
    </w:p>
  </w:footnote>
  <w:footnote w:id="306">
    <w:p w:rsidR="00FC1DF6" w:rsidRPr="009235DC" w:rsidRDefault="00FC1DF6" w:rsidP="00E60FEF">
      <w:pPr>
        <w:jc w:val="both"/>
        <w:rPr>
          <w:rFonts w:ascii="Palatino Linotype" w:eastAsia="Times New Roman" w:hAnsi="Palatino Linotype"/>
          <w:bCs/>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eastAsia="Calibri" w:hAnsi="Palatino Linotype" w:cs="Times New Roman"/>
          <w:sz w:val="18"/>
          <w:szCs w:val="18"/>
        </w:rPr>
        <w:t>Ídem, página 489</w:t>
      </w:r>
    </w:p>
  </w:footnote>
  <w:footnote w:id="30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Podría tratarse solamente de práctica material de embargos</w:t>
      </w:r>
    </w:p>
  </w:footnote>
  <w:footnote w:id="308">
    <w:p w:rsidR="00FC1DF6" w:rsidRPr="009235DC" w:rsidRDefault="00FC1DF6" w:rsidP="00E60FEF">
      <w:pPr>
        <w:pStyle w:val="Textonotapie"/>
        <w:jc w:val="both"/>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eastAsia="Calibri" w:hAnsi="Palatino Linotype" w:cs="Calibri"/>
          <w:sz w:val="18"/>
          <w:szCs w:val="18"/>
        </w:rPr>
        <w:t xml:space="preserve">Osorio Acorta. </w:t>
      </w:r>
      <w:r w:rsidRPr="009235DC">
        <w:rPr>
          <w:rFonts w:ascii="Palatino Linotype" w:hAnsi="Palatino Linotype" w:cs="Times New Roman"/>
          <w:sz w:val="18"/>
          <w:szCs w:val="18"/>
        </w:rPr>
        <w:t>Las medidas cautelares…</w:t>
      </w:r>
      <w:r w:rsidRPr="009235DC">
        <w:rPr>
          <w:rFonts w:ascii="Palatino Linotype" w:eastAsia="Calibri" w:hAnsi="Palatino Linotype" w:cs="Calibri"/>
          <w:sz w:val="18"/>
          <w:szCs w:val="18"/>
        </w:rPr>
        <w:t>, página 42</w:t>
      </w:r>
    </w:p>
  </w:footnote>
  <w:footnote w:id="309">
    <w:p w:rsidR="00FC1DF6" w:rsidRPr="009235DC" w:rsidRDefault="00FC1DF6" w:rsidP="00E60FEF">
      <w:pPr>
        <w:pStyle w:val="Textonotapie"/>
        <w:jc w:val="both"/>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cs="Times New Roman"/>
          <w:sz w:val="18"/>
          <w:szCs w:val="18"/>
        </w:rPr>
        <w:t>Díez-Picazo Giménez. Curso…, II. Página 489.</w:t>
      </w:r>
    </w:p>
  </w:footnote>
  <w:footnote w:id="310">
    <w:p w:rsidR="00FC1DF6" w:rsidRPr="009235DC" w:rsidRDefault="00FC1DF6" w:rsidP="00E60FEF">
      <w:pPr>
        <w:jc w:val="both"/>
        <w:rPr>
          <w:rFonts w:ascii="Palatino Linotype" w:eastAsia="Times New Roman" w:hAnsi="Palatino Linotype"/>
          <w:bCs/>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cs="Times New Roman"/>
          <w:sz w:val="18"/>
          <w:szCs w:val="18"/>
        </w:rPr>
        <w:t>Díez-Picazo Giménez. Curso…,II. Página 489.</w:t>
      </w:r>
      <w:r w:rsidRPr="009235DC">
        <w:rPr>
          <w:rFonts w:ascii="Palatino Linotype" w:eastAsia="Times New Roman" w:hAnsi="Palatino Linotype"/>
          <w:bCs/>
          <w:sz w:val="18"/>
          <w:szCs w:val="18"/>
          <w:lang w:val="es-CR"/>
        </w:rPr>
        <w:t xml:space="preserve"> </w:t>
      </w:r>
    </w:p>
  </w:footnote>
  <w:footnote w:id="311">
    <w:p w:rsidR="00FC1DF6" w:rsidRPr="009235DC" w:rsidRDefault="00FC1DF6" w:rsidP="00E60FEF">
      <w:pPr>
        <w:pStyle w:val="Textonotapie"/>
        <w:jc w:val="both"/>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cs="Times New Roman"/>
          <w:sz w:val="18"/>
          <w:szCs w:val="18"/>
        </w:rPr>
        <w:t>Miguel Alberto Calvo Venegas. Manual sobre medidas cautelares en el proceso civil. Investigaciones Jurídicas S.A. San José, Costa Rica. Página 24.</w:t>
      </w:r>
    </w:p>
  </w:footnote>
  <w:footnote w:id="312">
    <w:p w:rsidR="00FC1DF6" w:rsidRPr="009235DC" w:rsidRDefault="00FC1DF6" w:rsidP="00E60FEF">
      <w:pPr>
        <w:pStyle w:val="Textonotapie"/>
        <w:jc w:val="both"/>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CR"/>
        </w:rPr>
        <w:t>Artículo 96</w:t>
      </w:r>
    </w:p>
  </w:footnote>
  <w:footnote w:id="31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sym w:font="Symbol" w:char="002A"/>
      </w:r>
      <w:r w:rsidRPr="009235DC">
        <w:rPr>
          <w:rFonts w:ascii="Palatino Linotype" w:hAnsi="Palatino Linotype"/>
          <w:sz w:val="18"/>
          <w:szCs w:val="18"/>
        </w:rPr>
        <w:t xml:space="preserve"> Magister Legum en Derecho Civil LL. M. de la Ruprecht-Karls Universität Heidelberg Alemania y Juez de la República de Costa Rica.</w:t>
      </w:r>
    </w:p>
  </w:footnote>
  <w:footnote w:id="314">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Sossna, Die Rechtsprechung des BGH zur Produkthaftung, Jura 1996, 587, 588.</w:t>
      </w:r>
    </w:p>
  </w:footnote>
  <w:footnote w:id="315">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 xml:space="preserve">La única excepción a esta regla es el resarcimiento de los llamados “weiterfressende Schäden”, que son aquéllos que surgen de una parte o componente del producto, de manera tal que provocan que otras partes del producto, las cuales no presentaban ningún defecto, se dañen o se destruyan. Dichos tipos de daños solamente son resarcibles con base en el régimen jurídico de la responsabilidad civil extracontractual subjetiva deliktische Produzentenhaftung, contemplada en el § 823 párrafo primero del Código Civil alemán. </w:t>
      </w:r>
      <w:r w:rsidRPr="009235DC">
        <w:rPr>
          <w:rFonts w:ascii="Palatino Linotype" w:hAnsi="Palatino Linotype"/>
          <w:sz w:val="18"/>
          <w:szCs w:val="18"/>
          <w:lang w:val="en-US"/>
        </w:rPr>
        <w:t xml:space="preserve">Al respecto ver Pott/Frieling, Produkthaftungsgesetz. Kommentar, 1992, § 15, Seite 337, Rdn. 41. </w:t>
      </w:r>
    </w:p>
  </w:footnote>
  <w:footnote w:id="316">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Eisenberg/Gildeggen/Reuter/Willburger, Produkthaftung, 2. Auflage, 2014, Seiten 13 ff.</w:t>
      </w:r>
    </w:p>
  </w:footnote>
  <w:footnote w:id="317">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Wieckhorst, Vom Produzentenfehler zum Produktfehler des § 3 ProdHaftG, VersR 95, 1005; Meyer, Instruktionshaftung, 89 ff; Diederichsen, Wohin treibt die Produzentenhaftung?, NJW 1978, 1281, 1283.</w:t>
      </w:r>
    </w:p>
  </w:footnote>
  <w:footnote w:id="318">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Lenz, Tobias, Produkthaftung, 2014, Seite 103, Rdn. 158.</w:t>
      </w:r>
    </w:p>
  </w:footnote>
  <w:footnote w:id="319">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BGH Urteil vom 26.11.1968 VI ZR 212/66, BGHZ 51, 91.</w:t>
      </w:r>
    </w:p>
  </w:footnote>
  <w:footnote w:id="320">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Schmidt-Salzer, Die neuen Dimensionen des Produktrisikos, BB 1980, 1, 5; Diederichsen, Wohin treibt die Produzentenhaftung?, NJW 1978, 1281, 1282; Taschner/Frietsch, Produkthaftungsgesetz und EG-Produkthaftungsrichtlinie, Seite 35, Rdn. 39.</w:t>
      </w:r>
    </w:p>
  </w:footnote>
  <w:footnote w:id="321">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Pott/Frieling, Produkthaftungsgesetz. Kommentar. Einführung, Seite 23, Rdn. 3.</w:t>
      </w:r>
    </w:p>
  </w:footnote>
  <w:footnote w:id="322">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Pott/Frieling. Ibídem., Seite 23, Rdn. 3; von Hippel, Produkthaftung und Verbraucherschutz, BB 1978, 721 ff.</w:t>
      </w:r>
    </w:p>
  </w:footnote>
  <w:footnote w:id="323">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Michalski, Das Produkthaftungsgesetz, Jura 1995, 505; Landrock, Das Produkthaftungsrecht im Lichte neuerer Gesetzgebung und Rechtsprechung, JA 2003, 981, 982.</w:t>
      </w:r>
    </w:p>
  </w:footnote>
  <w:footnote w:id="324">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Honsell, Produkthaftungsgesetz und allgemeine Deliktshaftung, JuS 1995, 211.</w:t>
      </w:r>
    </w:p>
  </w:footnote>
  <w:footnote w:id="325">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Landrock, Das Produkthaftungsrecht im Lichte neuerer Gesetzgebung und Rechtsprechung, JA 2003, 981, 982; Michalski, Das Produkthaftungsgesetz, Jura 1995, 505, 511; Pott/Frieling, Produkthaftungsgesetz. Kommentar. § 1, Seite 45, Rdn. 18 ff.; Wieckhorst, Bisherige Produzentenhaftung, EG-Produkthaftungsrichtlinie und das neue Produkthaftungsgesetz, JuS 1990, 86, 94.</w:t>
      </w:r>
    </w:p>
  </w:footnote>
  <w:footnote w:id="326">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Honsell, Produkthaftungsgesetz und allgemeine Deliktshaftung, JuS 1995, 211; Kullmann, Die Rechtsprechung des BGH zum Produkthaftpflichtrecht in den Jahren 1992-1994, NJW 1994, 1698, 1703.</w:t>
      </w:r>
    </w:p>
  </w:footnote>
  <w:footnote w:id="327">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Eisenberg/Gildeggen/Reuter/Willburger, Produkthaftung, 2. Auflage, 2014, Seite 11.</w:t>
      </w:r>
    </w:p>
  </w:footnote>
  <w:footnote w:id="328">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Graf von Westphalen, Das neue Produktaftungsgesetz, NJW 1990, 83, 93. </w:t>
      </w:r>
      <w:r w:rsidRPr="009235DC">
        <w:rPr>
          <w:rFonts w:ascii="Palatino Linotype" w:hAnsi="Palatino Linotype"/>
          <w:sz w:val="18"/>
          <w:szCs w:val="18"/>
          <w:lang w:val="es-ES_tradnl"/>
        </w:rPr>
        <w:t>En el mismo sentido ver Mantilla Espinosa, Fabricio y Ternera Barrios, Francisco. El riesgo de desarrollo en la responsabilidad por productos del derecho colombiano. En: Revista Ius et Praxis, Año 20, No. 1, 2014, páginas 39 a 66.</w:t>
      </w:r>
    </w:p>
  </w:footnote>
  <w:footnote w:id="329">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 xml:space="preserve">Pott/Frieling, Produkthaftungsgesetz. </w:t>
      </w:r>
      <w:r w:rsidRPr="009235DC">
        <w:rPr>
          <w:rFonts w:ascii="Palatino Linotype" w:hAnsi="Palatino Linotype"/>
          <w:sz w:val="18"/>
          <w:szCs w:val="18"/>
          <w:lang w:val="en-US"/>
        </w:rPr>
        <w:t>Kommentar. Einführung, Seite 25, Rdn. 8.</w:t>
      </w:r>
    </w:p>
  </w:footnote>
  <w:footnote w:id="330">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Pott/Frieling, Produkthaftungsgesetz. Kommentar. 1992, § 3, Seite 165, Rdn. 76 ff.</w:t>
      </w:r>
    </w:p>
  </w:footnote>
  <w:footnote w:id="331">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Michalski, Das Produkthaftungsgesetz, Jura 1995, 505, 508; Landrock, Das Produkthaftungsrecht im Lichte neuerer Gesetzgebung und Rechtsprechung, JA 2003, 981, 987; Taschner/Frietsch, Produkthaftungsgesetz und EG-Produkthaftungsrichtlinie, Seite 51, Rdn. 67.</w:t>
      </w:r>
    </w:p>
  </w:footnote>
  <w:footnote w:id="332">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Lenz, Tobias, Produkthaftung, 2014, Seite 128, Rdn. 200. De acuerdo con el autor alemán Tobias Lenz, por los llamados “Ausreiβer”, el fabricante no es civilmente responsable de conformidad con el régimen jurídico de la deliktische Produzentenhaftung, empero sí responde, inexorablemente, por los daños que esos defectos causen, si se le exige responsabilidad civil de conformidad con el régimen jurídico de la ProdHaftG. En el mismo sentido ver BGH NJW 1995, 2162, 2163, “Mineralwasserflasche II”.</w:t>
      </w:r>
    </w:p>
  </w:footnote>
  <w:footnote w:id="333">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Reinicke/Tiedtke, Kaufrecht, Seite 346, Rdn. 927; BGH Urteil vom 12.11.1991 VI ZR 7/91, ZIP 1/92, 38 ff.</w:t>
      </w:r>
    </w:p>
  </w:footnote>
  <w:footnote w:id="334">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López Casal, Yuri. La responsabilidad civil, 2014, páginas 39 a 65.</w:t>
      </w:r>
    </w:p>
  </w:footnote>
  <w:footnote w:id="335">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Fuchs/Pauker, Delikts- und Schadensersatzrecht, 8. Auflage, 2012, Seite 119.</w:t>
      </w:r>
    </w:p>
  </w:footnote>
  <w:footnote w:id="336">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Eisenberg/Gildeggen/Reuter/Willburger, Produkthaftung, 2. Auflage, 2014, Seite 86. </w:t>
      </w:r>
    </w:p>
  </w:footnote>
  <w:footnote w:id="337">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Pott/Frieling, Produkthaftungsgesetz. </w:t>
      </w:r>
      <w:r w:rsidRPr="009235DC">
        <w:rPr>
          <w:rFonts w:ascii="Palatino Linotype" w:hAnsi="Palatino Linotype"/>
          <w:sz w:val="18"/>
          <w:szCs w:val="18"/>
          <w:lang w:val="es-ES_tradnl"/>
        </w:rPr>
        <w:t xml:space="preserve">Kommentar. 1992, § 3, Seiten 166-167, Rdn. 80-82. En el mismo sentido Gildeggen/Lorinser/Willburger, Wirtschaftsprivatrecht, 2. </w:t>
      </w:r>
      <w:r w:rsidRPr="009235DC">
        <w:rPr>
          <w:rFonts w:ascii="Palatino Linotype" w:hAnsi="Palatino Linotype"/>
          <w:sz w:val="18"/>
          <w:szCs w:val="18"/>
          <w:lang w:val="en-US"/>
        </w:rPr>
        <w:t>Auflage, 2014, Seite 319.</w:t>
      </w:r>
    </w:p>
  </w:footnote>
  <w:footnote w:id="338">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Pott/Frieling, Produkthaftungsgesetz. Kommentar. 1992, § 3, Seite 76, Rdn. 96 ff.</w:t>
      </w:r>
    </w:p>
  </w:footnote>
  <w:footnote w:id="339">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Pott/Frieling. </w:t>
      </w:r>
      <w:r w:rsidRPr="009235DC">
        <w:rPr>
          <w:rFonts w:ascii="Palatino Linotype" w:hAnsi="Palatino Linotype"/>
          <w:sz w:val="18"/>
          <w:szCs w:val="18"/>
          <w:lang w:val="de-DE"/>
        </w:rPr>
        <w:t>Produkthaftungsgesetz. Kommentar, 1992, § 15, Seite 357, Rdn. 93.</w:t>
      </w:r>
    </w:p>
  </w:footnote>
  <w:footnote w:id="340">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 xml:space="preserve">Hay casos excepcionales, como cuando entre el fabricante y el distribuidor existe un grupo de interés económico konzernmäβige Verflechtungen, en los cuales la doctrina y la jurisprudencia alemanas han establecido que al distribuidor sí le asiste la obligación de examinar y controlar el producto que vende. Al respecto ver BGH BauR 1981, 497; BGH VM 1987, 176, citadas por Pott/Frieling. </w:t>
      </w:r>
      <w:r w:rsidRPr="009235DC">
        <w:rPr>
          <w:rFonts w:ascii="Palatino Linotype" w:hAnsi="Palatino Linotype"/>
          <w:sz w:val="18"/>
          <w:szCs w:val="18"/>
          <w:lang w:val="de-DE"/>
        </w:rPr>
        <w:t>Produkthaftungsgesetz. Kommentar, 1992, § 15, Seiten 365-369, Rdn. 111-123.</w:t>
      </w:r>
    </w:p>
  </w:footnote>
  <w:footnote w:id="341">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Así lo ha establecido la jurisprudencia alemana, sobre todo en la llamada sentencia del “Kindertee Fall III”, BGH Urteil vom 31.1.1995- VI ZR 27/94, NJW 1995, 1286.</w:t>
      </w:r>
    </w:p>
  </w:footnote>
  <w:footnote w:id="342">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Parra Lucán, Ma. Angeles. Responsabilidad civil por productos defectuosos. En: Busto Lago, José Manuel y Reglero Campos, Luis Fernando. Tratado de responsabilidad civil. Tomo II., 5. Ed., 2014, página 204.</w:t>
      </w:r>
    </w:p>
  </w:footnote>
  <w:footnote w:id="343">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 xml:space="preserve">Gildeggen/Lorinser/Willburger, Wirtschaftsprivatrecht, 2. </w:t>
      </w:r>
      <w:r w:rsidRPr="009235DC">
        <w:rPr>
          <w:rFonts w:ascii="Palatino Linotype" w:hAnsi="Palatino Linotype"/>
          <w:sz w:val="18"/>
          <w:szCs w:val="18"/>
          <w:lang w:val="en-US"/>
        </w:rPr>
        <w:t xml:space="preserve">Auflage, 2014, Seite 315. </w:t>
      </w:r>
    </w:p>
  </w:footnote>
  <w:footnote w:id="344">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Pott/Frieling. </w:t>
      </w:r>
      <w:r w:rsidRPr="009235DC">
        <w:rPr>
          <w:rFonts w:ascii="Palatino Linotype" w:hAnsi="Palatino Linotype"/>
          <w:sz w:val="18"/>
          <w:szCs w:val="18"/>
          <w:lang w:val="de-DE"/>
        </w:rPr>
        <w:t>Produkthaftungsgesetz. Kommentar, 1992, § 4, Seite 183, Rdn. 3-4.</w:t>
      </w:r>
    </w:p>
  </w:footnote>
  <w:footnote w:id="345">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Pott/Frieling. </w:t>
      </w:r>
      <w:r w:rsidRPr="009235DC">
        <w:rPr>
          <w:rFonts w:ascii="Palatino Linotype" w:hAnsi="Palatino Linotype"/>
          <w:sz w:val="18"/>
          <w:szCs w:val="18"/>
          <w:lang w:val="de-DE"/>
        </w:rPr>
        <w:t>Produkthaftungsgesetz. Kommentar, 1992, § 4, Seiten 202-207, Rdn. 47-61.</w:t>
      </w:r>
    </w:p>
  </w:footnote>
  <w:footnote w:id="346">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Si el damnificado demuestra el defecto del producto, se presume, de manera relativa, que, cuando fue introducido en el mercado, era defectuoso. Por consiguiente, le corresponderá al fabricante demostrar que el producto, cuando fue introducido al mercado, no presentaba ningún defecto. Al respecto ver </w:t>
      </w:r>
      <w:r w:rsidRPr="009235DC">
        <w:rPr>
          <w:rFonts w:ascii="Palatino Linotype" w:hAnsi="Palatino Linotype"/>
          <w:sz w:val="18"/>
          <w:szCs w:val="18"/>
          <w:lang w:val="es-ES_tradnl"/>
        </w:rPr>
        <w:t xml:space="preserve">Pott/Frieling. </w:t>
      </w:r>
      <w:r w:rsidRPr="009235DC">
        <w:rPr>
          <w:rFonts w:ascii="Palatino Linotype" w:hAnsi="Palatino Linotype"/>
          <w:sz w:val="18"/>
          <w:szCs w:val="18"/>
          <w:lang w:val="de-DE"/>
        </w:rPr>
        <w:t>Produkthaftungsgesetz. Kommentar, 1992, § 1, Seite 147, Rdn. 97.</w:t>
      </w:r>
    </w:p>
  </w:footnote>
  <w:footnote w:id="347">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 xml:space="preserve">Un estudio completo y claro de estas causas de exoneración de responsabilidad civil en el Derecho español lo hace el autor Carlos Lasarte Alvarez en su obra intitulada “Manual sobre protección de consumidores y usuarios”, 5. ed., 2013, páginas 239 y siguientes. </w:t>
      </w:r>
    </w:p>
  </w:footnote>
  <w:footnote w:id="348">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 xml:space="preserve">De acuerdo con el autor alemán Gert Brüggemeier, los riesgos de desarrollo no se encuentran expresamente contemplados como causal de exoneración en la responsabilidad civil subjetiva, prevista en el § 823 párrafo primero del Código Civil alemán, pero sí es admisible invocarla, según la jurisprudencia de ese país. Es por eso que, según dicho autor, en ese régimen de responsabilidad civil se incorporó la obligación de observación y vigilancia del producto, o sea, la “Produktbeobachtungspflicht”. Al respecto ver Brüggemeier, Gert. Haftungsrecht: Struktur, Prinzipien, Schutzbereich. Ein Beitrag zur Europäisierung des Privatrechts, 2006, Seite 438. </w:t>
      </w:r>
    </w:p>
  </w:footnote>
  <w:footnote w:id="349">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Pott/Frieling. </w:t>
      </w:r>
      <w:r w:rsidRPr="009235DC">
        <w:rPr>
          <w:rFonts w:ascii="Palatino Linotype" w:hAnsi="Palatino Linotype"/>
          <w:sz w:val="18"/>
          <w:szCs w:val="18"/>
          <w:lang w:val="de-DE"/>
        </w:rPr>
        <w:t>Produkthaftungsgesetz. Kommentar, 1992, § 1, Seite 76, Rdn. 96.</w:t>
      </w:r>
      <w:r w:rsidRPr="009235DC">
        <w:rPr>
          <w:rFonts w:ascii="Palatino Linotype" w:hAnsi="Palatino Linotype"/>
          <w:sz w:val="18"/>
          <w:szCs w:val="18"/>
          <w:lang w:val="en-US"/>
        </w:rPr>
        <w:t xml:space="preserve"> </w:t>
      </w:r>
    </w:p>
  </w:footnote>
  <w:footnote w:id="350">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 xml:space="preserve">Busto Lago, José Manuel. La responsabilidad civil de las Administraciones Públicas. En: Busto Lago, José Manuel y Reglero Campos, Luis Fernando. Tratado de responsabilidad civil. Tomo II., 5. ed., 2014, página 2020. </w:t>
      </w:r>
    </w:p>
  </w:footnote>
  <w:footnote w:id="351">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Brüggemeier, Gert. Haftungsrecht: Struktur, Prinzipien, Schutzbereich. Ein Beitrag zur Europäisierung des Privatrechts, 2006, Seite 438.</w:t>
      </w:r>
      <w:r w:rsidRPr="009235DC">
        <w:rPr>
          <w:rFonts w:ascii="Palatino Linotype" w:hAnsi="Palatino Linotype"/>
          <w:sz w:val="18"/>
          <w:szCs w:val="18"/>
        </w:rPr>
        <w:t xml:space="preserve"> </w:t>
      </w:r>
    </w:p>
  </w:footnote>
  <w:footnote w:id="352">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Pott/Frieling. </w:t>
      </w:r>
      <w:r w:rsidRPr="009235DC">
        <w:rPr>
          <w:rFonts w:ascii="Palatino Linotype" w:hAnsi="Palatino Linotype"/>
          <w:sz w:val="18"/>
          <w:szCs w:val="18"/>
          <w:lang w:val="de-DE"/>
        </w:rPr>
        <w:t>Produkthaftungsgesetz. Kommentar, 1992, § 1, Seite 77, Rdn. 100.</w:t>
      </w:r>
    </w:p>
  </w:footnote>
  <w:footnote w:id="353">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Pott/Frieling. </w:t>
      </w:r>
      <w:r w:rsidRPr="009235DC">
        <w:rPr>
          <w:rFonts w:ascii="Palatino Linotype" w:hAnsi="Palatino Linotype"/>
          <w:sz w:val="18"/>
          <w:szCs w:val="18"/>
          <w:lang w:val="de-DE"/>
        </w:rPr>
        <w:t>Produkthaftungsgesetz. Kommentar, 1992, § 1, Seite 78, Rdn. 101.</w:t>
      </w:r>
    </w:p>
  </w:footnote>
  <w:footnote w:id="354">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Pott/Frieling. Loc. cit., Seite 78, Rdn. 101. </w:t>
      </w:r>
    </w:p>
  </w:footnote>
  <w:footnote w:id="355">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Ibídem., Seite 78, Rdn. 103.</w:t>
      </w:r>
    </w:p>
  </w:footnote>
  <w:footnote w:id="356">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Ibídem., Seite 79, Rdn. 104.</w:t>
      </w:r>
    </w:p>
  </w:footnote>
  <w:footnote w:id="357">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Ibídem., Seite 79, Rdn. 105.</w:t>
      </w:r>
    </w:p>
  </w:footnote>
  <w:footnote w:id="358">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Esto fue lo que sucedió con el caso de la talidomida. En el otoño de 1961, el médico alemán, Dr. Widukind Lenz, puso de manifiesto los efectos teratogénicos de la talidomida. Al respecto ver Salvador Coderch Pablo y otros. Daños tardíos. Avite c Grünenthal. Comentario a la SJPI No. 90, Madrid, 19.11.2013 sobre los daños causados por la talidomida. En: InDret 1/2014, página 5.</w:t>
      </w:r>
    </w:p>
  </w:footnote>
  <w:footnote w:id="359">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 xml:space="preserve">Lasarte Alvarez, Carlos. Manual sobre protección de consumidores y usuarios. 5. ed., 2013, página 241. </w:t>
      </w:r>
    </w:p>
  </w:footnote>
  <w:footnote w:id="360">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Parra Lucán, Ma. Angeles. La protección del consumidor frente a los daños. Responsabilidad civil del fabricante y del prestador de servicios. 2011, página 181.</w:t>
      </w:r>
    </w:p>
  </w:footnote>
  <w:footnote w:id="361">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Brüggemeier, Gert. Haftungsrecht: Struktur, Prinzipien, Schutzbereich. Ein Beitrag zur Europäisierung des Privatrechts, 2006, Seite 440.</w:t>
      </w:r>
    </w:p>
  </w:footnote>
  <w:footnote w:id="362">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Pott/Frieling. </w:t>
      </w:r>
      <w:r w:rsidRPr="009235DC">
        <w:rPr>
          <w:rFonts w:ascii="Palatino Linotype" w:hAnsi="Palatino Linotype"/>
          <w:sz w:val="18"/>
          <w:szCs w:val="18"/>
          <w:lang w:val="de-DE"/>
        </w:rPr>
        <w:t>Produkthaftungsgesetz. Kommentar, 1992, § 1, Seite 80, Rdn. 107.</w:t>
      </w:r>
    </w:p>
  </w:footnote>
  <w:footnote w:id="363">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Loc. cit., Seite 82, Rdn. 112.</w:t>
      </w:r>
    </w:p>
  </w:footnote>
  <w:footnote w:id="364">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Salvador Coderch, Pablo y Rubí Puig, Antoni. “Excepción de riesgos de desarrollo”. En: Salvador Coderch, Pablo y Gómez Pomar, Fernando. Tratado de responsabilidad civil del fabricante, 2008, páginas 630-631.</w:t>
      </w:r>
    </w:p>
  </w:footnote>
  <w:footnote w:id="365">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En este sentido puede consultarse la sentencia BGH NJW 1995, 2162, 2163 conocida como “Mineralwasserflasche II”, citada por Lenz, Tobias. Produkthaftung, 2014, Seite 234, Rdn. 389. Asimismo, con respecto a la aplicación de la excepción de riesgos de desarrollo en los casos de defectos de instrucción ver BGH Urteil vom 16.6.2009 conocida en Alemania como “Airbag-Urteil”, NJW 2009, 2952, citada por el mismo autor antes mencionado en Seite 235, Rdn. 391.</w:t>
      </w:r>
    </w:p>
  </w:footnote>
  <w:footnote w:id="366">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Fuchs/Pauker, Delikts- und Schadensersatzrecht, 8. Auflage, 2012, Seite 310; Brüggemeier, Gert. Haftungsrecht: Struktur, Prinzipien, Schutzbereich. Ein Beitrag zur Europäisierung des Privatrechts, 2006, Seite 438.</w:t>
      </w:r>
    </w:p>
  </w:footnote>
  <w:footnote w:id="367">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Lenz, Tobias. Produkthaftung, 2014, Seite 127, Rdn. 199 y Pott/Frieling. </w:t>
      </w:r>
      <w:r w:rsidRPr="009235DC">
        <w:rPr>
          <w:rFonts w:ascii="Palatino Linotype" w:hAnsi="Palatino Linotype"/>
          <w:sz w:val="18"/>
          <w:szCs w:val="18"/>
          <w:lang w:val="de-DE"/>
        </w:rPr>
        <w:t>Produkthaftungsgesetz. Kommentar, 1992, § 15, Seite 344, Rdn. 61.</w:t>
      </w:r>
    </w:p>
  </w:footnote>
  <w:footnote w:id="368">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Parra Lucán, Ma. Angeles. La protección del consumidor frente a los daños. Responsabilidad civil del fabricante y del prestador de servicios. 2011, página 182.</w:t>
      </w:r>
    </w:p>
  </w:footnote>
  <w:footnote w:id="369">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Sala Primera de la Corte Suprema de Justicia. Sentencia No. 457-F de las 14:30 horas del 10 de abril de 2013.</w:t>
      </w:r>
    </w:p>
  </w:footnote>
  <w:footnote w:id="370">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Sala Primera de la Corte Suprema de Justicia. Sentencia No. 200-F de las 9:40 horas del 16 de febrero de 2012.</w:t>
      </w:r>
    </w:p>
  </w:footnote>
  <w:footnote w:id="371">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Reglero Campos, Luis Fernando y Medina Alcoz, Luis. El nexo causal. La pérdida de oportunidad. Las causales de exoneración de responsabilidad: culpa de la víctima y fuerza mayor. En: Busto Lago, José Manuel y Reglero Campos, Luis Fernando. Tratado de responsabilidad civil. Tomo I., 5. ed., 2014, páginas 888 a 892. </w:t>
      </w:r>
    </w:p>
  </w:footnote>
  <w:footnote w:id="372">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Busto Lago, José Manuel. La responsabilidad civil de las Administraciones Públicas. En: Busto Lago, José Manuel y Reglero Campos, Luis Fernando. Tratado de responsabilidad civil. Tomo II., 5. ed., 2014, páginas 2012 a 2013.</w:t>
      </w:r>
    </w:p>
  </w:footnote>
  <w:footnote w:id="373">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Sala Primera de la Corte Suprema de Justicia. Sentencia No. 1084-F de las 8:35 horas del 8 de setiembre de 2011.</w:t>
      </w:r>
    </w:p>
  </w:footnote>
  <w:footnote w:id="374">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Busto Lago, José Manuel. La responsabilidad civil de las Administraciones Públicas. En: Busto Lago, José Manuel y Reglero Campos, Luis Fernando. Tratado de responsabilidad civil. Tomo II., 5. ed., 2014, nota de pie de página número 192, páginas 2021-2022.</w:t>
      </w:r>
    </w:p>
  </w:footnote>
  <w:footnote w:id="375">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Parra Lucán, Ma. Angeles. La protección del consumidor frente a los daños. Responsabilidad civil del fabricante y del prestador de servicios. 2011, páginas 185-186. Del mismo criterio son los autores españoles Pablo Salvador Coderch y Antoni Rubí Puig. Al respecto ver su ensayo intitulado </w:t>
      </w:r>
      <w:r w:rsidRPr="009235DC">
        <w:rPr>
          <w:rFonts w:ascii="Palatino Linotype" w:hAnsi="Palatino Linotype"/>
          <w:sz w:val="18"/>
          <w:szCs w:val="18"/>
          <w:lang w:val="es-ES_tradnl"/>
        </w:rPr>
        <w:t>“Excepción de riesgos de desarrollo”. En: Salvador Coderch, Pablo y Gómez Pomar, Fernando. Tratado de responsabilidad civil del fabricante, 2008, página 598.</w:t>
      </w:r>
      <w:r w:rsidRPr="009235DC">
        <w:rPr>
          <w:rFonts w:ascii="Palatino Linotype" w:hAnsi="Palatino Linotype"/>
          <w:sz w:val="18"/>
          <w:szCs w:val="18"/>
        </w:rPr>
        <w:t xml:space="preserve">  </w:t>
      </w:r>
    </w:p>
  </w:footnote>
  <w:footnote w:id="376">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Salvador Coderch, Pablo y Rubí Puig, Antoni. Al respecto ver su ensayo intitulado </w:t>
      </w:r>
      <w:r w:rsidRPr="009235DC">
        <w:rPr>
          <w:rFonts w:ascii="Palatino Linotype" w:hAnsi="Palatino Linotype"/>
          <w:sz w:val="18"/>
          <w:szCs w:val="18"/>
          <w:lang w:val="es-ES_tradnl"/>
        </w:rPr>
        <w:t>“Excepción de riesgos de desarrollo”. En: Salvador Coderch, Pablo y Gómez Pomar, Fernando. Tratado de responsabilidad civil del fabricante, 2008, páginas 598-599.</w:t>
      </w:r>
    </w:p>
  </w:footnote>
  <w:footnote w:id="377">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En su sentencia número 53 de las 14:50 horas del 6 de enero de 2010, la Sala Primera de la Corte Suprema de Justicia indicó lo siguiente: “Finalmente, según lo ya expuesto, es dable afirmar que la legislación costarricense opta por un esquema de responsabilidad objetiva moderada, el cual reconociendo las particularidades de las funciones y tareas encomendadas a la Administración, obliga a que se valore la conducta desplegada por el aparato estatal con la finalidad de determinar si existió un funcionamiento normal o anormal, legítimo o ilegítimo. Es únicamente en caso de que concurran los supuestos generales a que se alude en el presente considerando, así como las exigencias propias previstas en las normas aplicables al régimen de responsabilidad patrimonial de la Administración que ésta le puede ser atribuida, en virtud de alguno de los criterios de imputación. Por todo lo anterior, a pesar del peso preponderante que en la responsabilidad su culpa adquiere el daño, no se trata de una transferencia patrimonial automática”.</w:t>
      </w:r>
    </w:p>
  </w:footnote>
  <w:footnote w:id="378">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 xml:space="preserve">Dicha ley contiene, en el artículo 22 inciso 6, el riesgo de desarrollo, como causa de exoneración de responsabilidad civil del productor, en términos muy similares, casi idénticos, a lo que establece el artículo 7 inciso e de la Directiva comunitaria europea del 25 de julio de 1985. Al respecto ver Mantilla Espinosa, Fabricio y Ternera Barrios, Francisco. El riesgo de desarrollo en la responsabilidad por productos del derecho colombiano. En: Revista Ius et Praxis, Año 20, No. 1, 2014, páginas 39 a 66. </w:t>
      </w:r>
    </w:p>
  </w:footnote>
  <w:footnote w:id="379">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 xml:space="preserve">Mantilla Espinosa, Fabricio y Ternera Barrios, Francisco. op. cit., página 55. </w:t>
      </w:r>
    </w:p>
  </w:footnote>
  <w:footnote w:id="380">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Ibídem., página 57.</w:t>
      </w:r>
    </w:p>
  </w:footnote>
  <w:footnote w:id="381">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Busto Lago, José Manuel. La responsabilidad civil de las Administraciones Públicas. En: Busto Lago, José Manuel y Reglero Campos, Luis Fernando. Tratado de responsabilidad civil. Tomo II., 5. ed., 2014, nota de pie de página número 192, páginas 2012-2013..</w:t>
      </w:r>
    </w:p>
  </w:footnote>
  <w:footnote w:id="382">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Parra Lucán, Ma. Angeles. La protección del consumidor frente a los daños. Responsabilidad civil del fabricante y del prestador de servicios. 2011, página 182.</w:t>
      </w:r>
    </w:p>
  </w:footnote>
  <w:footnote w:id="383">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Mantilla Espinosa, Fabricio y Ternera Barrios, Francisco. El riesgo de desarrollo en la responsabilidad por productos del derecho colombiano. En: Revista Ius et Praxis, Año 20, No. 1, 2014, página 60.</w:t>
      </w:r>
    </w:p>
  </w:footnote>
  <w:footnote w:id="384">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Sobre este tema ver Díez-Picazo, Luis. Fundamentos del Derecho Civil Patrimonial. Tomo V. La responsabilidad civil extracontractual, 2011, páginas 482-483.</w:t>
      </w:r>
    </w:p>
  </w:footnote>
  <w:footnote w:id="385">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 xml:space="preserve">Loc. cit., página 483. </w:t>
      </w:r>
    </w:p>
  </w:footnote>
  <w:footnote w:id="386">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ES_tradnl"/>
        </w:rPr>
        <w:t xml:space="preserve">Gómez Pomar, Fernando. Responsabilidad civil del fabricante por daños causados por productos defectuosos, bajo la siguiente dirección en internet: </w:t>
      </w:r>
      <w:hyperlink r:id="rId3" w:history="1">
        <w:r w:rsidRPr="009235DC">
          <w:rPr>
            <w:rStyle w:val="Hipervnculo"/>
            <w:rFonts w:ascii="Palatino Linotype" w:hAnsi="Palatino Linotype"/>
            <w:color w:val="auto"/>
            <w:sz w:val="18"/>
            <w:szCs w:val="18"/>
            <w:u w:val="none"/>
            <w:lang w:val="es-ES_tradnl"/>
          </w:rPr>
          <w:t>www.upf.edu/dretcivil/_pdf/mat_fernando/T82008.pdf</w:t>
        </w:r>
      </w:hyperlink>
      <w:r w:rsidRPr="009235DC">
        <w:rPr>
          <w:rFonts w:ascii="Palatino Linotype" w:hAnsi="Palatino Linotype"/>
          <w:sz w:val="18"/>
          <w:szCs w:val="18"/>
          <w:lang w:val="es-ES_tradnl"/>
        </w:rPr>
        <w:t xml:space="preserve">. </w:t>
      </w:r>
    </w:p>
  </w:footnote>
  <w:footnote w:id="387">
    <w:p w:rsidR="00FC1DF6" w:rsidRPr="009235DC" w:rsidRDefault="00FC1DF6" w:rsidP="00E60FEF">
      <w:pPr>
        <w:pStyle w:val="Textonotapie"/>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Gattari Carlos Nicolás “Manual de Derecho Notarial”, Buenos Aires, Ediciones Depalma, segunda reimpresión, 1997.</w:t>
      </w:r>
    </w:p>
  </w:footnote>
  <w:footnote w:id="388">
    <w:p w:rsidR="00FC1DF6" w:rsidRPr="009235DC" w:rsidRDefault="00FC1DF6" w:rsidP="00E60FEF">
      <w:pPr>
        <w:pStyle w:val="Textonotapie"/>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89 Diccionario de la Lengua Española, Grupo editorial Océano, edición 1989.</w:t>
      </w:r>
    </w:p>
  </w:footnote>
  <w:footnote w:id="389">
    <w:p w:rsidR="00FC1DF6" w:rsidRPr="009235DC" w:rsidRDefault="00FC1DF6" w:rsidP="00E60FEF">
      <w:pPr>
        <w:pStyle w:val="Textonotapie"/>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Perez Fernandez del Castillo Bernardo “Derecho Notarial”, México, Editorial Porrúa, segunda edición, 1983, pág. 240.</w:t>
      </w:r>
    </w:p>
  </w:footnote>
  <w:footnote w:id="39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Ponencia al VI Congreso Internacional de Derecho Procesal "La Prueba Judicial en materia Contenciosa, Civil, Laboral, Familia y Penal. El autor es especialista en Derecho Público, Regulación Económica y Servicios Públicos. </w:t>
      </w:r>
      <w:r w:rsidRPr="009235DC">
        <w:rPr>
          <w:rFonts w:ascii="Palatino Linotype" w:eastAsia="Times New Roman" w:hAnsi="Palatino Linotype"/>
          <w:sz w:val="18"/>
          <w:szCs w:val="18"/>
          <w:lang w:eastAsia="es-CR"/>
        </w:rPr>
        <w:t xml:space="preserve">Abogado recomendado por Chambers and Partners en las áreas de Derecho Público, Litigio y Project Finance. </w:t>
      </w:r>
      <w:r w:rsidRPr="009235DC">
        <w:rPr>
          <w:rFonts w:ascii="Palatino Linotype" w:hAnsi="Palatino Linotype"/>
          <w:sz w:val="18"/>
          <w:szCs w:val="18"/>
        </w:rPr>
        <w:t xml:space="preserve">Profesor de la Universidad Escuela Libre de Derecho y Miembro del Jurado Examinador de la Maestría en Derecho Público del Instituto de Enseñanza de Posgrado e Investigación de la Universidad Autónoma de Centroamérica. Profesor invitado de los Cursos de Especialización en Derecho de la Universidad de Salamanca y del Curso de Regulación y Competencia de la Universidad de Valladolid. Secretario de Junta Directiva de la Asociación Iberoamericana de Estudios de Regulación ASIER. Co-coordinador de la Comisión de Derecho Administrativo del Colegio de Abogados y Abogadas de Costa Rica. Asesor legal de la Cámara de Bancos e Instituciones Financieras de Costa Rica y Fiscal de la Cámara de Fondos de Inversión. Socio de la Práctica de Derecho Público, Contratación Administrativa y Regulación Económica de BLP Abogados. </w:t>
      </w:r>
      <w:hyperlink r:id="rId4" w:history="1">
        <w:r w:rsidRPr="009235DC">
          <w:rPr>
            <w:rStyle w:val="Hipervnculo"/>
            <w:rFonts w:ascii="Palatino Linotype" w:hAnsi="Palatino Linotype"/>
            <w:color w:val="auto"/>
            <w:sz w:val="18"/>
            <w:szCs w:val="18"/>
            <w:u w:val="none"/>
          </w:rPr>
          <w:t>lortiz@blplegal.com</w:t>
        </w:r>
      </w:hyperlink>
    </w:p>
  </w:footnote>
  <w:footnote w:id="39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En relación con la evolución histórica de la prueba aquí resumida se ha seguido a: Duñaiturra Laguarda, Alicia. De la verdad irracional a la racional. Evolución de la prueba. En la obra colectiva: La prueba judicial. Desafíos en las jurisdicciones civil, penal, laboral y contencioso administrativa. AAVV. La Ley, Madrid, 2011, pps: 125-138.</w:t>
      </w:r>
    </w:p>
  </w:footnote>
  <w:footnote w:id="39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Cfr: Dworkin, Ronald. Los derechos en serio. Editorial Ariel, Barcelona, 1984. </w:t>
      </w:r>
      <w:r w:rsidRPr="009235DC">
        <w:rPr>
          <w:rFonts w:ascii="Palatino Linotype" w:hAnsi="Palatino Linotype"/>
          <w:sz w:val="18"/>
          <w:szCs w:val="18"/>
          <w:lang w:val="es-MX"/>
        </w:rPr>
        <w:t>Dworkin usa la conocida metáfora del Juez Hércules, un juzgador ideal, inmensamente sabio, conocedor de todo el Derecho pasado y presente, de todas las fuentes, y capaz de rastrear toda esa información en un tiempo limitado. Con ese conocimiento, Hércules traerá a cada caso los antecedentes, los principios, y los argumentos legales más pertinentes, y los integrará dentro de un razonamiento coherente con la tradición de ese sistema jurídico. Hércules puede construir una teoría jurídica general que explique satisfactoriamente por qué un sistema jurídico es como es, hasta en sus últimos detalles, y qué tiene que decir ante cada nuevo litigio. La sugerencia innovadora de Dworkin es que nosotros necesariamente interpretamos la ley de modo similar. La mayoría de las decisiones legales no pueden justificarse de una manera tan directa como siguiendo la ley establecida. El reconocimiento de tal principio como un principio legal es justificable, cuando explica más del material legal que principios anteriormente reconocidos. Y explica cómo y por qué las normas morales y las sentencias afloran en las determinaciones judiciales, a pesar de que la cultura dominante con referencia a la ley y a la teoría legal trate incansablemente de negar este fenómeno.</w:t>
      </w:r>
    </w:p>
  </w:footnote>
  <w:footnote w:id="39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Véase por todos: Posner, Richard A. Cómo deciden los jueces. Marcial Pons, Madrid, 2011.</w:t>
      </w:r>
    </w:p>
  </w:footnote>
  <w:footnote w:id="39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Olaso Álvarez Jorge. La prueba en materia civil. San Jose, Editorial Jurídica Continental, 2015, pág. 25.</w:t>
      </w:r>
    </w:p>
  </w:footnote>
  <w:footnote w:id="39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Taruffo Michele. La prueba. Madrid, Marcial Pons, 2008, pps. 15-16.</w:t>
      </w:r>
    </w:p>
  </w:footnote>
  <w:footnote w:id="39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Carnelutti Francesco. Cómo se hace un proceso. Buenos Aires, Librería El Foro, 2004. “La justicia es como una roca situada en la cima del monte: el hombre no tiene alas para llegar hasta ella volando: lo único que puede hacer es abrirse paso fatigosamente hacia ella escalando las laderas; y a menudo se extravía y se destroza las manos. Lo que lo guía, lo que lo atrae, lo que lo eleva, es la belleza de aquella cumbre que le resplandece a lo lejos. La fuera que le sirve para subir, es la razón; y él llama razón a cada paso que da en su camino. El sentido de la justicia, que posee innato en su corazón, se refracta, como la luz a través de un prisma, en mil colores; cada rayo que le llega de aquella fuente, es una razón. </w:t>
      </w:r>
    </w:p>
  </w:footnote>
  <w:footnote w:id="39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Sobre la prueba en el NCPC véase: Artavia Barrantes Sergio y Picado Vargas Carlos Adolfo.  Código Procesal Civil comentarios, explicado y con referencias bibliográficas. San José, Investigaciones Jurídicas S.A., 2016, pps. 338-452.</w:t>
      </w:r>
    </w:p>
  </w:footnote>
  <w:footnote w:id="39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Res. N° 01193-F-2013 Sala Primera de la Corte Suprema de Justicia, a las 09:35 hrs. del 18 de setiembre de 2013. </w:t>
      </w:r>
    </w:p>
  </w:footnote>
  <w:footnote w:id="399">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Jinesta Lobo Ernesto y Artavia Barrantes Sergio. Código Procesal Contencioso Administrativo anotado con jurisprudencia. San José, IJSA, 2015, pág. 203. Res. N° 0287-F-S1-2009 de la Sala Primera de la Corte Suprema de Justicia de las 10:45 hrs. del 19 de marzo de 2009. </w:t>
      </w:r>
    </w:p>
  </w:footnote>
  <w:footnote w:id="40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bCs/>
          <w:sz w:val="18"/>
          <w:szCs w:val="18"/>
        </w:rPr>
        <w:t>Res. N° 000591-2009 Sala Primera de la Corte Suprema de Justicia de las 08:15 horas del 19 de junio de 2009.</w:t>
      </w:r>
    </w:p>
  </w:footnote>
  <w:footnote w:id="40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Artículo 58.- Presentación de la demanda, requisitos, personería de la Administración. </w:t>
      </w:r>
    </w:p>
    <w:p w:rsidR="00FC1DF6" w:rsidRPr="009235DC" w:rsidRDefault="00FC1DF6" w:rsidP="00E60FEF">
      <w:pPr>
        <w:pStyle w:val="Textonotapie"/>
        <w:widowControl/>
        <w:numPr>
          <w:ilvl w:val="0"/>
          <w:numId w:val="2"/>
        </w:numPr>
        <w:autoSpaceDE/>
        <w:autoSpaceDN/>
        <w:adjustRightInd/>
        <w:jc w:val="both"/>
        <w:rPr>
          <w:rFonts w:ascii="Palatino Linotype" w:hAnsi="Palatino Linotype"/>
          <w:sz w:val="18"/>
          <w:szCs w:val="18"/>
        </w:rPr>
      </w:pPr>
      <w:r w:rsidRPr="009235DC">
        <w:rPr>
          <w:rFonts w:ascii="Palatino Linotype" w:hAnsi="Palatino Linotype"/>
          <w:sz w:val="18"/>
          <w:szCs w:val="18"/>
        </w:rPr>
        <w:t xml:space="preserve">Agotada la vía administrativa cuando así se elija o dentro de los plazos previstos en los artículos 34, 35 y 39 de este Código, el actor deberá incoar su demanda en la que indicará, necesariamente: </w:t>
      </w:r>
    </w:p>
    <w:p w:rsidR="00FC1DF6" w:rsidRPr="009235DC" w:rsidRDefault="00FC1DF6" w:rsidP="00E60FEF">
      <w:pPr>
        <w:pStyle w:val="Textonotapie"/>
        <w:ind w:left="720"/>
        <w:jc w:val="both"/>
        <w:rPr>
          <w:rFonts w:ascii="Palatino Linotype" w:hAnsi="Palatino Linotype"/>
          <w:sz w:val="18"/>
          <w:szCs w:val="18"/>
        </w:rPr>
      </w:pPr>
      <w:r w:rsidRPr="009235DC">
        <w:rPr>
          <w:rFonts w:ascii="Palatino Linotype" w:hAnsi="Palatino Linotype"/>
          <w:sz w:val="18"/>
          <w:szCs w:val="18"/>
        </w:rPr>
        <w:t>…</w:t>
      </w:r>
    </w:p>
    <w:p w:rsidR="00FC1DF6" w:rsidRPr="009235DC" w:rsidRDefault="00FC1DF6" w:rsidP="00E60FEF">
      <w:pPr>
        <w:pStyle w:val="Textonotapie"/>
        <w:ind w:left="720"/>
        <w:jc w:val="both"/>
        <w:rPr>
          <w:rFonts w:ascii="Palatino Linotype" w:hAnsi="Palatino Linotype"/>
          <w:sz w:val="18"/>
          <w:szCs w:val="18"/>
        </w:rPr>
      </w:pPr>
      <w:r w:rsidRPr="009235DC">
        <w:rPr>
          <w:rFonts w:ascii="Palatino Linotype" w:hAnsi="Palatino Linotype"/>
          <w:sz w:val="18"/>
          <w:szCs w:val="18"/>
        </w:rPr>
        <w:t>f Las pruebas ofrecidas.</w:t>
      </w:r>
    </w:p>
    <w:p w:rsidR="00FC1DF6" w:rsidRPr="009235DC" w:rsidRDefault="00FC1DF6" w:rsidP="00E60FEF">
      <w:pPr>
        <w:pStyle w:val="Textonotapie"/>
        <w:ind w:left="720"/>
        <w:jc w:val="both"/>
        <w:rPr>
          <w:rFonts w:ascii="Palatino Linotype" w:hAnsi="Palatino Linotype"/>
          <w:sz w:val="18"/>
          <w:szCs w:val="18"/>
        </w:rPr>
      </w:pPr>
      <w:r w:rsidRPr="009235DC">
        <w:rPr>
          <w:rFonts w:ascii="Palatino Linotype" w:hAnsi="Palatino Linotype"/>
          <w:sz w:val="18"/>
          <w:szCs w:val="18"/>
        </w:rPr>
        <w:t>…</w:t>
      </w:r>
    </w:p>
  </w:footnote>
  <w:footnote w:id="40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Artículo 64.- Contestación de la demanda, defectos y subsanación. </w:t>
      </w:r>
    </w:p>
    <w:p w:rsidR="00FC1DF6" w:rsidRPr="009235DC" w:rsidRDefault="00FC1DF6" w:rsidP="00E60FEF">
      <w:pPr>
        <w:pStyle w:val="Textonotapie"/>
        <w:widowControl/>
        <w:numPr>
          <w:ilvl w:val="0"/>
          <w:numId w:val="3"/>
        </w:numPr>
        <w:autoSpaceDE/>
        <w:autoSpaceDN/>
        <w:adjustRightInd/>
        <w:jc w:val="both"/>
        <w:rPr>
          <w:rFonts w:ascii="Palatino Linotype" w:hAnsi="Palatino Linotype"/>
          <w:sz w:val="18"/>
          <w:szCs w:val="18"/>
        </w:rPr>
      </w:pPr>
      <w:r w:rsidRPr="009235DC">
        <w:rPr>
          <w:rFonts w:ascii="Palatino Linotype" w:hAnsi="Palatino Linotype"/>
          <w:sz w:val="18"/>
          <w:szCs w:val="18"/>
        </w:rPr>
        <w:t>En el escrito de contestación de la demanda, se expondrá con claridad si los hechos se rechazan por inexactos o se admiten como ciertos con variantes o rectificaciones.</w:t>
      </w:r>
    </w:p>
    <w:p w:rsidR="00FC1DF6" w:rsidRPr="009235DC" w:rsidRDefault="00FC1DF6" w:rsidP="00E60FEF">
      <w:pPr>
        <w:pStyle w:val="Textonotapie"/>
        <w:widowControl/>
        <w:numPr>
          <w:ilvl w:val="0"/>
          <w:numId w:val="3"/>
        </w:numPr>
        <w:autoSpaceDE/>
        <w:autoSpaceDN/>
        <w:adjustRightInd/>
        <w:jc w:val="both"/>
        <w:rPr>
          <w:rFonts w:ascii="Palatino Linotype" w:hAnsi="Palatino Linotype"/>
          <w:sz w:val="18"/>
          <w:szCs w:val="18"/>
        </w:rPr>
      </w:pPr>
      <w:r w:rsidRPr="009235DC">
        <w:rPr>
          <w:rFonts w:ascii="Palatino Linotype" w:hAnsi="Palatino Linotype"/>
          <w:sz w:val="18"/>
          <w:szCs w:val="18"/>
        </w:rPr>
        <w:t>El demandado manifestará las razones que tenga para oponerse a la demanda y los fundamentos legales en que se apoya. En esta misma oportunidad deberá oponer las defensas previas y de fondo pertinentes, así como ofrecer la prueba pertinente.</w:t>
      </w:r>
    </w:p>
    <w:p w:rsidR="00FC1DF6" w:rsidRPr="009235DC" w:rsidRDefault="00FC1DF6" w:rsidP="00E60FEF">
      <w:pPr>
        <w:pStyle w:val="Textonotapie"/>
        <w:widowControl/>
        <w:numPr>
          <w:ilvl w:val="0"/>
          <w:numId w:val="3"/>
        </w:numPr>
        <w:autoSpaceDE/>
        <w:autoSpaceDN/>
        <w:adjustRightInd/>
        <w:jc w:val="both"/>
        <w:rPr>
          <w:rFonts w:ascii="Palatino Linotype" w:hAnsi="Palatino Linotype"/>
          <w:sz w:val="18"/>
          <w:szCs w:val="18"/>
        </w:rPr>
      </w:pPr>
      <w:r w:rsidRPr="009235DC">
        <w:rPr>
          <w:rFonts w:ascii="Palatino Linotype" w:hAnsi="Palatino Linotype"/>
          <w:sz w:val="18"/>
          <w:szCs w:val="18"/>
        </w:rPr>
        <w:t>…</w:t>
      </w:r>
    </w:p>
  </w:footnote>
  <w:footnote w:id="40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Ver Milano Sánchez Aldo. “La actividad procesal en el Código Procesal Contencioso Administrativo”, en Jiménez Meza Manrique et al. El nuevo proceso contencioso-administrativo, Poder Judicial-Escuela Judicial, 2006, páginas 301-6 y 309-313.</w:t>
      </w:r>
    </w:p>
  </w:footnote>
  <w:footnote w:id="40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Lo cual es reproducción de la regla asentada en el artículo 298.2 de la Ley General de la Administración Pública.</w:t>
      </w:r>
    </w:p>
  </w:footnote>
  <w:footnote w:id="40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Villalobos Soto Joaquín. Guía para litigar en el proceso contencioso administrativo, San José, IJSA, 2008, pp. 50-51.</w:t>
      </w:r>
    </w:p>
  </w:footnote>
  <w:footnote w:id="40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Ibid.</w:t>
      </w:r>
    </w:p>
  </w:footnote>
  <w:footnote w:id="40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Artículo 318.- Medios de prueba. Son medios de prueba los siguientes: </w:t>
      </w:r>
    </w:p>
    <w:p w:rsidR="00FC1DF6" w:rsidRPr="009235DC" w:rsidRDefault="00FC1DF6" w:rsidP="00E60FEF">
      <w:pPr>
        <w:pStyle w:val="Textonotapie"/>
        <w:widowControl/>
        <w:numPr>
          <w:ilvl w:val="0"/>
          <w:numId w:val="4"/>
        </w:numPr>
        <w:autoSpaceDE/>
        <w:autoSpaceDN/>
        <w:adjustRightInd/>
        <w:jc w:val="both"/>
        <w:rPr>
          <w:rFonts w:ascii="Palatino Linotype" w:hAnsi="Palatino Linotype"/>
          <w:sz w:val="18"/>
          <w:szCs w:val="18"/>
        </w:rPr>
      </w:pPr>
      <w:r w:rsidRPr="009235DC">
        <w:rPr>
          <w:rFonts w:ascii="Palatino Linotype" w:hAnsi="Palatino Linotype"/>
          <w:sz w:val="18"/>
          <w:szCs w:val="18"/>
        </w:rPr>
        <w:t>Declaración de las partes.</w:t>
      </w:r>
    </w:p>
    <w:p w:rsidR="00FC1DF6" w:rsidRPr="009235DC" w:rsidRDefault="00FC1DF6" w:rsidP="00E60FEF">
      <w:pPr>
        <w:pStyle w:val="Textonotapie"/>
        <w:widowControl/>
        <w:numPr>
          <w:ilvl w:val="0"/>
          <w:numId w:val="4"/>
        </w:numPr>
        <w:autoSpaceDE/>
        <w:autoSpaceDN/>
        <w:adjustRightInd/>
        <w:jc w:val="both"/>
        <w:rPr>
          <w:rFonts w:ascii="Palatino Linotype" w:hAnsi="Palatino Linotype"/>
          <w:sz w:val="18"/>
          <w:szCs w:val="18"/>
        </w:rPr>
      </w:pPr>
      <w:r w:rsidRPr="009235DC">
        <w:rPr>
          <w:rFonts w:ascii="Palatino Linotype" w:hAnsi="Palatino Linotype"/>
          <w:sz w:val="18"/>
          <w:szCs w:val="18"/>
        </w:rPr>
        <w:t>Declaración de testigos.</w:t>
      </w:r>
    </w:p>
    <w:p w:rsidR="00FC1DF6" w:rsidRPr="009235DC" w:rsidRDefault="00FC1DF6" w:rsidP="00E60FEF">
      <w:pPr>
        <w:pStyle w:val="Textonotapie"/>
        <w:widowControl/>
        <w:numPr>
          <w:ilvl w:val="0"/>
          <w:numId w:val="4"/>
        </w:numPr>
        <w:autoSpaceDE/>
        <w:autoSpaceDN/>
        <w:adjustRightInd/>
        <w:jc w:val="both"/>
        <w:rPr>
          <w:rFonts w:ascii="Palatino Linotype" w:hAnsi="Palatino Linotype"/>
          <w:sz w:val="18"/>
          <w:szCs w:val="18"/>
        </w:rPr>
      </w:pPr>
      <w:r w:rsidRPr="009235DC">
        <w:rPr>
          <w:rFonts w:ascii="Palatino Linotype" w:hAnsi="Palatino Linotype"/>
          <w:sz w:val="18"/>
          <w:szCs w:val="18"/>
        </w:rPr>
        <w:t xml:space="preserve">Documentos e informes. </w:t>
      </w:r>
    </w:p>
    <w:p w:rsidR="00FC1DF6" w:rsidRPr="009235DC" w:rsidRDefault="00FC1DF6" w:rsidP="00E60FEF">
      <w:pPr>
        <w:pStyle w:val="Textonotapie"/>
        <w:widowControl/>
        <w:numPr>
          <w:ilvl w:val="0"/>
          <w:numId w:val="4"/>
        </w:numPr>
        <w:autoSpaceDE/>
        <w:autoSpaceDN/>
        <w:adjustRightInd/>
        <w:jc w:val="both"/>
        <w:rPr>
          <w:rFonts w:ascii="Palatino Linotype" w:hAnsi="Palatino Linotype"/>
          <w:sz w:val="18"/>
          <w:szCs w:val="18"/>
        </w:rPr>
      </w:pPr>
      <w:r w:rsidRPr="009235DC">
        <w:rPr>
          <w:rFonts w:ascii="Palatino Linotype" w:hAnsi="Palatino Linotype"/>
          <w:sz w:val="18"/>
          <w:szCs w:val="18"/>
        </w:rPr>
        <w:t xml:space="preserve">Dictámenes de peritos. </w:t>
      </w:r>
    </w:p>
    <w:p w:rsidR="00FC1DF6" w:rsidRPr="009235DC" w:rsidRDefault="00FC1DF6" w:rsidP="00E60FEF">
      <w:pPr>
        <w:pStyle w:val="Textonotapie"/>
        <w:widowControl/>
        <w:numPr>
          <w:ilvl w:val="0"/>
          <w:numId w:val="4"/>
        </w:numPr>
        <w:autoSpaceDE/>
        <w:autoSpaceDN/>
        <w:adjustRightInd/>
        <w:jc w:val="both"/>
        <w:rPr>
          <w:rFonts w:ascii="Palatino Linotype" w:hAnsi="Palatino Linotype"/>
          <w:sz w:val="18"/>
          <w:szCs w:val="18"/>
        </w:rPr>
      </w:pPr>
      <w:r w:rsidRPr="009235DC">
        <w:rPr>
          <w:rFonts w:ascii="Palatino Linotype" w:hAnsi="Palatino Linotype"/>
          <w:sz w:val="18"/>
          <w:szCs w:val="18"/>
        </w:rPr>
        <w:t>Reconocimiento judicial.</w:t>
      </w:r>
    </w:p>
    <w:p w:rsidR="00FC1DF6" w:rsidRPr="009235DC" w:rsidRDefault="00FC1DF6" w:rsidP="00E60FEF">
      <w:pPr>
        <w:pStyle w:val="Textonotapie"/>
        <w:widowControl/>
        <w:numPr>
          <w:ilvl w:val="0"/>
          <w:numId w:val="4"/>
        </w:numPr>
        <w:autoSpaceDE/>
        <w:autoSpaceDN/>
        <w:adjustRightInd/>
        <w:jc w:val="both"/>
        <w:rPr>
          <w:rFonts w:ascii="Palatino Linotype" w:hAnsi="Palatino Linotype"/>
          <w:sz w:val="18"/>
          <w:szCs w:val="18"/>
        </w:rPr>
      </w:pPr>
      <w:r w:rsidRPr="009235DC">
        <w:rPr>
          <w:rFonts w:ascii="Palatino Linotype" w:hAnsi="Palatino Linotype"/>
          <w:sz w:val="18"/>
          <w:szCs w:val="18"/>
        </w:rPr>
        <w:t xml:space="preserve">Medios científicos. </w:t>
      </w:r>
    </w:p>
    <w:p w:rsidR="00FC1DF6" w:rsidRPr="009235DC" w:rsidRDefault="00FC1DF6" w:rsidP="00E60FEF">
      <w:pPr>
        <w:pStyle w:val="Textonotapie"/>
        <w:widowControl/>
        <w:numPr>
          <w:ilvl w:val="0"/>
          <w:numId w:val="4"/>
        </w:numPr>
        <w:autoSpaceDE/>
        <w:autoSpaceDN/>
        <w:adjustRightInd/>
        <w:jc w:val="both"/>
        <w:rPr>
          <w:rFonts w:ascii="Palatino Linotype" w:hAnsi="Palatino Linotype"/>
          <w:sz w:val="18"/>
          <w:szCs w:val="18"/>
        </w:rPr>
      </w:pPr>
      <w:r w:rsidRPr="009235DC">
        <w:rPr>
          <w:rFonts w:ascii="Palatino Linotype" w:hAnsi="Palatino Linotype"/>
          <w:sz w:val="18"/>
          <w:szCs w:val="18"/>
        </w:rPr>
        <w:t>Presunciones e indicios.</w:t>
      </w:r>
    </w:p>
  </w:footnote>
  <w:footnote w:id="408">
    <w:p w:rsidR="00FC1DF6" w:rsidRPr="009235DC" w:rsidRDefault="00FC1DF6" w:rsidP="00E60FEF">
      <w:pPr>
        <w:pStyle w:val="Default"/>
        <w:jc w:val="both"/>
        <w:rPr>
          <w:rFonts w:ascii="Palatino Linotype" w:hAnsi="Palatino Linotype"/>
          <w:color w:val="auto"/>
          <w:sz w:val="18"/>
          <w:szCs w:val="18"/>
        </w:rPr>
      </w:pPr>
      <w:r w:rsidRPr="009235DC">
        <w:rPr>
          <w:rStyle w:val="Refdenotaalpie"/>
          <w:rFonts w:ascii="Palatino Linotype" w:hAnsi="Palatino Linotype"/>
          <w:color w:val="auto"/>
          <w:sz w:val="18"/>
          <w:szCs w:val="18"/>
        </w:rPr>
        <w:footnoteRef/>
      </w:r>
      <w:r w:rsidRPr="009235DC">
        <w:rPr>
          <w:rFonts w:ascii="Palatino Linotype" w:hAnsi="Palatino Linotype"/>
          <w:color w:val="auto"/>
          <w:sz w:val="18"/>
          <w:szCs w:val="18"/>
        </w:rPr>
        <w:t xml:space="preserve"> </w:t>
      </w:r>
      <w:r w:rsidRPr="009235DC">
        <w:rPr>
          <w:rFonts w:ascii="Palatino Linotype" w:hAnsi="Palatino Linotype"/>
          <w:bCs/>
          <w:color w:val="auto"/>
          <w:sz w:val="18"/>
          <w:szCs w:val="18"/>
        </w:rPr>
        <w:t xml:space="preserve">41.2. Medios de prueba. </w:t>
      </w:r>
      <w:r w:rsidRPr="009235DC">
        <w:rPr>
          <w:rFonts w:ascii="Palatino Linotype" w:hAnsi="Palatino Linotype"/>
          <w:color w:val="auto"/>
          <w:sz w:val="18"/>
          <w:szCs w:val="18"/>
        </w:rPr>
        <w:t xml:space="preserve">Son admisibles como medios de prueba los siguientes: </w:t>
      </w:r>
    </w:p>
    <w:p w:rsidR="00FC1DF6" w:rsidRPr="009235DC" w:rsidRDefault="00FC1DF6" w:rsidP="00E60FEF">
      <w:pPr>
        <w:pStyle w:val="Default"/>
        <w:ind w:firstLine="708"/>
        <w:jc w:val="both"/>
        <w:rPr>
          <w:rFonts w:ascii="Palatino Linotype" w:hAnsi="Palatino Linotype"/>
          <w:color w:val="auto"/>
          <w:sz w:val="18"/>
          <w:szCs w:val="18"/>
        </w:rPr>
      </w:pPr>
      <w:r w:rsidRPr="009235DC">
        <w:rPr>
          <w:rFonts w:ascii="Palatino Linotype" w:hAnsi="Palatino Linotype"/>
          <w:bCs/>
          <w:color w:val="auto"/>
          <w:sz w:val="18"/>
          <w:szCs w:val="18"/>
        </w:rPr>
        <w:t xml:space="preserve">1. </w:t>
      </w:r>
      <w:r w:rsidRPr="009235DC">
        <w:rPr>
          <w:rFonts w:ascii="Palatino Linotype" w:hAnsi="Palatino Linotype"/>
          <w:color w:val="auto"/>
          <w:sz w:val="18"/>
          <w:szCs w:val="18"/>
        </w:rPr>
        <w:t xml:space="preserve">Declaración de parte. </w:t>
      </w:r>
    </w:p>
    <w:p w:rsidR="00FC1DF6" w:rsidRPr="009235DC" w:rsidRDefault="00FC1DF6" w:rsidP="00E60FEF">
      <w:pPr>
        <w:pStyle w:val="Default"/>
        <w:ind w:firstLine="708"/>
        <w:jc w:val="both"/>
        <w:rPr>
          <w:rFonts w:ascii="Palatino Linotype" w:hAnsi="Palatino Linotype"/>
          <w:color w:val="auto"/>
          <w:sz w:val="18"/>
          <w:szCs w:val="18"/>
        </w:rPr>
      </w:pPr>
      <w:r w:rsidRPr="009235DC">
        <w:rPr>
          <w:rFonts w:ascii="Palatino Linotype" w:hAnsi="Palatino Linotype"/>
          <w:bCs/>
          <w:color w:val="auto"/>
          <w:sz w:val="18"/>
          <w:szCs w:val="18"/>
        </w:rPr>
        <w:t xml:space="preserve">2. </w:t>
      </w:r>
      <w:r w:rsidRPr="009235DC">
        <w:rPr>
          <w:rFonts w:ascii="Palatino Linotype" w:hAnsi="Palatino Linotype"/>
          <w:color w:val="auto"/>
          <w:sz w:val="18"/>
          <w:szCs w:val="18"/>
        </w:rPr>
        <w:t xml:space="preserve">Declaración de testigos. </w:t>
      </w:r>
    </w:p>
    <w:p w:rsidR="00FC1DF6" w:rsidRPr="009235DC" w:rsidRDefault="00FC1DF6" w:rsidP="00E60FEF">
      <w:pPr>
        <w:pStyle w:val="Default"/>
        <w:ind w:firstLine="708"/>
        <w:jc w:val="both"/>
        <w:rPr>
          <w:rFonts w:ascii="Palatino Linotype" w:hAnsi="Palatino Linotype"/>
          <w:color w:val="auto"/>
          <w:sz w:val="18"/>
          <w:szCs w:val="18"/>
        </w:rPr>
      </w:pPr>
      <w:r w:rsidRPr="009235DC">
        <w:rPr>
          <w:rFonts w:ascii="Palatino Linotype" w:hAnsi="Palatino Linotype"/>
          <w:bCs/>
          <w:color w:val="auto"/>
          <w:sz w:val="18"/>
          <w:szCs w:val="18"/>
        </w:rPr>
        <w:t xml:space="preserve">3. </w:t>
      </w:r>
      <w:r w:rsidRPr="009235DC">
        <w:rPr>
          <w:rFonts w:ascii="Palatino Linotype" w:hAnsi="Palatino Linotype"/>
          <w:color w:val="auto"/>
          <w:sz w:val="18"/>
          <w:szCs w:val="18"/>
        </w:rPr>
        <w:t xml:space="preserve">Dictamen de peritos. </w:t>
      </w:r>
    </w:p>
    <w:p w:rsidR="00FC1DF6" w:rsidRPr="009235DC" w:rsidRDefault="00FC1DF6" w:rsidP="00E60FEF">
      <w:pPr>
        <w:pStyle w:val="Default"/>
        <w:ind w:firstLine="708"/>
        <w:jc w:val="both"/>
        <w:rPr>
          <w:rFonts w:ascii="Palatino Linotype" w:hAnsi="Palatino Linotype"/>
          <w:color w:val="auto"/>
          <w:sz w:val="18"/>
          <w:szCs w:val="18"/>
        </w:rPr>
      </w:pPr>
      <w:r w:rsidRPr="009235DC">
        <w:rPr>
          <w:rFonts w:ascii="Palatino Linotype" w:hAnsi="Palatino Linotype"/>
          <w:bCs/>
          <w:color w:val="auto"/>
          <w:sz w:val="18"/>
          <w:szCs w:val="18"/>
        </w:rPr>
        <w:t xml:space="preserve">4. </w:t>
      </w:r>
      <w:r w:rsidRPr="009235DC">
        <w:rPr>
          <w:rFonts w:ascii="Palatino Linotype" w:hAnsi="Palatino Linotype"/>
          <w:color w:val="auto"/>
          <w:sz w:val="18"/>
          <w:szCs w:val="18"/>
        </w:rPr>
        <w:t xml:space="preserve">Documentos e informes. </w:t>
      </w:r>
    </w:p>
    <w:p w:rsidR="00FC1DF6" w:rsidRPr="009235DC" w:rsidRDefault="00FC1DF6" w:rsidP="00E60FEF">
      <w:pPr>
        <w:pStyle w:val="Default"/>
        <w:ind w:firstLine="708"/>
        <w:jc w:val="both"/>
        <w:rPr>
          <w:rFonts w:ascii="Palatino Linotype" w:hAnsi="Palatino Linotype"/>
          <w:color w:val="auto"/>
          <w:sz w:val="18"/>
          <w:szCs w:val="18"/>
        </w:rPr>
      </w:pPr>
      <w:r w:rsidRPr="009235DC">
        <w:rPr>
          <w:rFonts w:ascii="Palatino Linotype" w:hAnsi="Palatino Linotype"/>
          <w:bCs/>
          <w:color w:val="auto"/>
          <w:sz w:val="18"/>
          <w:szCs w:val="18"/>
        </w:rPr>
        <w:t xml:space="preserve">5. </w:t>
      </w:r>
      <w:r w:rsidRPr="009235DC">
        <w:rPr>
          <w:rFonts w:ascii="Palatino Linotype" w:hAnsi="Palatino Linotype"/>
          <w:color w:val="auto"/>
          <w:sz w:val="18"/>
          <w:szCs w:val="18"/>
        </w:rPr>
        <w:t xml:space="preserve">Reconocimiento judicial. </w:t>
      </w:r>
    </w:p>
    <w:p w:rsidR="00FC1DF6" w:rsidRPr="009235DC" w:rsidRDefault="00FC1DF6" w:rsidP="00E60FEF">
      <w:pPr>
        <w:pStyle w:val="Default"/>
        <w:ind w:firstLine="708"/>
        <w:jc w:val="both"/>
        <w:rPr>
          <w:rFonts w:ascii="Palatino Linotype" w:hAnsi="Palatino Linotype"/>
          <w:color w:val="auto"/>
          <w:sz w:val="18"/>
          <w:szCs w:val="18"/>
        </w:rPr>
      </w:pPr>
      <w:r w:rsidRPr="009235DC">
        <w:rPr>
          <w:rFonts w:ascii="Palatino Linotype" w:hAnsi="Palatino Linotype"/>
          <w:bCs/>
          <w:color w:val="auto"/>
          <w:sz w:val="18"/>
          <w:szCs w:val="18"/>
        </w:rPr>
        <w:t xml:space="preserve">6. </w:t>
      </w:r>
      <w:r w:rsidRPr="009235DC">
        <w:rPr>
          <w:rFonts w:ascii="Palatino Linotype" w:hAnsi="Palatino Linotype"/>
          <w:color w:val="auto"/>
          <w:sz w:val="18"/>
          <w:szCs w:val="18"/>
        </w:rPr>
        <w:t xml:space="preserve">Medios científicos y tecnológicos. </w:t>
      </w:r>
    </w:p>
    <w:p w:rsidR="00FC1DF6" w:rsidRPr="009235DC" w:rsidRDefault="00FC1DF6" w:rsidP="00E60FEF">
      <w:pPr>
        <w:pStyle w:val="Textonotapie"/>
        <w:ind w:firstLine="708"/>
        <w:jc w:val="both"/>
        <w:rPr>
          <w:rFonts w:ascii="Palatino Linotype" w:hAnsi="Palatino Linotype"/>
          <w:sz w:val="18"/>
          <w:szCs w:val="18"/>
        </w:rPr>
      </w:pPr>
      <w:r w:rsidRPr="009235DC">
        <w:rPr>
          <w:rFonts w:ascii="Palatino Linotype" w:hAnsi="Palatino Linotype"/>
          <w:bCs/>
          <w:sz w:val="18"/>
          <w:szCs w:val="18"/>
        </w:rPr>
        <w:t xml:space="preserve">7. </w:t>
      </w:r>
      <w:r w:rsidRPr="009235DC">
        <w:rPr>
          <w:rFonts w:ascii="Palatino Linotype" w:hAnsi="Palatino Linotype"/>
          <w:sz w:val="18"/>
          <w:szCs w:val="18"/>
        </w:rPr>
        <w:t>Cualquier otro no prohibido.</w:t>
      </w:r>
    </w:p>
  </w:footnote>
  <w:footnote w:id="409">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Expediente Legislativo No. A23E5452, Acta No. 107, Folios del 425 al 435.</w:t>
      </w:r>
    </w:p>
  </w:footnote>
  <w:footnote w:id="41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Sobre este tema cfr.: Villalobos Soto Joaquín…pág. 54 y Milano Sánchez Aldo…pág. 307.</w:t>
      </w:r>
    </w:p>
  </w:footnote>
  <w:footnote w:id="41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Ibid.</w:t>
      </w:r>
    </w:p>
  </w:footnote>
  <w:footnote w:id="412">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Ortiz Ortiz Eduardo. Nulidades del Acto Administrativo en la Ley General de la Administración Pública, Revista del Seminario Internacional de Derecho Administrativo, San José, Colegio de Abogados, 1981, p. 383.</w:t>
      </w:r>
    </w:p>
  </w:footnote>
  <w:footnote w:id="41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Sobre el procedimiento administrativo véase por todos: Milano Aldo; Ortiz Luis; Rivero-Ortega Ricardo. Manual de Derecho Administrativo. San José, Editorial Jurídica Continental, 2016, pps. 167-187.</w:t>
      </w:r>
    </w:p>
  </w:footnote>
  <w:footnote w:id="41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Ibid. En la obra colectiva: Jiménez Meza Manrique et al.  El nuevo proceso contencioso administrativo. Poder Judicial, San José, 2006.</w:t>
      </w:r>
    </w:p>
  </w:footnote>
  <w:footnote w:id="41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López De La Riva Carrasco Federico. Prólogo a la obra de CHAVES GARCÍA, José Ramón. La prueba contencioso-administrativa: análisis dogmático y jurisprudencial. Madrid, Editorial Universitas, S.A., 2007.</w:t>
      </w:r>
    </w:p>
  </w:footnote>
  <w:footnote w:id="41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Artavia Barrantes Sergio. Las pruebas judiciales. San José, Editorial Jurídica Faro, 2017, pág. 1.</w:t>
      </w:r>
    </w:p>
  </w:footnote>
  <w:footnote w:id="417">
    <w:p w:rsidR="00FC1DF6" w:rsidRPr="009235DC" w:rsidRDefault="00FC1DF6" w:rsidP="00E60FEF">
      <w:pPr>
        <w:pStyle w:val="Textonotapie"/>
        <w:jc w:val="both"/>
        <w:rPr>
          <w:rFonts w:ascii="Palatino Linotype" w:hAnsi="Palatino Linotype"/>
          <w:caps/>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En este sentido véase entre muchas otras: Res. </w:t>
      </w:r>
      <w:r w:rsidRPr="009235DC">
        <w:rPr>
          <w:rFonts w:ascii="Palatino Linotype" w:hAnsi="Palatino Linotype"/>
          <w:sz w:val="18"/>
          <w:szCs w:val="18"/>
          <w:lang w:val="en-US"/>
        </w:rPr>
        <w:t>N° 855-</w:t>
      </w:r>
      <w:r w:rsidRPr="009235DC">
        <w:rPr>
          <w:rFonts w:ascii="Palatino Linotype" w:hAnsi="Palatino Linotype"/>
          <w:caps/>
          <w:sz w:val="18"/>
          <w:szCs w:val="18"/>
          <w:lang w:val="en-US"/>
        </w:rPr>
        <w:t>A-s1-2013; R</w:t>
      </w:r>
      <w:r w:rsidRPr="009235DC">
        <w:rPr>
          <w:rFonts w:ascii="Palatino Linotype" w:hAnsi="Palatino Linotype"/>
          <w:sz w:val="18"/>
          <w:szCs w:val="18"/>
          <w:lang w:val="en-US"/>
        </w:rPr>
        <w:t xml:space="preserve">es. N° 00137-A-S1-2013; Res. </w:t>
      </w:r>
      <w:r w:rsidRPr="009235DC">
        <w:rPr>
          <w:rFonts w:ascii="Palatino Linotype" w:hAnsi="Palatino Linotype"/>
          <w:sz w:val="18"/>
          <w:szCs w:val="18"/>
        </w:rPr>
        <w:t>N° 001240-A-S1-2012 de la Sala Primera de la Corte Suprema de Justicia.</w:t>
      </w:r>
      <w:r w:rsidRPr="009235DC">
        <w:rPr>
          <w:rFonts w:ascii="Palatino Linotype" w:hAnsi="Palatino Linotype"/>
          <w:caps/>
          <w:sz w:val="18"/>
          <w:szCs w:val="18"/>
        </w:rPr>
        <w:t xml:space="preserve"> </w:t>
      </w:r>
    </w:p>
  </w:footnote>
  <w:footnote w:id="418">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Para un análisis detallado del tema véase: Aragón Cambronero Yazmín. “La garantía de la doble instancia en el proceso contencioso administrativo costarricense”, en la obra colectiva Garantías Constitucionales en el Proceso, San José, Editorial Juricentro, 2015.</w:t>
      </w:r>
    </w:p>
  </w:footnote>
  <w:footnote w:id="419">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Milano; Ortiz; Rivero-Ortega. Op. cit.: pág. 208.</w:t>
      </w:r>
    </w:p>
  </w:footnote>
  <w:footnote w:id="42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Vergara Blanco Alejandro. “Derecho administrativo y supuesta supletoriedad general del Código Civil.” En Revista de Derecho Administrativo, N° 3, Santiago, LegalPublishing, 2009, pp. 45-68. </w:t>
      </w:r>
    </w:p>
  </w:footnote>
  <w:footnote w:id="42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González Pérez Jesús. Derecho procesal administrativo hispanoamericano. Bogotá, Editorial Temis, S.A., 1985, pág. 39. </w:t>
      </w:r>
    </w:p>
  </w:footnote>
  <w:footnote w:id="422">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Chapus René. Droit du contentieux administratif. Montchrestein, 2008, pps. 202-203. </w:t>
      </w:r>
    </w:p>
  </w:footnote>
  <w:footnote w:id="42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Expediente Legislativo No. A23E5452, Acta No. 105, Folios del 405 al 413.</w:t>
      </w:r>
    </w:p>
  </w:footnote>
  <w:footnote w:id="42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noProof/>
          <w:sz w:val="18"/>
          <w:szCs w:val="18"/>
        </w:rPr>
        <w:t>Hauriou Marcel. Précis de droit administratif et de droit public, Paris, Editios Sirey, V prefacio.</w:t>
      </w:r>
    </w:p>
  </w:footnote>
  <w:footnote w:id="42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Vergara Blanco Alejandro. Op. cit. pág. 61.</w:t>
      </w:r>
    </w:p>
  </w:footnote>
  <w:footnote w:id="42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Ibid.</w:t>
      </w:r>
    </w:p>
  </w:footnote>
  <w:footnote w:id="42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Artículo 9</w:t>
      </w:r>
    </w:p>
    <w:p w:rsidR="00FC1DF6" w:rsidRPr="009235DC" w:rsidRDefault="00FC1DF6" w:rsidP="00E60FEF">
      <w:pPr>
        <w:pStyle w:val="Textonotapie"/>
        <w:jc w:val="both"/>
        <w:rPr>
          <w:rFonts w:ascii="Palatino Linotype" w:hAnsi="Palatino Linotype"/>
          <w:sz w:val="18"/>
          <w:szCs w:val="18"/>
        </w:rPr>
      </w:pPr>
      <w:r w:rsidRPr="009235DC">
        <w:rPr>
          <w:rFonts w:ascii="Palatino Linotype" w:hAnsi="Palatino Linotype"/>
          <w:sz w:val="18"/>
          <w:szCs w:val="18"/>
        </w:rPr>
        <w:t xml:space="preserve">1. El ordenamiento jurídico administrativo es independiente de otros ramos del derecho. Solamente en el caso de que no haya norma administrativa aplicable, escrita o no escrita, se aplicará el derecho privado y sus principios. </w:t>
      </w:r>
    </w:p>
    <w:p w:rsidR="00FC1DF6" w:rsidRPr="009235DC" w:rsidRDefault="00FC1DF6" w:rsidP="00E60FEF">
      <w:pPr>
        <w:pStyle w:val="Textonotapie"/>
        <w:jc w:val="both"/>
        <w:rPr>
          <w:rFonts w:ascii="Palatino Linotype" w:hAnsi="Palatino Linotype"/>
          <w:sz w:val="18"/>
          <w:szCs w:val="18"/>
        </w:rPr>
      </w:pPr>
      <w:r w:rsidRPr="009235DC">
        <w:rPr>
          <w:rFonts w:ascii="Palatino Linotype" w:hAnsi="Palatino Linotype"/>
          <w:sz w:val="18"/>
          <w:szCs w:val="18"/>
        </w:rPr>
        <w:t>2. Caso de integración, por laguna del ordenamiento administrativo escrito, se aplicarán, por su orden, la jurisprudencia, los principios generales del derecho público, la costumbre y el derecho privado y sus principios.</w:t>
      </w:r>
    </w:p>
  </w:footnote>
  <w:footnote w:id="42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Artículo 49.- Establécese la jurisdicción contencioso administrativa como atribución del Poder Judicial, con el objeto de garantizar la legalidad de la función administrativa del Estado, de sus instituciones y de toda otra entidad de derecho público.  </w:t>
      </w:r>
    </w:p>
    <w:p w:rsidR="00FC1DF6" w:rsidRPr="009235DC" w:rsidRDefault="00FC1DF6" w:rsidP="00E60FEF">
      <w:pPr>
        <w:pStyle w:val="Textonotapie"/>
        <w:jc w:val="both"/>
        <w:rPr>
          <w:rFonts w:ascii="Palatino Linotype" w:hAnsi="Palatino Linotype"/>
          <w:sz w:val="18"/>
          <w:szCs w:val="18"/>
        </w:rPr>
      </w:pPr>
      <w:r w:rsidRPr="009235DC">
        <w:rPr>
          <w:rFonts w:ascii="Palatino Linotype" w:hAnsi="Palatino Linotype"/>
          <w:sz w:val="18"/>
          <w:szCs w:val="18"/>
        </w:rPr>
        <w:t xml:space="preserve">La desviación de poder será motivo de impugnación de los actos administrativos.  </w:t>
      </w:r>
    </w:p>
    <w:p w:rsidR="00FC1DF6" w:rsidRPr="009235DC" w:rsidRDefault="00FC1DF6" w:rsidP="00E60FEF">
      <w:pPr>
        <w:pStyle w:val="Textonotapie"/>
        <w:jc w:val="both"/>
        <w:rPr>
          <w:rFonts w:ascii="Palatino Linotype" w:hAnsi="Palatino Linotype"/>
          <w:sz w:val="18"/>
          <w:szCs w:val="18"/>
        </w:rPr>
      </w:pPr>
      <w:r w:rsidRPr="009235DC">
        <w:rPr>
          <w:rFonts w:ascii="Palatino Linotype" w:hAnsi="Palatino Linotype"/>
          <w:sz w:val="18"/>
          <w:szCs w:val="18"/>
        </w:rPr>
        <w:t>La ley protegerá, al menos, los derechos subjetivos y los intereses legítimos de los administrados.</w:t>
      </w:r>
    </w:p>
  </w:footnote>
  <w:footnote w:id="429">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Descargable en: </w:t>
      </w:r>
      <w:hyperlink r:id="rId5" w:history="1">
        <w:r w:rsidRPr="009235DC">
          <w:rPr>
            <w:rStyle w:val="Hipervnculo"/>
            <w:rFonts w:ascii="Palatino Linotype" w:hAnsi="Palatino Linotype"/>
            <w:color w:val="auto"/>
            <w:sz w:val="18"/>
            <w:szCs w:val="18"/>
            <w:u w:val="none"/>
          </w:rPr>
          <w:t>https://www.youtube.com/watch?v=euRfDtIL7cg</w:t>
        </w:r>
      </w:hyperlink>
    </w:p>
  </w:footnote>
  <w:footnote w:id="430">
    <w:p w:rsidR="00FC1DF6" w:rsidRPr="00FC1DF6" w:rsidRDefault="00FC1DF6" w:rsidP="00E60FEF">
      <w:pPr>
        <w:pStyle w:val="Textonotapie"/>
        <w:jc w:val="both"/>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Véase la ponencia de Milano Sánchez, Aldo. El impacto de la reforma procesal civil en el proceso de conocimiento de lo contencioso administrativo. Seminario: “Impacto de la reforma procesal laboral y civil en el contencioso administrativo. Colegio de Abogados, 8 de marzo del 2017. </w:t>
      </w:r>
      <w:r w:rsidRPr="00FC1DF6">
        <w:rPr>
          <w:rFonts w:ascii="Palatino Linotype" w:hAnsi="Palatino Linotype"/>
          <w:sz w:val="18"/>
          <w:szCs w:val="18"/>
          <w:lang w:val="es-CR"/>
        </w:rPr>
        <w:t xml:space="preserve">Descargable en: </w:t>
      </w:r>
      <w:hyperlink r:id="rId6" w:history="1">
        <w:r w:rsidRPr="00FC1DF6">
          <w:rPr>
            <w:rStyle w:val="Hipervnculo"/>
            <w:rFonts w:ascii="Palatino Linotype" w:hAnsi="Palatino Linotype"/>
            <w:sz w:val="18"/>
            <w:szCs w:val="18"/>
            <w:lang w:val="es-CR"/>
          </w:rPr>
          <w:t>https://www.youtube.com/watch?v=GAEf1cP_ NiY&amp;feature=iv&amp;src_vid=IYqgJAsTUMQ&amp;anno tation_id=channel%3A58bb6bf7-0000-2df7-a47c-001a114cadfc</w:t>
        </w:r>
      </w:hyperlink>
    </w:p>
  </w:footnote>
  <w:footnote w:id="431">
    <w:p w:rsidR="00FC1DF6" w:rsidRPr="009235DC" w:rsidRDefault="00FC1DF6" w:rsidP="00E60FEF">
      <w:pPr>
        <w:pStyle w:val="Textonotapie"/>
        <w:jc w:val="both"/>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s-CR"/>
        </w:rPr>
        <w:t xml:space="preserve"> Chapus René. Op. cit: pág. 203.</w:t>
      </w:r>
    </w:p>
  </w:footnote>
  <w:footnote w:id="432">
    <w:p w:rsidR="00FC1DF6" w:rsidRPr="009235DC" w:rsidRDefault="00FC1DF6" w:rsidP="00E60FEF">
      <w:pPr>
        <w:pStyle w:val="Textonotapie"/>
        <w:jc w:val="both"/>
        <w:rPr>
          <w:rFonts w:ascii="Palatino Linotype" w:hAnsi="Palatino Linotype"/>
          <w:sz w:val="18"/>
          <w:szCs w:val="18"/>
        </w:rPr>
      </w:pPr>
      <w:r w:rsidRPr="009235DC">
        <w:rPr>
          <w:rFonts w:ascii="Palatino Linotype" w:hAnsi="Palatino Linotype"/>
          <w:sz w:val="18"/>
          <w:szCs w:val="18"/>
        </w:rPr>
        <w:t xml:space="preserve">* Doctor en Justicia Constitucional y Derechos Fundamentales por la Facultad de Derecho de la Universidad de Pisa Italia tesis aprobada con distinción summa cum laude. Especialista en Justicia Constitucional y Tutela Jurisdiccional de los Derechos por la Universidad de Pisa. Máster en Estudios Avanzados de Derecho Europeo y Transnacional y Especialista en Estudios Internacionales por la Universidad de Trento, Italia. Licenciado en Derecho por la Facultad de Derecho de la Universidad de Costa Rica. Ha realizado pasantías profesionales en la Corte Constitucional Italiana, el Tribunal Constitucional Español, en la Corte Interamericana de Derechos Humanos y en Suprema Corte de la Nación de México, así como visiting professor en el Centro de Derecho Público Comparado “Manuel García Pelayo” y en el Instituto de Derechos Humanos “Bartolomé de las Casas”, ambos de la Universidad Carlos III de Madrid, en el Centro di Studi Costituzionali Comparati de la Universidad de Génova, en el Departamento de Derecho Constitucional de la Universidad de Sevilla y en el Dipartimento di Diritto Pubblico de la Universidad de Pisa, Italia. Letrado de la Sala Constitucional y Coordinador de la Maestría en Derecho Comunitario y Derechos Humanos de la Facultad de Derechos UCR </w:t>
      </w:r>
      <w:hyperlink r:id="rId7" w:history="1">
        <w:r w:rsidRPr="009235DC">
          <w:rPr>
            <w:rStyle w:val="Hipervnculo"/>
            <w:rFonts w:ascii="Palatino Linotype" w:hAnsi="Palatino Linotype"/>
            <w:color w:val="auto"/>
            <w:sz w:val="18"/>
            <w:szCs w:val="18"/>
            <w:u w:val="none"/>
          </w:rPr>
          <w:t>www.</w:t>
        </w:r>
        <w:r w:rsidRPr="009235DC">
          <w:rPr>
            <w:rStyle w:val="Hipervnculo"/>
            <w:rFonts w:ascii="Palatino Linotype" w:hAnsi="Palatino Linotype"/>
            <w:bCs/>
            <w:color w:val="auto"/>
            <w:sz w:val="18"/>
            <w:szCs w:val="18"/>
            <w:u w:val="none"/>
          </w:rPr>
          <w:t>derechocomunitario</w:t>
        </w:r>
        <w:r w:rsidRPr="009235DC">
          <w:rPr>
            <w:rStyle w:val="Hipervnculo"/>
            <w:rFonts w:ascii="Palatino Linotype" w:hAnsi="Palatino Linotype"/>
            <w:color w:val="auto"/>
            <w:sz w:val="18"/>
            <w:szCs w:val="18"/>
            <w:u w:val="none"/>
          </w:rPr>
          <w:t>.</w:t>
        </w:r>
        <w:r w:rsidRPr="009235DC">
          <w:rPr>
            <w:rStyle w:val="Hipervnculo"/>
            <w:rFonts w:ascii="Palatino Linotype" w:hAnsi="Palatino Linotype"/>
            <w:bCs/>
            <w:color w:val="auto"/>
            <w:sz w:val="18"/>
            <w:szCs w:val="18"/>
            <w:u w:val="none"/>
          </w:rPr>
          <w:t>ucr</w:t>
        </w:r>
        <w:r w:rsidRPr="009235DC">
          <w:rPr>
            <w:rStyle w:val="Hipervnculo"/>
            <w:rFonts w:ascii="Palatino Linotype" w:hAnsi="Palatino Linotype"/>
            <w:color w:val="auto"/>
            <w:sz w:val="18"/>
            <w:szCs w:val="18"/>
            <w:u w:val="none"/>
          </w:rPr>
          <w:t>.ac.cr</w:t>
        </w:r>
      </w:hyperlink>
      <w:r w:rsidRPr="009235DC">
        <w:rPr>
          <w:rFonts w:ascii="Palatino Linotype" w:hAnsi="Palatino Linotype"/>
          <w:sz w:val="18"/>
          <w:szCs w:val="18"/>
        </w:rPr>
        <w:t xml:space="preserve">. Miembro de la Asociación Mundial de Justicia Constitucional. </w:t>
      </w:r>
    </w:p>
    <w:p w:rsidR="00FC1DF6" w:rsidRPr="009235DC" w:rsidRDefault="00FC1DF6" w:rsidP="00E60FEF">
      <w:pPr>
        <w:pStyle w:val="Textonotapie"/>
        <w:jc w:val="both"/>
        <w:rPr>
          <w:rFonts w:ascii="Palatino Linotype" w:hAnsi="Palatino Linotype"/>
          <w:sz w:val="18"/>
          <w:szCs w:val="18"/>
        </w:rPr>
      </w:pPr>
      <w:r w:rsidRPr="009235DC">
        <w:rPr>
          <w:rFonts w:ascii="Palatino Linotype" w:hAnsi="Palatino Linotype"/>
          <w:sz w:val="18"/>
          <w:szCs w:val="18"/>
        </w:rPr>
        <w:t>** Las opiniones y comentarios contenidos en este artículo no representan necesariamente el criterio oficial de las instituciones en las que el autor labora.</w:t>
      </w:r>
    </w:p>
    <w:p w:rsidR="00FC1DF6" w:rsidRPr="009235DC" w:rsidRDefault="00FC1DF6" w:rsidP="00E60FEF">
      <w:pPr>
        <w:pStyle w:val="Textonotapie"/>
        <w:jc w:val="both"/>
        <w:rPr>
          <w:rFonts w:ascii="Palatino Linotype" w:hAnsi="Palatino Linotype"/>
          <w:sz w:val="18"/>
          <w:szCs w:val="18"/>
        </w:rPr>
      </w:pPr>
      <w:r w:rsidRPr="009235DC">
        <w:rPr>
          <w:rFonts w:ascii="Palatino Linotype" w:hAnsi="Palatino Linotype"/>
          <w:sz w:val="18"/>
          <w:szCs w:val="18"/>
        </w:rPr>
        <w:t xml:space="preserve">*** Agradezco enormemente los comentarios y la información brindada a los giuristas Fernando Cruz Castro y Enrique Ulate Chacón. </w:t>
      </w:r>
    </w:p>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Agradezco al profesor Sergio Artavia Barrantes, Presidente del Instituto Costarricense de Derecho Procesal por la invitación a participar en tan prestigiosa actividad académica.</w:t>
      </w:r>
    </w:p>
  </w:footnote>
  <w:footnote w:id="433">
    <w:p w:rsidR="00FC1DF6" w:rsidRPr="009235DC" w:rsidRDefault="00FC1DF6" w:rsidP="00E60FEF">
      <w:pPr>
        <w:pStyle w:val="Textonotapie"/>
        <w:jc w:val="both"/>
        <w:rPr>
          <w:rFonts w:ascii="Palatino Linotype" w:hAnsi="Palatino Linotype" w:cs="Times New Roman"/>
          <w:sz w:val="18"/>
          <w:szCs w:val="18"/>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Enciclopedia Treccani, término prova. En http://www.treccani.it/enciclopedia/ricerca/prova/</w:t>
      </w:r>
    </w:p>
  </w:footnote>
  <w:footnote w:id="434">
    <w:p w:rsidR="00FC1DF6" w:rsidRPr="009235DC" w:rsidRDefault="00FC1DF6" w:rsidP="00E60FEF">
      <w:pPr>
        <w:pStyle w:val="Textonotapie"/>
        <w:rPr>
          <w:rFonts w:ascii="Palatino Linotype" w:hAnsi="Palatino Linotype" w:cs="Times New Roman"/>
          <w:sz w:val="18"/>
          <w:szCs w:val="18"/>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González Pérez Jesús. Derecho procesal constitucional. Ed. Civitas, Madrid, 1980, p. 172.</w:t>
      </w:r>
    </w:p>
  </w:footnote>
  <w:footnote w:id="435">
    <w:p w:rsidR="00FC1DF6" w:rsidRPr="009235DC" w:rsidRDefault="00FC1DF6" w:rsidP="00E60FEF">
      <w:pPr>
        <w:pStyle w:val="Textonotapie"/>
        <w:jc w:val="both"/>
        <w:rPr>
          <w:rFonts w:ascii="Palatino Linotype" w:hAnsi="Palatino Linotype" w:cs="Times New Roman"/>
          <w:sz w:val="18"/>
          <w:szCs w:val="18"/>
          <w:lang w:val="en-US"/>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Mandrioli Crisanto, Caranta Antonio. </w:t>
      </w:r>
      <w:r w:rsidRPr="009235DC">
        <w:rPr>
          <w:rFonts w:ascii="Palatino Linotype" w:hAnsi="Palatino Linotype" w:cs="Times New Roman"/>
          <w:sz w:val="18"/>
          <w:szCs w:val="18"/>
          <w:lang w:val="en-US"/>
        </w:rPr>
        <w:t>Diritto processuale civile. Ed. Giappichelli, Turín, 2015 p. 165.</w:t>
      </w:r>
    </w:p>
  </w:footnote>
  <w:footnote w:id="436">
    <w:p w:rsidR="00FC1DF6" w:rsidRPr="009235DC" w:rsidRDefault="00FC1DF6" w:rsidP="00E60FEF">
      <w:pPr>
        <w:pStyle w:val="Textonotapie"/>
        <w:jc w:val="both"/>
        <w:rPr>
          <w:rFonts w:ascii="Palatino Linotype" w:hAnsi="Palatino Linotype" w:cs="Times New Roman"/>
          <w:sz w:val="18"/>
          <w:szCs w:val="18"/>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Dentro de la vasta literatura jurídica sobre el tema de la prueba en el ambíto del “diritto processuale” se puede citar: Sandrioli Virgilio. Diritto processuale civile. Ed. Jovene, Napolés, Italia, 1979. Carnelutti Francesco. La prova civile. Ed. CEMAN, 1992. Denti Vittorio. Le prove nel processo civile. Ed. Giuffrè, Milán, 1973.  Conte Mario. Le prove civile. Ed. Giuffrè, Milán, 2005. Leanza Piero. Coordinador. Le prove civil. Ed. Giappicheli, Turín, 2012. </w:t>
      </w:r>
    </w:p>
  </w:footnote>
  <w:footnote w:id="437">
    <w:p w:rsidR="00FC1DF6" w:rsidRPr="009235DC" w:rsidRDefault="00FC1DF6" w:rsidP="00E60FEF">
      <w:pPr>
        <w:pStyle w:val="Textonotapie"/>
        <w:jc w:val="both"/>
        <w:rPr>
          <w:rFonts w:ascii="Palatino Linotype" w:hAnsi="Palatino Linotype" w:cs="Times New Roman"/>
          <w:sz w:val="18"/>
          <w:szCs w:val="18"/>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Enciclopedia Treccani, término prova. </w:t>
      </w:r>
    </w:p>
  </w:footnote>
  <w:footnote w:id="43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Hernández Valle Rubén. La prueba en los procesos constitucionales, p. 184. En Revista Iberoamericana de Derecho Procesal Constitucional, número 5, enero – junio 2006. Ed. Porrúa, Instituto IIDPC.</w:t>
      </w:r>
      <w:r w:rsidRPr="009235DC">
        <w:rPr>
          <w:rFonts w:ascii="Palatino Linotype" w:hAnsi="Palatino Linotype"/>
          <w:sz w:val="18"/>
          <w:szCs w:val="18"/>
        </w:rPr>
        <w:t xml:space="preserve"> </w:t>
      </w:r>
    </w:p>
  </w:footnote>
  <w:footnote w:id="439">
    <w:p w:rsidR="00FC1DF6" w:rsidRPr="009235DC" w:rsidRDefault="00FC1DF6" w:rsidP="00E60FEF">
      <w:pPr>
        <w:pStyle w:val="Textonotapie"/>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cs="Times New Roman"/>
          <w:sz w:val="18"/>
          <w:szCs w:val="18"/>
        </w:rPr>
        <w:t xml:space="preserve">Hernández Valle Rubén. La prueba en los procesos constitucionales, op. cit. p. 185. </w:t>
      </w:r>
    </w:p>
  </w:footnote>
  <w:footnote w:id="440">
    <w:p w:rsidR="00FC1DF6" w:rsidRPr="009235DC" w:rsidRDefault="00FC1DF6" w:rsidP="00E60FEF">
      <w:pPr>
        <w:pStyle w:val="Textonotapie"/>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cs="Times New Roman"/>
          <w:sz w:val="18"/>
          <w:szCs w:val="18"/>
        </w:rPr>
        <w:t xml:space="preserve">   Sentencia número 1994- 3887.</w:t>
      </w:r>
    </w:p>
  </w:footnote>
  <w:footnote w:id="441">
    <w:p w:rsidR="00FC1DF6" w:rsidRPr="009235DC" w:rsidRDefault="00FC1DF6" w:rsidP="00E60FEF">
      <w:pPr>
        <w:pStyle w:val="Textonotapie"/>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cs="Times New Roman"/>
          <w:sz w:val="18"/>
          <w:szCs w:val="18"/>
        </w:rPr>
        <w:t>Hernández Valle Rubén. La prueba en los procesos constitucionales, op. cit. p. 184 y 185.</w:t>
      </w:r>
    </w:p>
  </w:footnote>
  <w:footnote w:id="44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cs="Times New Roman"/>
          <w:sz w:val="18"/>
          <w:szCs w:val="18"/>
        </w:rPr>
        <w:t>Jinesta Lobo Ernesto. Derecho Procesal Constitucional. Ed. Ediciones Guayacán, San José, 2014, p. 182.</w:t>
      </w:r>
    </w:p>
  </w:footnote>
  <w:footnote w:id="443">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cs="Times New Roman"/>
          <w:sz w:val="18"/>
          <w:szCs w:val="18"/>
        </w:rPr>
        <w:t>Mandrioli Crisanto, Caranta Antonio. Diritto processuale civil. Ed. Giappichelli, Turín, 2015 p. 175.</w:t>
      </w:r>
    </w:p>
  </w:footnote>
  <w:footnote w:id="444">
    <w:p w:rsidR="00FC1DF6" w:rsidRPr="009235DC" w:rsidRDefault="00FC1DF6" w:rsidP="00E60FEF">
      <w:pPr>
        <w:jc w:val="both"/>
        <w:rPr>
          <w:rFonts w:ascii="Palatino Linotype" w:hAnsi="Palatino Linotype" w:cs="Times New Roman"/>
          <w:sz w:val="18"/>
          <w:szCs w:val="18"/>
          <w:lang w:val="es-CR"/>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Sobre el recurso de amparo se puede consultar: </w:t>
      </w:r>
      <w:r w:rsidRPr="009235DC">
        <w:rPr>
          <w:rFonts w:ascii="Palatino Linotype" w:hAnsi="Palatino Linotype" w:cs="Times New Roman"/>
          <w:sz w:val="18"/>
          <w:szCs w:val="18"/>
          <w:lang w:val="es-CR"/>
        </w:rPr>
        <w:t>Hernández Valle Rubén. Derecho procesal constitucional. Ed. Juricentro, San José, 2009.</w:t>
      </w:r>
    </w:p>
  </w:footnote>
  <w:footnote w:id="445">
    <w:p w:rsidR="00FC1DF6" w:rsidRPr="009235DC" w:rsidRDefault="00FC1DF6" w:rsidP="00E60FEF">
      <w:pPr>
        <w:pStyle w:val="Textonotapie"/>
        <w:jc w:val="both"/>
        <w:rPr>
          <w:rFonts w:ascii="Palatino Linotype" w:hAnsi="Palatino Linotype" w:cs="Times New Roman"/>
          <w:sz w:val="18"/>
          <w:szCs w:val="18"/>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Ver en este sentido, la sentencia número 3431 de las 4:37 horas del 31 de marzo del 2004. Ese precedente jurisprudencial  ha sido utilizado en una gran cantidad de sentencias por la Sala Constitucional dentro de las cuáles se puede citar: 1998- 8632, 1998-9188, 1999-8632, 2010-7000, 2012- 12875, 2012-14976, 2013-666, 2003-1454, 2013-2235, 2013-9438, 2013-9459, 2013-12907, 2013-15101, 2013- 15829,  2013- 16817, 2014-16924, 2014-19915, 2014-20192, 2014-20240, 2014-20729.  </w:t>
      </w:r>
    </w:p>
  </w:footnote>
  <w:footnote w:id="446">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w:t>
      </w:r>
      <w:r w:rsidRPr="009235DC">
        <w:rPr>
          <w:rFonts w:ascii="Palatino Linotype" w:hAnsi="Palatino Linotype" w:cs="Times New Roman"/>
          <w:sz w:val="18"/>
          <w:szCs w:val="18"/>
          <w:lang w:val="es-ES_tradnl"/>
        </w:rPr>
        <w:t xml:space="preserve">Sobre la fase de admisibilidad que se lleva a cabo en el recurso de amparo se puede consultar </w:t>
      </w:r>
      <w:r w:rsidRPr="009235DC">
        <w:rPr>
          <w:rFonts w:ascii="Palatino Linotype" w:hAnsi="Palatino Linotype" w:cs="Times New Roman"/>
          <w:sz w:val="18"/>
          <w:szCs w:val="18"/>
        </w:rPr>
        <w:t>Jinesta Lobo Ernesto. Derecho Procesal Constitucional. Ed. Ediciones Guayacán, San José, 2014, p. 183 y ss.</w:t>
      </w:r>
      <w:r w:rsidRPr="009235DC">
        <w:rPr>
          <w:rFonts w:ascii="Palatino Linotype" w:hAnsi="Palatino Linotype"/>
          <w:sz w:val="18"/>
          <w:szCs w:val="18"/>
          <w:lang w:val="es-ES_tradnl"/>
        </w:rPr>
        <w:t xml:space="preserve"> </w:t>
      </w:r>
    </w:p>
  </w:footnote>
  <w:footnote w:id="447">
    <w:p w:rsidR="00FC1DF6" w:rsidRPr="009235DC" w:rsidRDefault="00FC1DF6" w:rsidP="00E60FEF">
      <w:pPr>
        <w:pStyle w:val="Textonotapie"/>
        <w:jc w:val="both"/>
        <w:rPr>
          <w:rFonts w:ascii="Palatino Linotype" w:hAnsi="Palatino Linotype" w:cs="Times New Roman"/>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cs="Times New Roman"/>
          <w:sz w:val="18"/>
          <w:szCs w:val="18"/>
        </w:rPr>
        <w:t>Jinesta Lobo Ernesto. Derecho Procesal Constitucional, op cit., p. 182.</w:t>
      </w:r>
    </w:p>
  </w:footnote>
  <w:footnote w:id="448">
    <w:p w:rsidR="00FC1DF6" w:rsidRPr="009235DC" w:rsidRDefault="00FC1DF6" w:rsidP="00E60FEF">
      <w:pPr>
        <w:pStyle w:val="Textonotapie"/>
        <w:jc w:val="both"/>
        <w:rPr>
          <w:rFonts w:ascii="Palatino Linotype" w:hAnsi="Palatino Linotype" w:cs="Times New Roman"/>
          <w:sz w:val="18"/>
          <w:szCs w:val="18"/>
          <w:lang w:val="es-ES_tradnl"/>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Hernández Valle Rubén. La prueba en los procesos constitucionales, op. cit. p. 185. </w:t>
      </w:r>
    </w:p>
  </w:footnote>
  <w:footnote w:id="449">
    <w:p w:rsidR="00FC1DF6" w:rsidRPr="009235DC" w:rsidRDefault="00FC1DF6" w:rsidP="00ED0298">
      <w:pPr>
        <w:jc w:val="both"/>
        <w:rPr>
          <w:rFonts w:ascii="Palatino Linotype" w:hAnsi="Palatino Linotype"/>
          <w:sz w:val="18"/>
          <w:szCs w:val="18"/>
          <w:lang w:val="es-ES_tradnl"/>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Sobre los “poteri istruttori” en la jurisdicción constitucional italiana se puede consultar  </w:t>
      </w:r>
      <w:r w:rsidRPr="009235DC">
        <w:rPr>
          <w:rFonts w:ascii="Palatino Linotype" w:eastAsiaTheme="minorHAnsi" w:hAnsi="Palatino Linotype" w:cs="Times New Roman"/>
          <w:sz w:val="18"/>
          <w:szCs w:val="18"/>
          <w:lang w:val="es-CR"/>
        </w:rPr>
        <w:t xml:space="preserve">Malfatti Elena, Panizza Saulle, Romboli Roberto. </w:t>
      </w:r>
      <w:r w:rsidRPr="009235DC">
        <w:rPr>
          <w:rFonts w:ascii="Palatino Linotype" w:eastAsiaTheme="minorHAnsi" w:hAnsi="Palatino Linotype" w:cs="Times New Roman"/>
          <w:iCs/>
          <w:sz w:val="18"/>
          <w:szCs w:val="18"/>
          <w:lang w:val="es-CR"/>
        </w:rPr>
        <w:t xml:space="preserve">Giustizia Costituzionale. </w:t>
      </w:r>
      <w:r w:rsidRPr="009235DC">
        <w:rPr>
          <w:rFonts w:ascii="Palatino Linotype" w:eastAsiaTheme="minorHAnsi" w:hAnsi="Palatino Linotype" w:cs="Times New Roman"/>
          <w:sz w:val="18"/>
          <w:szCs w:val="18"/>
          <w:lang w:val="es-CR"/>
        </w:rPr>
        <w:t>Ed. Giappichelli, Torino, 2010.</w:t>
      </w:r>
    </w:p>
  </w:footnote>
  <w:footnote w:id="450">
    <w:p w:rsidR="00FC1DF6" w:rsidRPr="009235DC" w:rsidRDefault="00FC1DF6" w:rsidP="00E60FEF">
      <w:pPr>
        <w:pStyle w:val="Textonotapie"/>
        <w:jc w:val="both"/>
        <w:rPr>
          <w:rFonts w:ascii="Palatino Linotype" w:hAnsi="Palatino Linotype" w:cs="Times New Roman"/>
          <w:sz w:val="18"/>
          <w:szCs w:val="18"/>
          <w:lang w:val="es-ES_tradnl"/>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Sentencias números 2017-3516, 2017-3558, 2017-3968, 2017-4124, 2017-4124, 2017-4180, 2017-4197 y 2017-4258, entre otras.</w:t>
      </w:r>
    </w:p>
  </w:footnote>
  <w:footnote w:id="451">
    <w:p w:rsidR="00FC1DF6" w:rsidRPr="009235DC" w:rsidRDefault="00FC1DF6" w:rsidP="00E60FEF">
      <w:pPr>
        <w:pStyle w:val="Textonotapie"/>
        <w:rPr>
          <w:rFonts w:ascii="Palatino Linotype" w:hAnsi="Palatino Linotype"/>
          <w:sz w:val="18"/>
          <w:szCs w:val="18"/>
          <w:lang w:val="es-ES_tradnl"/>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Hernández Valle Rubén. La prueba en los procesos constitucionales, op. cit. p. 185.</w:t>
      </w:r>
    </w:p>
  </w:footnote>
  <w:footnote w:id="452">
    <w:p w:rsidR="00FC1DF6" w:rsidRPr="009235DC" w:rsidRDefault="00FC1DF6" w:rsidP="00E60FEF">
      <w:pPr>
        <w:pStyle w:val="Textonotapie"/>
        <w:jc w:val="both"/>
        <w:rPr>
          <w:rFonts w:ascii="Palatino Linotype" w:hAnsi="Palatino Linotype" w:cs="Times New Roman"/>
          <w:sz w:val="18"/>
          <w:szCs w:val="18"/>
          <w:lang w:val="es-ES_tradnl"/>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Jinesta Lobo Ernesto. Derecho Procesal Constitucional. Ed. Ediciones Guayacán, San José, 2014, p. 170. </w:t>
      </w:r>
    </w:p>
  </w:footnote>
  <w:footnote w:id="453">
    <w:p w:rsidR="00FC1DF6" w:rsidRPr="009235DC" w:rsidRDefault="00FC1DF6" w:rsidP="00E60FEF">
      <w:pPr>
        <w:pStyle w:val="Textonotapie"/>
        <w:jc w:val="both"/>
        <w:rPr>
          <w:rFonts w:ascii="Palatino Linotype" w:hAnsi="Palatino Linotype"/>
          <w:sz w:val="18"/>
          <w:szCs w:val="18"/>
          <w:lang w:val="es-ES_tradnl"/>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w:t>
      </w:r>
      <w:r w:rsidRPr="009235DC">
        <w:rPr>
          <w:rFonts w:ascii="Palatino Linotype" w:hAnsi="Palatino Linotype" w:cs="Times New Roman"/>
          <w:sz w:val="18"/>
          <w:szCs w:val="18"/>
          <w:lang w:val="es-ES_tradnl"/>
        </w:rPr>
        <w:t xml:space="preserve">Sobre el recurso de hábeas corpus se puede consultar: Jinesta Lobo Ernesto. Proceso de Hábeas Corpus, p. 101 – 119. </w:t>
      </w:r>
      <w:r w:rsidRPr="009235DC">
        <w:rPr>
          <w:rFonts w:ascii="Palatino Linotype" w:hAnsi="Palatino Linotype" w:cs="Times New Roman"/>
          <w:bCs/>
          <w:sz w:val="18"/>
          <w:szCs w:val="18"/>
        </w:rPr>
        <w:t>En Derecho Penal y Constitución. Libro en homenaje del Dr. Luis Paulino Mora Mora. González Álvarez Daniel y Llobet Rodríguez Javier coordinadores. Corte Suprema de Justicia, Asociación de Ciencias Penales de Costa Rica. Maestría en Ciencias Penales de Costa Rica, volumen I.</w:t>
      </w:r>
      <w:r w:rsidRPr="009235DC">
        <w:rPr>
          <w:rFonts w:ascii="Palatino Linotype" w:hAnsi="Palatino Linotype"/>
          <w:bCs/>
          <w:sz w:val="18"/>
          <w:szCs w:val="18"/>
        </w:rPr>
        <w:t xml:space="preserve"> </w:t>
      </w:r>
    </w:p>
  </w:footnote>
  <w:footnote w:id="454">
    <w:p w:rsidR="00FC1DF6" w:rsidRPr="009235DC" w:rsidRDefault="00FC1DF6" w:rsidP="00E60FEF">
      <w:pPr>
        <w:pStyle w:val="Textonotapie"/>
        <w:rPr>
          <w:rFonts w:ascii="Palatino Linotype" w:hAnsi="Palatino Linotype" w:cs="Times New Roman"/>
          <w:sz w:val="18"/>
          <w:szCs w:val="18"/>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Al respecto, se puede consultar las sentencias números 1994-1142 y 2010-13077. </w:t>
      </w:r>
    </w:p>
  </w:footnote>
  <w:footnote w:id="455">
    <w:p w:rsidR="00FC1DF6" w:rsidRPr="009235DC" w:rsidRDefault="00FC1DF6" w:rsidP="00E60FEF">
      <w:pPr>
        <w:pStyle w:val="Textonotapie"/>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cs="Times New Roman"/>
          <w:sz w:val="18"/>
          <w:szCs w:val="18"/>
        </w:rPr>
        <w:t>Jinesta Lobo Ernesto. Derecho Procesal Constitucional, op. cit.  p. 114.</w:t>
      </w:r>
    </w:p>
  </w:footnote>
  <w:footnote w:id="456">
    <w:p w:rsidR="00FC1DF6" w:rsidRPr="009235DC" w:rsidRDefault="00FC1DF6" w:rsidP="00E60FEF">
      <w:pPr>
        <w:pStyle w:val="Textonotapie"/>
        <w:rPr>
          <w:rFonts w:ascii="Palatino Linotype" w:hAnsi="Palatino Linotype"/>
          <w:sz w:val="18"/>
          <w:szCs w:val="18"/>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Sentencia número 2004-11382.</w:t>
      </w:r>
      <w:r w:rsidRPr="009235DC">
        <w:rPr>
          <w:rFonts w:ascii="Palatino Linotype" w:hAnsi="Palatino Linotype"/>
          <w:sz w:val="18"/>
          <w:szCs w:val="18"/>
        </w:rPr>
        <w:t xml:space="preserve"> </w:t>
      </w:r>
    </w:p>
  </w:footnote>
  <w:footnote w:id="457">
    <w:p w:rsidR="00FC1DF6" w:rsidRPr="009235DC" w:rsidRDefault="00FC1DF6" w:rsidP="00E60FEF">
      <w:pPr>
        <w:pStyle w:val="Textonotapie"/>
        <w:rPr>
          <w:rFonts w:ascii="Palatino Linotype" w:hAnsi="Palatino Linotype" w:cs="Times New Roman"/>
          <w:sz w:val="18"/>
          <w:szCs w:val="18"/>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Sentencias números 2015-12947, 2015-18824 y 2016-11363</w:t>
      </w:r>
    </w:p>
  </w:footnote>
  <w:footnote w:id="458">
    <w:p w:rsidR="00FC1DF6" w:rsidRPr="009235DC" w:rsidRDefault="00FC1DF6" w:rsidP="00E60FEF">
      <w:pPr>
        <w:jc w:val="both"/>
        <w:rPr>
          <w:rFonts w:ascii="Palatino Linotype" w:hAnsi="Palatino Linotype" w:cs="Times New Roman"/>
          <w:sz w:val="18"/>
          <w:szCs w:val="18"/>
          <w:lang w:val="es-CR"/>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lang w:val="it-IT"/>
        </w:rPr>
        <w:t xml:space="preserve"> Cfr. Miranda Bonilla Haideer. </w:t>
      </w:r>
      <w:r w:rsidRPr="009235DC">
        <w:rPr>
          <w:rFonts w:ascii="Palatino Linotype" w:hAnsi="Palatino Linotype" w:cs="Times New Roman"/>
          <w:sz w:val="18"/>
          <w:szCs w:val="18"/>
          <w:lang w:val="es-CR"/>
        </w:rPr>
        <w:t>Diálogo judicial interamericano entre constitucionalidad convencionalidad. Ed. Nueva Jurídica, Bogotá, Colombia, 2016. ID. La utilización de precedentes constitucionales extranjeros por la Sala Constitucional. En Revista Judicial Corte Suprema de Justicia, número 120, enero 2017, San José.</w:t>
      </w:r>
    </w:p>
  </w:footnote>
  <w:footnote w:id="459">
    <w:p w:rsidR="00FC1DF6" w:rsidRPr="009235DC" w:rsidRDefault="00FC1DF6" w:rsidP="00E60FEF">
      <w:pPr>
        <w:pStyle w:val="Textonotapie"/>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cs="Times New Roman"/>
          <w:sz w:val="18"/>
          <w:szCs w:val="18"/>
        </w:rPr>
        <w:t>Hernández Valle Rubén. La prueba en los procesos constitucionales, op cit. p. 188 – 191.</w:t>
      </w:r>
    </w:p>
  </w:footnote>
  <w:footnote w:id="460">
    <w:p w:rsidR="00FC1DF6" w:rsidRPr="009235DC" w:rsidRDefault="00FC1DF6" w:rsidP="00E60FEF">
      <w:pPr>
        <w:pStyle w:val="Textonotapie"/>
        <w:rPr>
          <w:rFonts w:ascii="Palatino Linotype" w:hAnsi="Palatino Linotype" w:cs="Times New Roman"/>
          <w:sz w:val="18"/>
          <w:szCs w:val="18"/>
          <w:lang w:val="es-ES_tradnl"/>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Sentencia número 1999-5236. </w:t>
      </w:r>
    </w:p>
  </w:footnote>
  <w:footnote w:id="461">
    <w:p w:rsidR="00FC1DF6" w:rsidRPr="009235DC" w:rsidRDefault="00FC1DF6" w:rsidP="00E60FEF">
      <w:pPr>
        <w:jc w:val="both"/>
        <w:rPr>
          <w:rFonts w:ascii="Palatino Linotype" w:hAnsi="Palatino Linotype" w:cs="Times New Roman"/>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eastAsiaTheme="minorHAnsi" w:hAnsi="Palatino Linotype" w:cs="Times New Roman"/>
          <w:sz w:val="18"/>
          <w:szCs w:val="18"/>
          <w:lang w:val="es-CR"/>
        </w:rPr>
        <w:t xml:space="preserve">Malfatti Elena, Panizza Saulle, Romboli Roberto. </w:t>
      </w:r>
      <w:r w:rsidRPr="009235DC">
        <w:rPr>
          <w:rFonts w:ascii="Palatino Linotype" w:eastAsiaTheme="minorHAnsi" w:hAnsi="Palatino Linotype" w:cs="Times New Roman"/>
          <w:iCs/>
          <w:sz w:val="18"/>
          <w:szCs w:val="18"/>
          <w:lang w:val="es-CR"/>
        </w:rPr>
        <w:t xml:space="preserve">Giustizia Costituzionale. </w:t>
      </w:r>
      <w:r w:rsidRPr="009235DC">
        <w:rPr>
          <w:rFonts w:ascii="Palatino Linotype" w:eastAsiaTheme="minorHAnsi" w:hAnsi="Palatino Linotype" w:cs="Times New Roman"/>
          <w:sz w:val="18"/>
          <w:szCs w:val="18"/>
          <w:lang w:val="es-CR"/>
        </w:rPr>
        <w:t>Ed. Giappichelli, Torino, 2010.</w:t>
      </w:r>
      <w:r w:rsidRPr="009235DC">
        <w:rPr>
          <w:rFonts w:ascii="Palatino Linotype" w:hAnsi="Palatino Linotype" w:cs="Times New Roman"/>
          <w:sz w:val="18"/>
          <w:szCs w:val="18"/>
        </w:rPr>
        <w:t xml:space="preserve"> </w:t>
      </w:r>
      <w:r w:rsidRPr="009235DC">
        <w:rPr>
          <w:rFonts w:ascii="Palatino Linotype" w:hAnsi="Palatino Linotype" w:cs="Times New Roman"/>
          <w:sz w:val="18"/>
          <w:szCs w:val="18"/>
          <w:lang w:val="es-CR"/>
        </w:rPr>
        <w:t xml:space="preserve">Pisaneschi Andrea. Diritto Costituzionale. Ed. Giappichelli, Torino, 2016. </w:t>
      </w:r>
    </w:p>
  </w:footnote>
  <w:footnote w:id="462">
    <w:p w:rsidR="00FC1DF6" w:rsidRPr="009235DC" w:rsidRDefault="00FC1DF6" w:rsidP="00E60FEF">
      <w:pPr>
        <w:pStyle w:val="Textonotapie"/>
        <w:rPr>
          <w:rFonts w:ascii="Palatino Linotype" w:hAnsi="Palatino Linotype"/>
          <w:sz w:val="18"/>
          <w:szCs w:val="18"/>
          <w:lang w:val="es-ES_tradnl"/>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Sentencia número 1994-3887.</w:t>
      </w:r>
    </w:p>
  </w:footnote>
  <w:footnote w:id="463">
    <w:p w:rsidR="00FC1DF6" w:rsidRPr="009235DC" w:rsidRDefault="00FC1DF6" w:rsidP="00E60FEF">
      <w:pPr>
        <w:pStyle w:val="Textonotapie"/>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cs="Times New Roman"/>
          <w:sz w:val="18"/>
          <w:szCs w:val="18"/>
        </w:rPr>
        <w:t>Jinesta Lobo Ernesto. Derecho Procesal Constitucional, op. cit.  p. 115, 203 y 204.</w:t>
      </w:r>
    </w:p>
  </w:footnote>
  <w:footnote w:id="464">
    <w:p w:rsidR="00FC1DF6" w:rsidRPr="009235DC" w:rsidRDefault="00FC1DF6" w:rsidP="00E60FEF">
      <w:pPr>
        <w:pStyle w:val="Textonotapie"/>
        <w:rPr>
          <w:rFonts w:ascii="Palatino Linotype" w:hAnsi="Palatino Linotype" w:cs="Times New Roman"/>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cs="Times New Roman"/>
          <w:sz w:val="18"/>
          <w:szCs w:val="18"/>
        </w:rPr>
        <w:t>Jinesta Lobo Ernesto. Derecho Procesal Constitucional, op. cit.  p. 114.</w:t>
      </w:r>
    </w:p>
  </w:footnote>
  <w:footnote w:id="465">
    <w:p w:rsidR="00FC1DF6" w:rsidRPr="009235DC" w:rsidRDefault="00FC1DF6" w:rsidP="00E60FEF">
      <w:pPr>
        <w:pStyle w:val="Textonotapie"/>
        <w:rPr>
          <w:rFonts w:ascii="Palatino Linotype" w:hAnsi="Palatino Linotype"/>
          <w:sz w:val="18"/>
          <w:szCs w:val="18"/>
          <w:lang w:val="es-ES_tradnl"/>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w:t>
      </w:r>
      <w:r w:rsidRPr="009235DC">
        <w:rPr>
          <w:rFonts w:ascii="Palatino Linotype" w:hAnsi="Palatino Linotype" w:cs="Times New Roman"/>
          <w:sz w:val="18"/>
          <w:szCs w:val="18"/>
          <w:lang w:val="es-ES_tradnl"/>
        </w:rPr>
        <w:t>Sentencia 1994-3887.</w:t>
      </w:r>
    </w:p>
  </w:footnote>
  <w:footnote w:id="466">
    <w:p w:rsidR="00FC1DF6" w:rsidRPr="009235DC" w:rsidRDefault="00FC1DF6" w:rsidP="00E60FEF">
      <w:pPr>
        <w:pStyle w:val="Textonotapie"/>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cs="Times New Roman"/>
          <w:sz w:val="18"/>
          <w:szCs w:val="18"/>
        </w:rPr>
        <w:t>Jinesta Lobo Ernesto. Manual del proceso contencioso – administrativo. Ed. Jurídica Continental, San José, 2009, pp. 201 – 201.</w:t>
      </w:r>
    </w:p>
  </w:footnote>
  <w:footnote w:id="467">
    <w:p w:rsidR="00FC1DF6" w:rsidRPr="009235DC" w:rsidRDefault="00FC1DF6" w:rsidP="00E60FEF">
      <w:pPr>
        <w:pStyle w:val="Textonotapie"/>
        <w:rPr>
          <w:rFonts w:ascii="Palatino Linotype" w:hAnsi="Palatino Linotype" w:cs="Times New Roman"/>
          <w:sz w:val="18"/>
          <w:szCs w:val="18"/>
          <w:lang w:val="es-ES_tradnl"/>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w:t>
      </w:r>
      <w:r w:rsidRPr="009235DC">
        <w:rPr>
          <w:rFonts w:ascii="Palatino Linotype" w:hAnsi="Palatino Linotype" w:cs="Times New Roman"/>
          <w:sz w:val="18"/>
          <w:szCs w:val="18"/>
          <w:lang w:val="es-ES_tradnl"/>
        </w:rPr>
        <w:t>Sentencia número 1994-3887.</w:t>
      </w:r>
    </w:p>
  </w:footnote>
  <w:footnote w:id="468">
    <w:p w:rsidR="00FC1DF6" w:rsidRPr="009235DC" w:rsidRDefault="00FC1DF6" w:rsidP="00E60FEF">
      <w:pPr>
        <w:pStyle w:val="Textonotapie"/>
        <w:rPr>
          <w:rFonts w:ascii="Palatino Linotype" w:hAnsi="Palatino Linotype" w:cs="Times New Roman"/>
          <w:sz w:val="18"/>
          <w:szCs w:val="18"/>
          <w:lang w:val="es-ES_tradnl"/>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Sala Constitucional, sentencia 2014 -7274.</w:t>
      </w:r>
    </w:p>
  </w:footnote>
  <w:footnote w:id="469">
    <w:p w:rsidR="00FC1DF6" w:rsidRPr="009235DC" w:rsidRDefault="00FC1DF6" w:rsidP="00E60FEF">
      <w:pPr>
        <w:pStyle w:val="Textonotapie"/>
        <w:rPr>
          <w:rFonts w:ascii="Palatino Linotype" w:hAnsi="Palatino Linotype"/>
          <w:sz w:val="18"/>
          <w:szCs w:val="18"/>
          <w:lang w:val="es-ES_tradnl"/>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cs="Times New Roman"/>
          <w:sz w:val="18"/>
          <w:szCs w:val="18"/>
        </w:rPr>
        <w:t>Hernández Valle Rubén. La prueba en los procesos constitucionales, op cit. p. 188 – 191.</w:t>
      </w:r>
    </w:p>
  </w:footnote>
  <w:footnote w:id="470">
    <w:p w:rsidR="00FC1DF6" w:rsidRPr="009235DC" w:rsidRDefault="00FC1DF6" w:rsidP="00E60FEF">
      <w:pPr>
        <w:pStyle w:val="Textonotapie"/>
        <w:jc w:val="both"/>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El presente artículo es una adaptación del título II, capítulo VIII del libro: “El proceso ambiental en Costa Rica”, en coautoría con el Dr. Rafael González Ballar.    </w:t>
      </w:r>
    </w:p>
  </w:footnote>
  <w:footnote w:id="471">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Coordinador de la Maestría en Derecho Ambiental de la Universidad de Costa Rica. Profesor de la Facultad de Derecho de la Universidad de Costa Rica y de las Maestrías en Derecho Ambiental y Derecho Público Comparado Franco-latinoamericano del Sistema de Estudios de Posgrados de la Universidad de Costa Rica. Miembro de la Comisión de Derecho Ambiental de la Unión Internacional para la Conservación de la Naturaleza UICN y corresponsal nacional del Centre International de Droit Comparé de l´Environnement CIDCE. Correo: mariopenachacon@gmail.com</w:t>
      </w:r>
    </w:p>
  </w:footnote>
  <w:footnote w:id="472">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En lo referente a la relación de causalidad se tienen en doctrina analizadas dos tendencias, la de la equivalencia de las condiciones y la de la causa eficiente única o más próxima. En este sentido es importante recomendar que, por la complejidad de los asuntos ambientales, el operador jurídico funcionario de la Administración o Juez debe tomar más en cuenta la teoría de la equivalencia de las condiciones primero cuando no sea tan evidente una causa eficiente y única.  Una vez establecida la relación de causalidad solo se puede romper el nexo causal por tres razones la fuerza mayor, la culpa de la víctima o el hecho de un tercero art. 191 de la LGAP. Nos parece que el operador jurídico de nuevo debe tener claro que en lo tiene que ver con el daño ambiental puro, así conceptualizado por la jurisprudencia de la Sala Primera que se mencionará, debe tener cuidado con hablar de rompimiento del nexo causal por culpa de la víctima. ¿Nos preguntamos puede el ambiente los ecosistemas, un nicho, una biota, una especie etc. afectado por un daño, ser responsable de su autodestrucción o autodaño? En pocas palabras cuando se trata del ambiente no puede alegarse culpa de la víctima que rompa dicho nexo o lo sería pero en un caso extremo o en una interpretación antropocéntrica buscar siempre una víctima o grupo afectado a pesar de ser evidente el daño causado al ambiente</w:t>
      </w:r>
    </w:p>
  </w:footnote>
  <w:footnote w:id="47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Cafferatta N. Prueba y Nexo de causalidad en el daño ambiental. Revista de Derecho Ambiental, número 0, noviembre 2004, Editorial Lexis Nexis, Argentina, 2004.</w:t>
      </w:r>
    </w:p>
  </w:footnote>
  <w:footnote w:id="47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Goldeberg, I.  Daño Ambiental, Problemática de la determinación causal. Editorial Abeledo Perrot.  Argentina.  2001.</w:t>
      </w:r>
    </w:p>
  </w:footnote>
  <w:footnote w:id="47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Cafferatta N. Op. cit.</w:t>
      </w:r>
    </w:p>
  </w:footnote>
  <w:footnote w:id="476">
    <w:p w:rsidR="00FC1DF6" w:rsidRPr="009235DC" w:rsidRDefault="00FC1DF6" w:rsidP="00ED0298">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MX"/>
        </w:rPr>
        <w:t>Al respecto la sentencia constitucional número 2000-1669 de las 14:51 horas del 18 de febrero del 2000 expresó: “</w:t>
      </w:r>
      <w:r w:rsidRPr="009235DC">
        <w:rPr>
          <w:rFonts w:ascii="Palatino Linotype" w:hAnsi="Palatino Linotype"/>
          <w:iCs/>
          <w:sz w:val="18"/>
          <w:szCs w:val="18"/>
          <w:lang w:val="es-MX"/>
        </w:rPr>
        <w:t>Previo al análisis de fondo del presente recurso, debe señalarse que dentro de la problemática de la destrucción al medio ambiente, destaca como un punto de especial relevancia el tema de la responsabilidad por daño ambiental, al cual se le ha dado un trato diferente, tomando en consideración las características propias de la materia de que se trata.  El Estado, para asegurarse de alguna manera el resarcimiento por los daños ocasionados al medio ambiente, ha creado una serie de normas en las que se regula lo referente a la responsabilidad ambiental, sin perder de vista, eso sí, el necesario equilibrio que ha de existir entre la protección del ambiente y el desarrollo de las actividades de los particulares.  En el Derecho ambiental se ha dado un planteamiento distinto a la responsabilidad, de tal suerte que se ha evolucionado de un sistema de responsabilidad por culpa a uno por responsabilidad por riesgo, lo que significa una mayor cobertura, pues dicha responsabilidad surgiría aun cuando no medie culpa del trasgresor, si la actividad por éste despeñada se estima riesgosa y, no obstante, asume ese riesgo, con una consecuencia dañosa para el ambiente.  Se trata de un nuevo concepto de responsabilidad donde lo que priva es el criterio objetivo sobre el subjetivo, puesto que para su surgimiento es irrelevante si se actuó o no con culpa; basta con que el daño haya sido efectivamente ocasionado, para que de inmediato surja la consecuente responsabilidad.  Así las cosas, en muchas ocasiones no es posible determinar, ni al culpable, ni la norma legal infringida, pues en la mayoría de los casos el daño es producto de una omisión, pero ciertamente se perjudica a terceras personas o Estados, las o los que necesariamente son objeto de indemnización.  Dentro de este contexto es que debe entenderse el contenido del artículo 101 de la Ley Orgánica del Ambiente</w:t>
      </w:r>
      <w:r w:rsidRPr="009235DC">
        <w:rPr>
          <w:rFonts w:ascii="Palatino Linotype" w:hAnsi="Palatino Linotype"/>
          <w:sz w:val="18"/>
          <w:szCs w:val="18"/>
          <w:lang w:val="es-MX"/>
        </w:rPr>
        <w:t xml:space="preserve">”. // De forma similar, </w:t>
      </w:r>
      <w:r w:rsidRPr="009235DC">
        <w:rPr>
          <w:rFonts w:ascii="Palatino Linotype" w:hAnsi="Palatino Linotype"/>
          <w:sz w:val="18"/>
          <w:szCs w:val="18"/>
        </w:rPr>
        <w:t xml:space="preserve">la Sala Primera de Casación mediante la sentencia de las </w:t>
      </w:r>
      <w:r w:rsidRPr="009235DC">
        <w:rPr>
          <w:rFonts w:ascii="Palatino Linotype" w:hAnsi="Palatino Linotype"/>
          <w:sz w:val="18"/>
          <w:szCs w:val="18"/>
          <w:lang w:val="es-MX"/>
        </w:rPr>
        <w:t>dieciséis horas del seis de junio de dos mil uno</w:t>
      </w:r>
      <w:r w:rsidRPr="009235DC">
        <w:rPr>
          <w:rFonts w:ascii="Palatino Linotype" w:hAnsi="Palatino Linotype"/>
          <w:sz w:val="18"/>
          <w:szCs w:val="18"/>
        </w:rPr>
        <w:t xml:space="preserve"> dispuso:   “....desde los más remotos documentos jurídicos este criterio siempre ha imperado porque no puede obligarse a la víctima a probar el nexo de causalidad, como si acontece con la responsabilidad subjetiva, si el agente dañoso ha asumido un riesgo, aun cuando sea bajo una dimensión de una actividad lícita, si dentro de los posibles efectos  se puede incluir el causarle un mal a terceros”.  La Sala Primera de Casación deja claro que en materia ambiental, no se aplica la responsabilidad subjetiva, alegando que en dicha hipótesis, el damnificado debe probar el nexo de causalidad entre la acción de un agente dañino y los perjuicios sufridos.  “En la responsabilidad objetiva la simple existencia del daño reputa la responsabilidad en el agente dañino de haber sido el causante del daño, y por consiguiente el responsable de indemnizar los daños y perjuicios causados con su conducta.  Quien asume un riesgo donde exista peligrosidad, debe responder por todos los daños causados por dicha peligrosidad, incluyendo si la conducta es lícita.  El ordenamiento parte de la culpabilidad de quien asumió el riesgo y la peligrosidad, siendo las únicas causas eximentes de responsabilidad   la fuerza mayor, la culpa de la víctima o el hecho de un tercero.”  </w:t>
      </w:r>
    </w:p>
  </w:footnote>
  <w:footnote w:id="47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Cafferatta N., Proceso Colectivo Ambienta a la luz de la Ley 25675 General del Ambiente.  Revista de Direito Ambiental, año 8, enero – marzo 2003, Editora Dos Tribunais, Brasil, 2003.</w:t>
      </w:r>
    </w:p>
  </w:footnote>
  <w:footnote w:id="47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Cafferatta N. Op. cit.</w:t>
      </w:r>
    </w:p>
  </w:footnote>
  <w:footnote w:id="479">
    <w:p w:rsidR="00FC1DF6" w:rsidRPr="009235DC" w:rsidRDefault="00FC1DF6" w:rsidP="00E60FEF">
      <w:pPr>
        <w:widowControl/>
        <w:jc w:val="both"/>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eastAsia="Times New Roman" w:hAnsi="Palatino Linotype" w:cs="Times New Roman"/>
          <w:sz w:val="18"/>
          <w:szCs w:val="18"/>
        </w:rPr>
        <w:t>Juez suplente del Juzgado Especializado de Cobro Judicial Segundo Circuito Judicial de San José</w:t>
      </w:r>
    </w:p>
  </w:footnote>
  <w:footnote w:id="48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Para un más amplio desarrollo de las pruebas en materia agraria consúltese ULATE, E. Tratado de Derecho Procesal Agrario, Tomo II, San José, Editorial Guayacán-Editorial Sapiencia, Universidad Escuela Libre de Derecho, 1ª. Ed. 1999. En particular el Título II.</w:t>
      </w:r>
    </w:p>
  </w:footnote>
  <w:footnote w:id="481">
    <w:p w:rsidR="00FC1DF6" w:rsidRPr="009235DC" w:rsidRDefault="00FC1DF6" w:rsidP="00E60FEF">
      <w:pPr>
        <w:pStyle w:val="Textonotapie"/>
        <w:jc w:val="both"/>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Ley de Jurisdicción Agraria N° 6734 del 29 de marzo de 1982.</w:t>
      </w:r>
    </w:p>
  </w:footnote>
  <w:footnote w:id="48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Proyecto de Código Procesal Agrario, Asamblea Legislativa de Costa Rica, Expediente No. 15887. Texto actualizado al 21/09/2016.</w:t>
      </w:r>
    </w:p>
  </w:footnote>
  <w:footnote w:id="48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Nueva Reforma Procesal Laboral, Ley N° 9343 de 25 de enero del 2016, publicada en el Alcance digital N° 6 de La Gaceta No. 16 del 25 de enero del 2016.</w:t>
      </w:r>
    </w:p>
  </w:footnote>
  <w:footnote w:id="48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Nuevo Código Procesal Civil, Ley No. 9342. Publicado en el Alcance Digital N° 54 de La Gaceta No. 68 del viernes 08 de abril del 2016 rige 30 meses después de su publicación.</w:t>
      </w:r>
    </w:p>
  </w:footnote>
  <w:footnote w:id="485">
    <w:p w:rsidR="00FC1DF6" w:rsidRPr="009235DC" w:rsidRDefault="00FC1DF6" w:rsidP="00E60FEF">
      <w:pPr>
        <w:jc w:val="both"/>
        <w:rPr>
          <w:rFonts w:ascii="Palatino Linotype" w:hAnsi="Palatino Linotype" w:cs="Times New Roman"/>
          <w:sz w:val="18"/>
          <w:szCs w:val="18"/>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“Para estos Países, oralidad significa, principalmente, realización de un amplio programa de reformas procesales, entre las cuales emergen:  a La abolición de todos los arcaicos residuos del sistema de prueba legal, como el juramento decisorio vinculante para el juez, el interrogatorio escrito y formal de las partes, la prohibición del testimonio de las partes y de los terceros interesados, …y correspondientemente la sustitución de tales residuos por un sistema de valoración de las pruebas dejado a la apreciación crítica del juez, y que se apoye sobre institutos probatorios simples y flexibles como la comparecencia personal de las partes ante el juez y el examen oral de los testigos en la audiencia, desarrollando de manera espontánea e informal y no vinculando a cuestiones o “artículos” preconstituídos por escritos; b La inmediación de las relaciones entre el órgano decisor juez único o colegio y los elementos de convicción: partes, testigos, peritos, lugares, cosas. Tal inmediación es, en efecto, la atmósfera necesaria para un sistema de libre admisión y de valoración “crítica” de las pruebas; lo que a su vez comporta: La sustanciación oral de la causa en una audiencia única o en pocas audiencias próximas, al objeto de no perder, a causa de un proceso demasiado diluido en el tiempo, las ventajas de la inmediación de la relación entre el juez y los elementos de prueba. La audiencia debe entenderse, obviamente, no como pura y simple discusión oral, que versa ante todo sobre las cuestiones de derecho, o sea como oratoria forense, sino principalmente como asunción y discusión de las pruebas frente al órgano decisor. Cappelletti Mauro. La Oralidad y las pruebas en el Proceso Civil. Buenos Aires, Ediciones Jurídicas, Europa-América, 1972, pág. 76-77.</w:t>
      </w:r>
    </w:p>
  </w:footnote>
  <w:footnote w:id="486">
    <w:p w:rsidR="00FC1DF6" w:rsidRPr="009235DC" w:rsidRDefault="00FC1DF6" w:rsidP="00E60FEF">
      <w:pPr>
        <w:jc w:val="both"/>
        <w:rPr>
          <w:rFonts w:ascii="Palatino Linotype" w:hAnsi="Palatino Linotype" w:cs="Times New Roman"/>
          <w:sz w:val="18"/>
          <w:szCs w:val="18"/>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w:t>
      </w:r>
      <w:r w:rsidRPr="009235DC">
        <w:rPr>
          <w:rFonts w:ascii="Palatino Linotype" w:hAnsi="Palatino Linotype" w:cs="Times New Roman"/>
          <w:spacing w:val="-3"/>
          <w:sz w:val="18"/>
          <w:szCs w:val="18"/>
          <w:lang w:val="es-ES_tradnl"/>
        </w:rPr>
        <w:t xml:space="preserve">“…En cuanto a la tercera, sea con relación al sistema de la Ley de Jurisdicción Agraria, el principio de la verdad real está inmerso dentro del sistema procesal que ha de aplicarse a la competencia agraria, solo que por el principio de celeridad que caracteriza dicho proceso el auto que rechace una prueba ofrecida por las partes carecería de recurso, pero el mismo puede ser revocado dentro de las veinticuatro horas siguientes a su dictado de oficio o a petición de parte, quien hará las observaciones del caso. Es obvio que en cuanto al punto que se analiza, es más claro el actual Código Procesal Civil, por ser este de reciente promulgación y contener concepciones modernas del derecho procesal, pero de acuerdo a la Ley de Jurisdicción Agraria, se puede concluir que el principio de la verdad real es consustancial del proceso agrario y que el Juez también desde un principio por iniciativa propia puede ordenar de oficio prueba, tratar de determinar la verdad real. En los escritos de demanda, contestación a ésta, reconvención y réplica, las partes deben de ofrecer las pruebas, en ello es igual al Código Procesal Civil. También el Juez tiene el poder de ordenar la corrección de la demanda o contrademanda. El Juez puede también sin necesidad de resolución que así lo determine declarar inevacuable las pruebas que no se han evacuado en las que no haya mediado culpa del despacho. Al respecto ver los artículos 38, 52 y 53 de la Ley de Jurisdicción Agraria” </w:t>
      </w:r>
      <w:r w:rsidRPr="009235DC">
        <w:rPr>
          <w:rFonts w:ascii="Palatino Linotype" w:hAnsi="Palatino Linotype" w:cs="Times New Roman"/>
          <w:sz w:val="18"/>
          <w:szCs w:val="18"/>
        </w:rPr>
        <w:t>Tribunal Agrario, No. 850 de las 14:10 horas del 25 de noviembre de 1994.</w:t>
      </w:r>
    </w:p>
  </w:footnote>
  <w:footnote w:id="48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Devis Echandia Hernando. Teoría General de la Prueba Judicial. Tomo I,  Bogotá, Temis, 2002, 5a. edición, pág 19.</w:t>
      </w:r>
    </w:p>
  </w:footnote>
  <w:footnote w:id="48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Devis Echandia. Teoría General, op. cit., pág. 25.</w:t>
      </w:r>
    </w:p>
  </w:footnote>
  <w:footnote w:id="489">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Campos Rivera Domingo. Derecho procesal Agrario, Bogotá, Colombia, Editorial Temis, 1993, pág. 134.</w:t>
      </w:r>
    </w:p>
  </w:footnote>
  <w:footnote w:id="49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Todo lo anterior, lejos de ser una debilidad, se convierte en una fortaleza del proceso agrario, en las tendencias modernas a nivel latinoamericano, donde se aboga por esta apertura. Así Bejarano Guzmán Ramiro. La revisión del Código Procesal Civil Modelo. En: Revista Iberoamericana de Derecho procesal. Buenos Aires, Argentina, 2012, Año IX-N°14, p. 21-23. Quien propone la incorporación del principio dinámico de la prueba, los documentos sin soporte físico, o virtuales, y el reconocimiento de los dictámenes privados  y su discusión en la inspección judicial o en el juicio.</w:t>
      </w:r>
    </w:p>
  </w:footnote>
  <w:footnote w:id="49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Sobre la aplicación de la prueba científica,  toma cada vez mayor relevancia, por ejemplo en temas relacionados con el Derecho Agrario y la seguridad agroalimentaria, la sanidad animal y protección del consumidor. En un caso concreto reciente, referido a las pruebas de Tamiz y Rosa de Vengala para determinar una enfermedad de brucelosis en ganado, y su análisis científico, así como las consecuencias y aplicación del principio preventivo, véase la sentencia. Tribunal Agrario, No. 613-F-16 del 30 de junio del 2016. En: http://jurisprudencia.poder-judicial.go.cr/SCIJ_PJ/.</w:t>
      </w:r>
    </w:p>
  </w:footnote>
  <w:footnote w:id="49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Ley de Jurisdicción Agraria No. 6734 del 29 de marzo de 1982.</w:t>
      </w:r>
    </w:p>
  </w:footnote>
  <w:footnote w:id="49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Ley de Jurisdicción Agraria, artículo 35.</w:t>
      </w:r>
    </w:p>
  </w:footnote>
  <w:footnote w:id="49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Ley de Jurisdicción Agraria, artículo 38.</w:t>
      </w:r>
    </w:p>
  </w:footnote>
  <w:footnote w:id="49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Ley de Jurisdicción Agraria, artículos 46, 47, 48, 49, 50.</w:t>
      </w:r>
    </w:p>
  </w:footnote>
  <w:footnote w:id="49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NpCPA, artículo 167, 168 y 169.</w:t>
      </w:r>
    </w:p>
  </w:footnote>
  <w:footnote w:id="49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“Se garantizará la participación de la parte contraria, notificándosele previo a su realización. En casos de urgencia o si la notificación previa a la contraria pudiera afectar la finalidad o eficacia de la prueba, podrá realizarse sin aviso anticipado. Si concurre pese a no haber sido citada, podrá intervenir, siempre que no obstaculice la práctica. De lo contrario se ordenará notificarle el resultado, en los cinco días posteriores a la celebración de la diligencia. NpCPA, art. 168.</w:t>
      </w:r>
    </w:p>
  </w:footnote>
  <w:footnote w:id="49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Devis Echandia. Teoría General 2002, p. 107 ss.</w:t>
      </w:r>
    </w:p>
  </w:footnote>
  <w:footnote w:id="499">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Nuevo CPC, artículo 41.1. </w:t>
      </w:r>
    </w:p>
  </w:footnote>
  <w:footnote w:id="50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Palacio Lino. Manual de derecho Procesal Civil, Buenos Aires, Editorial Abeledo Perrot, 11ª. Ed. 1995, op. Cit., pág. 399.</w:t>
      </w:r>
    </w:p>
  </w:footnote>
  <w:footnote w:id="50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Sala Primera de Casación, No. 112 de las 15: 50 horas del 11 de octubre de 1995.</w:t>
      </w:r>
    </w:p>
  </w:footnote>
  <w:footnote w:id="502">
    <w:p w:rsidR="00FC1DF6" w:rsidRPr="009235DC" w:rsidRDefault="00FC1DF6" w:rsidP="00E60FEF">
      <w:pPr>
        <w:pStyle w:val="Textonotapie"/>
        <w:jc w:val="both"/>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CR"/>
        </w:rPr>
        <w:t>“En la audiencia en que se admiten las pruebas, el tribunal podrá proponer a las partes la incorporación de otras no ofrecidas en incluso ordenarlas de oficio.</w:t>
      </w:r>
    </w:p>
    <w:p w:rsidR="00FC1DF6" w:rsidRPr="009235DC" w:rsidRDefault="00FC1DF6" w:rsidP="00E60FEF">
      <w:pPr>
        <w:pStyle w:val="Textonotapie"/>
        <w:jc w:val="both"/>
        <w:rPr>
          <w:rFonts w:ascii="Palatino Linotype" w:hAnsi="Palatino Linotype"/>
          <w:sz w:val="18"/>
          <w:szCs w:val="18"/>
          <w:lang w:val="es-CR"/>
        </w:rPr>
      </w:pPr>
      <w:r w:rsidRPr="009235DC">
        <w:rPr>
          <w:rFonts w:ascii="Palatino Linotype" w:hAnsi="Palatino Linotype"/>
          <w:sz w:val="18"/>
          <w:szCs w:val="18"/>
          <w:lang w:val="es-CR"/>
        </w:rPr>
        <w:t xml:space="preserve">      En la audiencia de prueba, excepcionalmente, si fuera indispensable dando razones fundadas se podrán ordenar otras pruebas para comprobar o aclarar hechos relevantes, respetanto los principios de contradicción y de concentración”. NCPC, art. 41.3.</w:t>
      </w:r>
    </w:p>
  </w:footnote>
  <w:footnote w:id="503">
    <w:p w:rsidR="00FC1DF6" w:rsidRPr="009235DC" w:rsidRDefault="00FC1DF6" w:rsidP="00E60FEF">
      <w:pPr>
        <w:pStyle w:val="Pa2"/>
        <w:spacing w:line="240" w:lineRule="auto"/>
        <w:jc w:val="both"/>
        <w:rPr>
          <w:rFonts w:ascii="Palatino Linotype" w:hAnsi="Palatino Linotype" w:cs="Times New Roman"/>
          <w:sz w:val="18"/>
          <w:szCs w:val="18"/>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Cuando sea necesario para la celeridad del proceso, el tribunal podrá admitir prueba, previo a la audiencia preparatoria, cuando sea necesario, en tal caso tomará las medidas pertinentes para que pueda ser recibida en la de juicio. NpCPA, art. 115. La redacción no es la más feliz y resulta un poco contradictoria, respecto al momento de evacuarla. </w:t>
      </w:r>
    </w:p>
    <w:p w:rsidR="00FC1DF6" w:rsidRPr="009235DC" w:rsidRDefault="00FC1DF6" w:rsidP="00E60FEF">
      <w:pPr>
        <w:pStyle w:val="Pa2"/>
        <w:spacing w:line="240" w:lineRule="auto"/>
        <w:jc w:val="both"/>
        <w:rPr>
          <w:rFonts w:ascii="Palatino Linotype" w:eastAsia="Times New Roman" w:hAnsi="Palatino Linotype" w:cs="Times New Roman"/>
          <w:sz w:val="18"/>
          <w:szCs w:val="18"/>
          <w:lang w:val="es-CR"/>
        </w:rPr>
      </w:pPr>
      <w:r w:rsidRPr="009235DC">
        <w:rPr>
          <w:rFonts w:ascii="Palatino Linotype" w:hAnsi="Palatino Linotype" w:cs="Times New Roman"/>
          <w:sz w:val="18"/>
          <w:szCs w:val="18"/>
        </w:rPr>
        <w:t xml:space="preserve">En la audiencia preparatoria, el tribunal podrá ordenar la prueba de oficio que estime necesaria para determinar la verdad real de los hechos. </w:t>
      </w:r>
    </w:p>
    <w:p w:rsidR="00FC1DF6" w:rsidRPr="009235DC" w:rsidRDefault="00FC1DF6" w:rsidP="00E60FEF">
      <w:pPr>
        <w:pStyle w:val="Pa2"/>
        <w:spacing w:line="240" w:lineRule="auto"/>
        <w:jc w:val="both"/>
        <w:rPr>
          <w:rFonts w:ascii="Palatino Linotype" w:eastAsia="Times New Roman" w:hAnsi="Palatino Linotype" w:cs="Times New Roman"/>
          <w:sz w:val="18"/>
          <w:szCs w:val="18"/>
          <w:lang w:val="es-CR"/>
        </w:rPr>
      </w:pPr>
      <w:r w:rsidRPr="009235DC">
        <w:rPr>
          <w:rFonts w:ascii="Palatino Linotype" w:hAnsi="Palatino Linotype" w:cs="Times New Roman"/>
          <w:sz w:val="18"/>
          <w:szCs w:val="18"/>
        </w:rPr>
        <w:t xml:space="preserve">Además, podrá admitirse u ordenarse para mejor resolver, de manera excepcional, hasta antes de cerrarse la audiencia de juicio. De ser necesario, podrá decretarse la suspensión de esa audiencia para obtenerla. Si no se han logrado incorporar las probanzas ordenadas al cierre de la audiencia de juicio, se prescindirá de ella. </w:t>
      </w:r>
    </w:p>
    <w:p w:rsidR="00FC1DF6" w:rsidRPr="009235DC" w:rsidRDefault="00FC1DF6" w:rsidP="00E60FEF">
      <w:pPr>
        <w:pStyle w:val="Pa2"/>
        <w:spacing w:line="240" w:lineRule="auto"/>
        <w:jc w:val="both"/>
        <w:rPr>
          <w:rFonts w:ascii="Palatino Linotype" w:hAnsi="Palatino Linotype" w:cs="Times New Roman"/>
          <w:sz w:val="18"/>
          <w:szCs w:val="18"/>
        </w:rPr>
      </w:pPr>
      <w:r w:rsidRPr="009235DC">
        <w:rPr>
          <w:rFonts w:ascii="Palatino Linotype" w:hAnsi="Palatino Linotype" w:cs="Times New Roman"/>
          <w:sz w:val="18"/>
          <w:szCs w:val="18"/>
        </w:rPr>
        <w:t>Cuando se trate de prueba referida a información de registros públicos o la actualización de información que conste en el proceso, para verificar su vigencia, el tribunal podrá obtener la información directamente, por algún medio electrónico o tecnológico a su alcance. De no ser posible, la pedirá de oficio o prevendrá aportarla a quien corresponda la carga probatoria. NpCPA, art. 128.</w:t>
      </w:r>
    </w:p>
  </w:footnote>
  <w:footnote w:id="504">
    <w:p w:rsidR="00FC1DF6" w:rsidRPr="009235DC" w:rsidRDefault="00FC1DF6" w:rsidP="00E60FEF">
      <w:pPr>
        <w:pStyle w:val="Textonotapie"/>
        <w:jc w:val="both"/>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CR"/>
        </w:rPr>
        <w:t>“La prueba se practicará en una sola audiencia. Cuando ello no fuere posible en un solo día, se prorrogará la audiencia en días inmediatos y consecutivos. Se procurará recibir la mayor cantidad de prueba por día, estableciendo cuál habrá de practicarse en cada señalamiento. Las partes podrán disponer el orden de la declaración de sus testigos”. NCPC, art. 41.4.3.</w:t>
      </w:r>
    </w:p>
  </w:footnote>
  <w:footnote w:id="505">
    <w:p w:rsidR="00FC1DF6" w:rsidRPr="009235DC" w:rsidRDefault="00FC1DF6" w:rsidP="00E60FEF">
      <w:pPr>
        <w:pStyle w:val="Textonotapie"/>
        <w:jc w:val="both"/>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CR"/>
        </w:rPr>
        <w:t>“Durante la audiencia de juicio, antes de declarar, las personas testigas deberán estar aisladas; no podrán comunicarse entre sí, ver, oir o ser informadas de lo que ocurre en ella.”</w:t>
      </w:r>
    </w:p>
  </w:footnote>
  <w:footnote w:id="506">
    <w:p w:rsidR="00FC1DF6" w:rsidRPr="009235DC" w:rsidRDefault="00FC1DF6" w:rsidP="00E60FEF">
      <w:pPr>
        <w:pStyle w:val="Textonotapie"/>
        <w:jc w:val="both"/>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CR"/>
        </w:rPr>
        <w:t>NCPC, art. 42 y 43.</w:t>
      </w:r>
    </w:p>
  </w:footnote>
  <w:footnote w:id="507">
    <w:p w:rsidR="00FC1DF6" w:rsidRPr="009235DC" w:rsidRDefault="00FC1DF6" w:rsidP="00E60FEF">
      <w:pPr>
        <w:pStyle w:val="Textonotapie"/>
        <w:jc w:val="both"/>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CR"/>
        </w:rPr>
        <w:t>Reforma Procesal Laboral, artículo 479 inciso 9.- Confesión de la parte. “Cuando se pida la declaración o la confesión de la parte, deberá indicarse, de manera concreta, los hechos sobre los cuales ha de interrogarse”.</w:t>
      </w:r>
    </w:p>
  </w:footnote>
  <w:footnote w:id="50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Campos Rivera</w:t>
      </w:r>
      <w:r>
        <w:rPr>
          <w:rFonts w:ascii="Palatino Linotype" w:hAnsi="Palatino Linotype"/>
          <w:sz w:val="18"/>
          <w:szCs w:val="18"/>
        </w:rPr>
        <w:t>.</w:t>
      </w:r>
      <w:r w:rsidRPr="009235DC">
        <w:rPr>
          <w:rFonts w:ascii="Palatino Linotype" w:hAnsi="Palatino Linotype"/>
          <w:sz w:val="18"/>
          <w:szCs w:val="18"/>
        </w:rPr>
        <w:t xml:space="preserve"> Derecho Procesal Agrario, op. Cit., pág. 135.</w:t>
      </w:r>
    </w:p>
  </w:footnote>
  <w:footnote w:id="509">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“Las partes declararán sobre hechos propios o ajenos y podrán formularse preguntas recíprocamente” NpCPA, art. 131, NCPC, art. 42.1.</w:t>
      </w:r>
    </w:p>
  </w:footnote>
  <w:footnote w:id="51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Código Procesal Civil Alemán, Traducción con estudio introductorio. Fundación Konrad Adenauer, 2006, Uruguay.</w:t>
      </w:r>
    </w:p>
  </w:footnote>
  <w:footnote w:id="51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NpCPA artículo 132, en relación al artículo 1.2 de la Ley de Cobro Judicial, 110.1, 111.2.4. se refiere a la “confesión judicial” y ss. NCPC.</w:t>
      </w:r>
    </w:p>
  </w:footnote>
  <w:footnote w:id="51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El NpCPA dispone en su artículo 131.3. “Durante la audiencia de juicio, el tribunal podrá ordenar, de oficio o a solicitud de la contraria, que se rinda declaración de la parte presente, sin necesidad de que previamente se haya solicitado dicha prueba</w:t>
      </w:r>
    </w:p>
  </w:footnote>
  <w:footnote w:id="51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Parra Quijano Jairo. Tratado de la Prueba judicial, Tomo II, Colombia, Ediciones Librería profesional, 3ª. Ed., 1994, pág. 237.</w:t>
      </w:r>
    </w:p>
  </w:footnote>
  <w:footnote w:id="51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Con este interrogatorio no persigue el juez formar su convencimiento sobre la realidad de los hechos, sino procurar un contacto personal con las partes, una mejor inmediación para un adecuado conocimiento de causa, que le permita decidir con equidad y acierto. También le permite un mejor acercamiento del Juez Agrario a las partes, y la valoración de su conducta con el fin de obtener argumentos para la formación de su criterio sobre los hechos.</w:t>
      </w:r>
    </w:p>
  </w:footnote>
  <w:footnote w:id="51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Rocco Hugo. Tratado de Derecho Procesal Civil, op. Vol. III, Parte especial, Bogotá, Temis, 1976,  pág.134.</w:t>
      </w:r>
    </w:p>
  </w:footnote>
  <w:footnote w:id="51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Parra Quijano, op. Cit., Tomo I, El Testimonio, página 3. </w:t>
      </w:r>
    </w:p>
  </w:footnote>
  <w:footnote w:id="51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“testigo es la persona natural que ha presenciado o que tiene, simplemente, conocimiento de hechos que son de interés para el esclarecimiento de la verdad buscada en un proceso. En derecho, el calificativo de testigo solo se le da a la persona que sin ser parte principal en un proceso es llamada a declarar, o a rendir testimonio, para ser más exactos, sobre aspectos respecto de los cuales tiene conocimiento y que interesan al juez para el esclarecimiento de los hechos que son objeto de investigación.</w:t>
      </w:r>
    </w:p>
    <w:p w:rsidR="00FC1DF6" w:rsidRPr="009235DC" w:rsidRDefault="00FC1DF6" w:rsidP="00E60FEF">
      <w:pPr>
        <w:pStyle w:val="Textonotapie"/>
        <w:jc w:val="both"/>
        <w:rPr>
          <w:rFonts w:ascii="Palatino Linotype" w:hAnsi="Palatino Linotype"/>
          <w:sz w:val="18"/>
          <w:szCs w:val="18"/>
        </w:rPr>
      </w:pPr>
      <w:r w:rsidRPr="009235DC">
        <w:rPr>
          <w:rFonts w:ascii="Palatino Linotype" w:hAnsi="Palatino Linotype"/>
          <w:sz w:val="18"/>
          <w:szCs w:val="18"/>
        </w:rPr>
        <w:tab/>
        <w:t>En un proceso de naturaleza agraria, por ejemplo, testigo puede serlo el propietario, el arrendatario o aparcero, o el simple asalariado agrícola de un predio colindante del que ha sido ocupado de hecho por otra persona, siempre y cuando le consten los hechos que han concretado esa ocupación del predio vecino.” CAMPOS RIVERA, op. Cit., pág. 143.</w:t>
      </w:r>
    </w:p>
  </w:footnote>
  <w:footnote w:id="51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“Serán examinados por la proponente, seguida de la contraria y finalmente, por el tribunal, sin perjuicio de que éste pida aclaraciones en cualquier momento para evitar confusiones, garantizar el orden de la audiencia y en la búsqueda de la verdad real. Al concluir la declaración, las partes y el tribunal podrán repreguntar” artículo 139 párrafo segundo NPCPA.</w:t>
      </w:r>
    </w:p>
  </w:footnote>
  <w:footnote w:id="519">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Parra Quijano</w:t>
      </w:r>
      <w:r>
        <w:rPr>
          <w:rFonts w:ascii="Palatino Linotype" w:hAnsi="Palatino Linotype"/>
          <w:sz w:val="18"/>
          <w:szCs w:val="18"/>
        </w:rPr>
        <w:t>.</w:t>
      </w:r>
      <w:r w:rsidRPr="009235DC">
        <w:rPr>
          <w:rFonts w:ascii="Palatino Linotype" w:hAnsi="Palatino Linotype"/>
          <w:sz w:val="18"/>
          <w:szCs w:val="18"/>
        </w:rPr>
        <w:t xml:space="preserve"> op. Cit., tomo I,  pág. 18.</w:t>
      </w:r>
    </w:p>
  </w:footnote>
  <w:footnote w:id="52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Parra Quijano</w:t>
      </w:r>
      <w:r>
        <w:rPr>
          <w:rFonts w:ascii="Palatino Linotype" w:hAnsi="Palatino Linotype"/>
          <w:sz w:val="18"/>
          <w:szCs w:val="18"/>
        </w:rPr>
        <w:t>.</w:t>
      </w:r>
      <w:r w:rsidRPr="009235DC">
        <w:rPr>
          <w:rFonts w:ascii="Palatino Linotype" w:hAnsi="Palatino Linotype"/>
          <w:sz w:val="18"/>
          <w:szCs w:val="18"/>
        </w:rPr>
        <w:t xml:space="preserve"> op. Cit., Tomo I, pág. 6.</w:t>
      </w:r>
    </w:p>
  </w:footnote>
  <w:footnote w:id="52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Nuevo CPC, art.43.1</w:t>
      </w:r>
    </w:p>
  </w:footnote>
  <w:footnote w:id="52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NpCPA, artículo 133.</w:t>
      </w:r>
    </w:p>
  </w:footnote>
  <w:footnote w:id="52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RPL, artículo 479 in fine.</w:t>
      </w:r>
    </w:p>
  </w:footnote>
  <w:footnote w:id="52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Campos Rivera</w:t>
      </w:r>
      <w:r>
        <w:rPr>
          <w:rFonts w:ascii="Palatino Linotype" w:hAnsi="Palatino Linotype"/>
          <w:sz w:val="18"/>
          <w:szCs w:val="18"/>
        </w:rPr>
        <w:t>.</w:t>
      </w:r>
      <w:r w:rsidRPr="009235DC">
        <w:rPr>
          <w:rFonts w:ascii="Palatino Linotype" w:hAnsi="Palatino Linotype"/>
          <w:sz w:val="18"/>
          <w:szCs w:val="18"/>
        </w:rPr>
        <w:t xml:space="preserve"> op. Cit., pág. 147-148.</w:t>
      </w:r>
    </w:p>
  </w:footnote>
  <w:footnote w:id="52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Código Procesal Civil, artículos 351, 352 y 353.</w:t>
      </w:r>
    </w:p>
  </w:footnote>
  <w:footnote w:id="526">
    <w:p w:rsidR="00FC1DF6" w:rsidRPr="009235DC" w:rsidRDefault="00FC1DF6" w:rsidP="00E60FEF">
      <w:pPr>
        <w:pStyle w:val="Textonotapie"/>
        <w:jc w:val="both"/>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CR"/>
        </w:rPr>
        <w:t>NCPC, art. 43.1.</w:t>
      </w:r>
    </w:p>
  </w:footnote>
  <w:footnote w:id="52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Código Procesal Civil, artículo 352.</w:t>
      </w:r>
    </w:p>
  </w:footnote>
  <w:footnote w:id="528">
    <w:p w:rsidR="00FC1DF6" w:rsidRPr="009235DC" w:rsidRDefault="00FC1DF6" w:rsidP="00E60FEF">
      <w:pPr>
        <w:pStyle w:val="Textonotapie"/>
        <w:jc w:val="both"/>
        <w:rPr>
          <w:rFonts w:ascii="Palatino Linotype" w:hAnsi="Palatino Linotype"/>
          <w:sz w:val="18"/>
          <w:szCs w:val="18"/>
        </w:rPr>
      </w:pPr>
    </w:p>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Ley de Jurisdicción Agraria, artículos 35, 38, 40.</w:t>
      </w:r>
    </w:p>
  </w:footnote>
  <w:footnote w:id="529">
    <w:p w:rsidR="00FC1DF6" w:rsidRPr="009235DC" w:rsidRDefault="00FC1DF6" w:rsidP="00E60FEF">
      <w:pPr>
        <w:pStyle w:val="Pa2"/>
        <w:spacing w:line="240" w:lineRule="auto"/>
        <w:jc w:val="both"/>
        <w:rPr>
          <w:rFonts w:ascii="Palatino Linotype" w:hAnsi="Palatino Linotype" w:cs="Times New Roman"/>
          <w:sz w:val="18"/>
          <w:szCs w:val="18"/>
          <w:lang w:val="es-ES_tradnl"/>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Se aplicarán las siguientes reglas: </w:t>
      </w:r>
      <w:r w:rsidRPr="009235DC">
        <w:rPr>
          <w:rStyle w:val="A3"/>
          <w:rFonts w:ascii="Palatino Linotype" w:hAnsi="Palatino Linotype" w:cs="Times New Roman"/>
          <w:color w:val="auto"/>
          <w:sz w:val="18"/>
          <w:szCs w:val="18"/>
        </w:rPr>
        <w:t xml:space="preserve">1. </w:t>
      </w:r>
      <w:r w:rsidRPr="009235DC">
        <w:rPr>
          <w:rFonts w:ascii="Palatino Linotype" w:hAnsi="Palatino Linotype" w:cs="Times New Roman"/>
          <w:sz w:val="18"/>
          <w:szCs w:val="18"/>
        </w:rPr>
        <w:t xml:space="preserve">Con la petición de exhibición, quien lo solicite podrá aportar una copia o reproducción del documento. Si no lo tiene en su poder, indicará en términos concretos su contenido. Cuando se ordene la exhibición, se advertirá a la parte requerida, que ante su negativa injustificada, se podrá tener como exacto lo presentado o afirmado por la contraria. Lo anterior se dispone, siempre que a través de otras pruebas resulten manifiestamente verosímil la existencia y contenido del documento no exhibido. </w:t>
      </w:r>
      <w:r w:rsidRPr="009235DC">
        <w:rPr>
          <w:rStyle w:val="A3"/>
          <w:rFonts w:ascii="Palatino Linotype" w:hAnsi="Palatino Linotype" w:cs="Times New Roman"/>
          <w:color w:val="auto"/>
          <w:sz w:val="18"/>
          <w:szCs w:val="18"/>
        </w:rPr>
        <w:t xml:space="preserve">2. </w:t>
      </w:r>
      <w:r w:rsidRPr="009235DC">
        <w:rPr>
          <w:rFonts w:ascii="Palatino Linotype" w:hAnsi="Palatino Linotype" w:cs="Times New Roman"/>
          <w:sz w:val="18"/>
          <w:szCs w:val="18"/>
        </w:rPr>
        <w:t xml:space="preserve">Si el documento se encuentra en poder de una tercera persona, se le prevendrá lo exhiba, siempre que sea trascendente para el proceso y no le produzca perjuicio. </w:t>
      </w:r>
      <w:r w:rsidRPr="009235DC">
        <w:rPr>
          <w:rStyle w:val="A3"/>
          <w:rFonts w:ascii="Palatino Linotype" w:hAnsi="Palatino Linotype" w:cs="Times New Roman"/>
          <w:color w:val="auto"/>
          <w:sz w:val="18"/>
          <w:szCs w:val="18"/>
        </w:rPr>
        <w:t xml:space="preserve">3. </w:t>
      </w:r>
      <w:r w:rsidRPr="009235DC">
        <w:rPr>
          <w:rFonts w:ascii="Palatino Linotype" w:hAnsi="Palatino Linotype" w:cs="Times New Roman"/>
          <w:sz w:val="18"/>
          <w:szCs w:val="18"/>
        </w:rPr>
        <w:t xml:space="preserve">En ambos supuestos se podrá presentar copia certificada o testimonio del documento prevenido, salvo si el tribunal o las partes exijan el original por razones fundadas. </w:t>
      </w:r>
      <w:r w:rsidRPr="009235DC">
        <w:rPr>
          <w:rStyle w:val="A3"/>
          <w:rFonts w:ascii="Palatino Linotype" w:hAnsi="Palatino Linotype" w:cs="Times New Roman"/>
          <w:color w:val="auto"/>
          <w:sz w:val="18"/>
          <w:szCs w:val="18"/>
        </w:rPr>
        <w:t xml:space="preserve">4. </w:t>
      </w:r>
      <w:r w:rsidRPr="009235DC">
        <w:rPr>
          <w:rFonts w:ascii="Palatino Linotype" w:hAnsi="Palatino Linotype" w:cs="Times New Roman"/>
          <w:sz w:val="18"/>
          <w:szCs w:val="18"/>
        </w:rPr>
        <w:t xml:space="preserve">Las personas funcionarias públicas no podrán negarse a expedir certificaciones o testimonios, ni oponerse a exhibir los documentos de sus dependencias y archivos, de acuerdo con el ordenamiento vigente. </w:t>
      </w:r>
      <w:r w:rsidRPr="009235DC">
        <w:rPr>
          <w:rStyle w:val="A3"/>
          <w:rFonts w:ascii="Palatino Linotype" w:hAnsi="Palatino Linotype" w:cs="Times New Roman"/>
          <w:color w:val="auto"/>
          <w:sz w:val="18"/>
          <w:szCs w:val="18"/>
        </w:rPr>
        <w:t xml:space="preserve">5. </w:t>
      </w:r>
      <w:r w:rsidRPr="009235DC">
        <w:rPr>
          <w:rFonts w:ascii="Palatino Linotype" w:hAnsi="Palatino Linotype" w:cs="Times New Roman"/>
          <w:sz w:val="18"/>
          <w:szCs w:val="18"/>
        </w:rPr>
        <w:t>Al ordenarse la exhibición se advertirá que ante la negativa injustificada de cumplimiento, podrá seguirse causa por el delito de desobediencia a la autoridad, sin perjuicio de que en sede penal la conducta se recalifique. Art. 151 NpCPA, 45.4 NCPC.</w:t>
      </w:r>
    </w:p>
  </w:footnote>
  <w:footnote w:id="530">
    <w:p w:rsidR="00FC1DF6" w:rsidRPr="009235DC" w:rsidRDefault="00FC1DF6" w:rsidP="00E60FEF">
      <w:pPr>
        <w:pStyle w:val="Textonotapie"/>
        <w:jc w:val="both"/>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CR"/>
        </w:rPr>
        <w:t>Esta disposición implica de alguna manera la sustitución de la justicia penal y los efectos de declarar la falsificación, por ejemplo de una firma o un documento argüido de falso, lo cual pareciera ir más allá de los alcances del juez natural.</w:t>
      </w:r>
    </w:p>
  </w:footnote>
  <w:footnote w:id="53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NpCPA, artículo 152, artículo 45.5 NCPC.</w:t>
      </w:r>
    </w:p>
  </w:footnote>
  <w:footnote w:id="53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Se aplicarán las siguientes reglas: </w:t>
      </w:r>
      <w:r w:rsidRPr="009235DC">
        <w:rPr>
          <w:rStyle w:val="A3"/>
          <w:rFonts w:ascii="Palatino Linotype" w:hAnsi="Palatino Linotype"/>
          <w:color w:val="auto"/>
          <w:sz w:val="18"/>
          <w:szCs w:val="18"/>
        </w:rPr>
        <w:t xml:space="preserve">1. </w:t>
      </w:r>
      <w:r w:rsidRPr="009235DC">
        <w:rPr>
          <w:rFonts w:ascii="Palatino Linotype" w:hAnsi="Palatino Linotype"/>
          <w:sz w:val="18"/>
          <w:szCs w:val="18"/>
        </w:rPr>
        <w:t>No será admisible la solicitud de rendir un informe cuando, manifiestamente, tienda a sustituir otro medio de prueba no admitido.</w:t>
      </w:r>
      <w:r w:rsidRPr="009235DC">
        <w:rPr>
          <w:rStyle w:val="A3"/>
          <w:rFonts w:ascii="Palatino Linotype" w:hAnsi="Palatino Linotype"/>
          <w:color w:val="auto"/>
          <w:sz w:val="18"/>
          <w:szCs w:val="18"/>
        </w:rPr>
        <w:t xml:space="preserve">2. </w:t>
      </w:r>
      <w:r w:rsidRPr="009235DC">
        <w:rPr>
          <w:rFonts w:ascii="Palatino Linotype" w:hAnsi="Palatino Linotype"/>
          <w:sz w:val="18"/>
          <w:szCs w:val="18"/>
        </w:rPr>
        <w:t xml:space="preserve">La persona o entidad requerida podrá negarse a rendir el informe por motivos fundados, entre ellos cuando se trate de información declarada secreto de Estado, pueda comprometer seriamente el secreto comercial o información no divulgada. En tal caso y una vez recibida la solicitud, de inmediato, ha de exponer con claridad y precisión los motivos de impedimento. El tribunal valorará si son aceptables. </w:t>
      </w:r>
      <w:r w:rsidRPr="009235DC">
        <w:rPr>
          <w:rStyle w:val="A3"/>
          <w:rFonts w:ascii="Palatino Linotype" w:hAnsi="Palatino Linotype"/>
          <w:color w:val="auto"/>
          <w:sz w:val="18"/>
          <w:szCs w:val="18"/>
        </w:rPr>
        <w:t xml:space="preserve">3. El tribunal advertirá que debe cumplirse con lo ordenado, en el plazo de ocho días, contados a partir del recibo de la solicitud, salvo que se autorice un plazo mayor. Cuando se trate de entidades públicas o personas jurídicas, la solicitud deberá dirigirse a la responsable, funcionaria u oficina encargada de su emisión o de ejecutar la orden. Se apercibirá que, en caso de incumplimiento, podrá incurrirse en el delito de desobediencia a la autoridad. 4. </w:t>
      </w:r>
      <w:r w:rsidRPr="009235DC">
        <w:rPr>
          <w:rFonts w:ascii="Palatino Linotype" w:hAnsi="Palatino Linotype"/>
          <w:sz w:val="18"/>
          <w:szCs w:val="18"/>
        </w:rPr>
        <w:t>La información se remitirá al tribunal a la mayor brevedad, por cualquier medio idóneo, incluso electrónicamente. Se indicará expresamente que tiene el carácter de declaración jurada, a fin de garantizar su exactitud, lo cual se prevendrá al ordenarla, sin perjuicio de que en criterio del tribunal deba exponerse oralmente en audiencia. Artículo 153 NpCPA, artículo 45.7 NCPC.</w:t>
      </w:r>
    </w:p>
  </w:footnote>
  <w:footnote w:id="53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“Por lo tanto, no solo son documentos los que llevan signos de escritura, sino también todos aquellos objetos que como los hitos, planos, marcas, contraseñas, mapas, fotografías, películas cinematográficas, cintas megatofónicas, videos, etcétera, poseen la misma aptitud representantiva.” Palacio Lino, op. Cit., pág. 422.</w:t>
      </w:r>
    </w:p>
  </w:footnote>
  <w:footnote w:id="53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Devis Echandia</w:t>
      </w:r>
      <w:r>
        <w:rPr>
          <w:rFonts w:ascii="Palatino Linotype" w:hAnsi="Palatino Linotype"/>
          <w:sz w:val="18"/>
          <w:szCs w:val="18"/>
        </w:rPr>
        <w:t>.</w:t>
      </w:r>
      <w:r w:rsidRPr="009235DC">
        <w:rPr>
          <w:rFonts w:ascii="Palatino Linotype" w:hAnsi="Palatino Linotype"/>
          <w:sz w:val="18"/>
          <w:szCs w:val="18"/>
        </w:rPr>
        <w:t xml:space="preserve"> Tomo II, op. Cit., pág. 501. En igual sentido Palacio</w:t>
      </w:r>
      <w:r>
        <w:rPr>
          <w:rFonts w:ascii="Palatino Linotype" w:hAnsi="Palatino Linotype"/>
          <w:sz w:val="18"/>
          <w:szCs w:val="18"/>
        </w:rPr>
        <w:t xml:space="preserve"> Lino.</w:t>
      </w:r>
      <w:r w:rsidRPr="009235DC">
        <w:rPr>
          <w:rFonts w:ascii="Palatino Linotype" w:hAnsi="Palatino Linotype"/>
          <w:sz w:val="18"/>
          <w:szCs w:val="18"/>
        </w:rPr>
        <w:t xml:space="preserve"> op. Cit., pág. 422.</w:t>
      </w:r>
    </w:p>
  </w:footnote>
  <w:footnote w:id="53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Código Procesal Civil, artículo 368.</w:t>
      </w:r>
    </w:p>
  </w:footnote>
  <w:footnote w:id="53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Devis Echandia, op. Cit., pág. 512.</w:t>
      </w:r>
    </w:p>
  </w:footnote>
  <w:footnote w:id="53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Palacio Lino, op. Cit., pág. 424.</w:t>
      </w:r>
    </w:p>
  </w:footnote>
  <w:footnote w:id="538">
    <w:p w:rsidR="00FC1DF6" w:rsidRPr="009235DC" w:rsidRDefault="00FC1DF6" w:rsidP="00E60FEF">
      <w:pPr>
        <w:pStyle w:val="Textodenotaalpie"/>
        <w:tabs>
          <w:tab w:val="left" w:pos="-720"/>
        </w:tabs>
        <w:suppressAutoHyphens/>
        <w:jc w:val="both"/>
        <w:rPr>
          <w:rFonts w:ascii="Palatino Linotype" w:hAnsi="Palatino Linotype"/>
          <w:spacing w:val="-3"/>
          <w:sz w:val="18"/>
          <w:szCs w:val="18"/>
          <w:lang w:val="es-CR"/>
        </w:rPr>
      </w:pPr>
      <w:r w:rsidRPr="009235DC">
        <w:rPr>
          <w:rStyle w:val="Refdenotaalpie"/>
          <w:rFonts w:ascii="Palatino Linotype" w:eastAsiaTheme="minorEastAsia" w:hAnsi="Palatino Linotype"/>
          <w:spacing w:val="-3"/>
          <w:sz w:val="18"/>
          <w:szCs w:val="18"/>
          <w:lang w:val="en-US"/>
        </w:rPr>
        <w:footnoteRef/>
      </w:r>
      <w:r>
        <w:rPr>
          <w:rFonts w:ascii="Palatino Linotype" w:hAnsi="Palatino Linotype"/>
          <w:spacing w:val="-3"/>
          <w:sz w:val="18"/>
          <w:szCs w:val="18"/>
          <w:lang w:val="es-CR"/>
        </w:rPr>
        <w:t xml:space="preserve"> </w:t>
      </w:r>
      <w:r w:rsidRPr="009235DC">
        <w:rPr>
          <w:rFonts w:ascii="Palatino Linotype" w:hAnsi="Palatino Linotype"/>
          <w:spacing w:val="-3"/>
          <w:sz w:val="18"/>
          <w:szCs w:val="18"/>
          <w:lang w:val="es-CR"/>
        </w:rPr>
        <w:t xml:space="preserve">Davis Echandia Hernando. Teoría General de la Prueba Judicial., Tomo II, Buenos Aires, Editorial Victor Zavalía, 1981, 5ª. Edición,  pág. 287. </w:t>
      </w:r>
    </w:p>
  </w:footnote>
  <w:footnote w:id="539">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Palacio Lino, op. Cit., pág. 493.</w:t>
      </w:r>
    </w:p>
  </w:footnote>
  <w:footnote w:id="540">
    <w:p w:rsidR="00FC1DF6" w:rsidRPr="009235DC" w:rsidRDefault="00FC1DF6" w:rsidP="00E60FEF">
      <w:pPr>
        <w:pStyle w:val="Textonotapie"/>
        <w:jc w:val="both"/>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CR"/>
        </w:rPr>
        <w:t xml:space="preserve">Bejarano Guzmán, op. Cit., p. 23 afirma: “La forma como está regulada esta prueba en el CPCM debe ser sustancialmente modificada, de manera que se permita a las partes aportar experticias elaboradas a instancias suyas, y se suprima el trámite de la objeción o el de las impugnaciones al peritaje. </w:t>
      </w:r>
    </w:p>
    <w:p w:rsidR="00FC1DF6" w:rsidRPr="009235DC" w:rsidRDefault="00FC1DF6" w:rsidP="009235DC">
      <w:pPr>
        <w:pStyle w:val="Textonotapie"/>
        <w:ind w:firstLine="708"/>
        <w:jc w:val="both"/>
        <w:rPr>
          <w:rFonts w:ascii="Palatino Linotype" w:hAnsi="Palatino Linotype"/>
          <w:sz w:val="18"/>
          <w:szCs w:val="18"/>
          <w:lang w:val="es-CR"/>
        </w:rPr>
      </w:pPr>
      <w:r w:rsidRPr="009235DC">
        <w:rPr>
          <w:rFonts w:ascii="Palatino Linotype" w:hAnsi="Palatino Linotype"/>
          <w:sz w:val="18"/>
          <w:szCs w:val="18"/>
          <w:lang w:val="es-CR"/>
        </w:rPr>
        <w:t>En efecto, la colaboración de las partes con el proceso tiene una oportunidad magnífica de presentarse, permitiéndoles a ellas aportar las experticias sobre los puntos que lo requieran, sin perjuicio del derecho de solicitar su práctica durante el proceso, si fuere necesario.</w:t>
      </w:r>
    </w:p>
    <w:p w:rsidR="00FC1DF6" w:rsidRPr="009235DC" w:rsidRDefault="00FC1DF6" w:rsidP="00E60FEF">
      <w:pPr>
        <w:pStyle w:val="Textonotapie"/>
        <w:jc w:val="both"/>
        <w:rPr>
          <w:rFonts w:ascii="Palatino Linotype" w:hAnsi="Palatino Linotype"/>
          <w:sz w:val="18"/>
          <w:szCs w:val="18"/>
          <w:lang w:val="es-CR"/>
        </w:rPr>
      </w:pPr>
      <w:r w:rsidRPr="009235DC">
        <w:rPr>
          <w:rFonts w:ascii="Palatino Linotype" w:hAnsi="Palatino Linotype"/>
          <w:sz w:val="18"/>
          <w:szCs w:val="18"/>
          <w:lang w:val="es-CR"/>
        </w:rPr>
        <w:t>De otro lado, las impugnaciones al dictamen pericial permitiendo al impugnante solicitar un nuevo peritaje por una sola vez, como lo regula el artículo 171.2 se ha convertido en un verdadero drama para el buen curso del proceso. Un sistema ágil y efectivo debería suprimir la posibilidad de impugnar la experticia rendida en el proceso, para en su lugar permitir la controversia de la misma, mediante el sistema de permitir que el juez y las partes interroguen ampliamente el perito, como ocurre en el sistema oral español y como inclusive lo regula el artículo 176 para el evento de que la pericia sea rendida en el curso de una inspección judicial. Esta metodología permite controvertir el dictamen…”.</w:t>
      </w:r>
    </w:p>
  </w:footnote>
  <w:footnote w:id="54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Diaz Bedregal Florencio. La Inspección Ocular en el Procedimiento Agrario. Cuzco Perú, 1988, 102 p.</w:t>
      </w:r>
    </w:p>
  </w:footnote>
  <w:footnote w:id="54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Ley de Jurisdición Agraria, artículos 35 y 48.</w:t>
      </w:r>
    </w:p>
  </w:footnote>
  <w:footnote w:id="54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Devis Echandia, op. Cit., Tomo II, pág. 415.</w:t>
      </w:r>
    </w:p>
  </w:footnote>
  <w:footnote w:id="54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Artículo 154 NpCPA, artículo 46.6.2 NCPC.</w:t>
      </w:r>
    </w:p>
  </w:footnote>
  <w:footnote w:id="54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Artículo 155 NpCPA.</w:t>
      </w:r>
    </w:p>
  </w:footnote>
  <w:footnote w:id="54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Artículo 156 NpCPA.</w:t>
      </w:r>
    </w:p>
  </w:footnote>
  <w:footnote w:id="54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Campos Rivera, Derecho Procesal Agrario, op. Cit., pág. 151. </w:t>
      </w:r>
    </w:p>
  </w:footnote>
  <w:footnote w:id="54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Diaz Bedregal, op. Cit., pág. 3.</w:t>
      </w:r>
    </w:p>
  </w:footnote>
  <w:footnote w:id="549">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Diaz Bedregal, op. Cit., pág. 3-5.</w:t>
      </w:r>
    </w:p>
  </w:footnote>
  <w:footnote w:id="55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Diaz Bedregal, op. Cit., pág. 6.</w:t>
      </w:r>
    </w:p>
  </w:footnote>
  <w:footnote w:id="55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Campos Rivera, Derecho Procesal Agrario, op. Cit., pág. 152.</w:t>
      </w:r>
    </w:p>
  </w:footnote>
  <w:footnote w:id="55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Campos Rivera, op. Cit., pág. 153.</w:t>
      </w:r>
    </w:p>
  </w:footnote>
  <w:footnote w:id="553">
    <w:p w:rsidR="00FC1DF6" w:rsidRPr="009235DC" w:rsidRDefault="00FC1DF6" w:rsidP="00E60FEF">
      <w:pPr>
        <w:pStyle w:val="Textonotapie"/>
        <w:jc w:val="both"/>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CR"/>
        </w:rPr>
        <w:t>Artículo 157 NpCPA. Artículo 46.2.5 NPCPC.</w:t>
      </w:r>
    </w:p>
  </w:footnote>
  <w:footnote w:id="55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Artículo 165 NpCPA, artículo 47 NCPC.</w:t>
      </w:r>
    </w:p>
  </w:footnote>
  <w:footnote w:id="555">
    <w:p w:rsidR="00FC1DF6" w:rsidRPr="009235DC" w:rsidRDefault="00FC1DF6" w:rsidP="00E60FEF">
      <w:pPr>
        <w:pStyle w:val="Textonotapie"/>
        <w:jc w:val="both"/>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CR"/>
        </w:rPr>
        <w:t xml:space="preserve">Rivera Morales Rodrigo. Aproximaciones para una Reforma del Código Procesal Civil Modelo para Iberoamérica. En: </w:t>
      </w:r>
      <w:r w:rsidRPr="009235DC">
        <w:rPr>
          <w:rFonts w:ascii="Palatino Linotype" w:hAnsi="Palatino Linotype"/>
          <w:sz w:val="18"/>
          <w:szCs w:val="18"/>
        </w:rPr>
        <w:t>En: Revista Iberoamericana de Derecho procesal. Buenos Aires, Argentina, 2012, Año IX-N°14,</w:t>
      </w:r>
      <w:r w:rsidRPr="009235DC">
        <w:rPr>
          <w:rFonts w:ascii="Palatino Linotype" w:hAnsi="Palatino Linotype"/>
          <w:sz w:val="18"/>
          <w:szCs w:val="18"/>
          <w:lang w:val="es-CR"/>
        </w:rPr>
        <w:t>,pág. 62-64.</w:t>
      </w:r>
    </w:p>
  </w:footnote>
  <w:footnote w:id="556">
    <w:p w:rsidR="00FC1DF6" w:rsidRPr="009235DC" w:rsidRDefault="00FC1DF6" w:rsidP="00E60FEF">
      <w:pPr>
        <w:pStyle w:val="Textonotapie"/>
        <w:jc w:val="both"/>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Artículo 166 </w:t>
      </w:r>
      <w:r w:rsidRPr="009235DC">
        <w:rPr>
          <w:rFonts w:ascii="Palatino Linotype" w:hAnsi="Palatino Linotype"/>
          <w:sz w:val="18"/>
          <w:szCs w:val="18"/>
          <w:lang w:val="es-CR"/>
        </w:rPr>
        <w:t>NpCPA, artículo 48 NCPC.</w:t>
      </w:r>
    </w:p>
  </w:footnote>
  <w:footnote w:id="55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Devis Echandia, op. Cit, pág. 603.</w:t>
      </w:r>
    </w:p>
  </w:footnote>
  <w:footnote w:id="55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Devis Echandia, op. Cit., pág. 607.</w:t>
      </w:r>
    </w:p>
  </w:footnote>
  <w:footnote w:id="559">
    <w:p w:rsidR="00FC1DF6" w:rsidRPr="009235DC" w:rsidRDefault="00FC1DF6" w:rsidP="00E60FEF">
      <w:pPr>
        <w:pStyle w:val="Textonotapie"/>
        <w:jc w:val="both"/>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Artículo 158, </w:t>
      </w:r>
      <w:r w:rsidRPr="009235DC">
        <w:rPr>
          <w:rFonts w:ascii="Palatino Linotype" w:hAnsi="Palatino Linotype"/>
          <w:sz w:val="18"/>
          <w:szCs w:val="18"/>
          <w:lang w:val="es-CR"/>
        </w:rPr>
        <w:t>NpCPA. Entre otras cosas se regula el procedimiento para una adecuada custodia, las normas para inspeccionarlo, la devolución de la prueba, la destrucción, los gastos derivados de la misma, los derechos y deberes del custodio artículos 159 a 164.</w:t>
      </w:r>
    </w:p>
  </w:footnote>
  <w:footnote w:id="56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Palacio Lino, op. cit., pág. 417.</w:t>
      </w:r>
    </w:p>
  </w:footnote>
  <w:footnote w:id="56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Davis Echandia</w:t>
      </w:r>
      <w:r>
        <w:rPr>
          <w:rFonts w:ascii="Palatino Linotype" w:hAnsi="Palatino Linotype"/>
          <w:sz w:val="18"/>
          <w:szCs w:val="18"/>
        </w:rPr>
        <w:t>.</w:t>
      </w:r>
      <w:r w:rsidRPr="009235DC">
        <w:rPr>
          <w:rFonts w:ascii="Palatino Linotype" w:hAnsi="Palatino Linotype"/>
          <w:sz w:val="18"/>
          <w:szCs w:val="18"/>
        </w:rPr>
        <w:t xml:space="preserve"> Teoría General de la Prueba Judicial, op. cit., pág.17.</w:t>
      </w:r>
    </w:p>
  </w:footnote>
  <w:footnote w:id="56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Cappelletti</w:t>
      </w:r>
      <w:r>
        <w:rPr>
          <w:rFonts w:ascii="Palatino Linotype" w:hAnsi="Palatino Linotype"/>
          <w:sz w:val="18"/>
          <w:szCs w:val="18"/>
        </w:rPr>
        <w:t xml:space="preserve"> M.</w:t>
      </w:r>
      <w:r w:rsidRPr="009235DC">
        <w:rPr>
          <w:rFonts w:ascii="Palatino Linotype" w:hAnsi="Palatino Linotype"/>
          <w:sz w:val="18"/>
          <w:szCs w:val="18"/>
        </w:rPr>
        <w:t xml:space="preserve"> La oralidad y las pruebas en el proceso civil, op. Cit., pág. 90-91.</w:t>
      </w:r>
    </w:p>
  </w:footnote>
  <w:footnote w:id="56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Cappelletti</w:t>
      </w:r>
      <w:r>
        <w:rPr>
          <w:rFonts w:ascii="Palatino Linotype" w:hAnsi="Palatino Linotype"/>
          <w:sz w:val="18"/>
          <w:szCs w:val="18"/>
        </w:rPr>
        <w:t xml:space="preserve"> M.</w:t>
      </w:r>
      <w:r w:rsidRPr="009235DC">
        <w:rPr>
          <w:rFonts w:ascii="Palatino Linotype" w:hAnsi="Palatino Linotype"/>
          <w:sz w:val="18"/>
          <w:szCs w:val="18"/>
        </w:rPr>
        <w:t xml:space="preserve"> Ibid, pág. 99.</w:t>
      </w:r>
    </w:p>
  </w:footnote>
  <w:footnote w:id="56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Cabañas</w:t>
      </w:r>
      <w:r>
        <w:rPr>
          <w:rFonts w:ascii="Palatino Linotype" w:hAnsi="Palatino Linotype"/>
          <w:sz w:val="18"/>
          <w:szCs w:val="18"/>
        </w:rPr>
        <w:t>.</w:t>
      </w:r>
      <w:r w:rsidRPr="009235DC">
        <w:rPr>
          <w:rFonts w:ascii="Palatino Linotype" w:hAnsi="Palatino Linotype"/>
          <w:sz w:val="18"/>
          <w:szCs w:val="18"/>
        </w:rPr>
        <w:t xml:space="preserve"> La valoración de las pruebas, op. Cit., pág. 101.</w:t>
      </w:r>
    </w:p>
  </w:footnote>
  <w:footnote w:id="56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Código Procesal Civil Alemán, Traducción con estudio introductorio. Fundación Konrad Adenauer, 2006, Uruguay.</w:t>
      </w:r>
    </w:p>
    <w:p w:rsidR="00FC1DF6" w:rsidRPr="009235DC" w:rsidRDefault="00FC1DF6" w:rsidP="009235DC">
      <w:pPr>
        <w:pStyle w:val="Textonotapie"/>
        <w:ind w:firstLine="708"/>
        <w:jc w:val="both"/>
        <w:rPr>
          <w:rFonts w:ascii="Palatino Linotype" w:hAnsi="Palatino Linotype"/>
          <w:sz w:val="18"/>
          <w:szCs w:val="18"/>
        </w:rPr>
      </w:pPr>
      <w:r w:rsidRPr="009235DC">
        <w:rPr>
          <w:rFonts w:ascii="Palatino Linotype" w:hAnsi="Palatino Linotype"/>
          <w:sz w:val="18"/>
          <w:szCs w:val="18"/>
        </w:rPr>
        <w:t>Similares disposiciones están contenidas en el artículo 54 de la Ley de Jurisdicción Agraria y 493 del Código de Trabajo de Costa Rica; 116.1 del Código Procesal Civil Italiano; 185 del Código Procesal Civil de Japón.</w:t>
      </w:r>
    </w:p>
  </w:footnote>
  <w:footnote w:id="56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Ulate Enrique. Un Derecho Procesal Social? Reflexiones en el proceso agrario, familiar, laboral, constitucional y supranacional En: Revista Iudex. Asociación Costarricense de la Judicatura, No. 1, agosto, 2013. P. 84-</w:t>
      </w:r>
    </w:p>
  </w:footnote>
  <w:footnote w:id="56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Campos Rivera</w:t>
      </w:r>
      <w:r>
        <w:rPr>
          <w:rFonts w:ascii="Palatino Linotype" w:hAnsi="Palatino Linotype"/>
          <w:sz w:val="18"/>
          <w:szCs w:val="18"/>
        </w:rPr>
        <w:t>.</w:t>
      </w:r>
      <w:r w:rsidRPr="009235DC">
        <w:rPr>
          <w:rFonts w:ascii="Palatino Linotype" w:hAnsi="Palatino Linotype"/>
          <w:sz w:val="18"/>
          <w:szCs w:val="18"/>
        </w:rPr>
        <w:t xml:space="preserve"> op. cit., pág. 51.  A juicio de este autor, lo cual compartimos, la libre valoración de la prueba no otorga a los jueces agrarios una libertad absoluta e irresponsable en la formación de su convencimiento. Por el contrario existe la obligación de indicar, en la motivación del fallo, los hechos y circunstancias que lo han llevado a adoptar la decisión. Es decir, debe basar su convicción en el resultado de las pruebas.</w:t>
      </w:r>
    </w:p>
  </w:footnote>
  <w:footnote w:id="56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Devis Echandia</w:t>
      </w:r>
      <w:r>
        <w:rPr>
          <w:rFonts w:ascii="Palatino Linotype" w:hAnsi="Palatino Linotype"/>
          <w:sz w:val="18"/>
          <w:szCs w:val="18"/>
        </w:rPr>
        <w:t>.</w:t>
      </w:r>
      <w:r w:rsidRPr="009235DC">
        <w:rPr>
          <w:rFonts w:ascii="Palatino Linotype" w:hAnsi="Palatino Linotype"/>
          <w:sz w:val="18"/>
          <w:szCs w:val="18"/>
        </w:rPr>
        <w:t xml:space="preserve"> op. cit., pág. 330.</w:t>
      </w:r>
    </w:p>
  </w:footnote>
  <w:footnote w:id="569">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“Si el juez es competente y cumple con celo riguroso su deber, la valoración que haga de la masa probatoria será eficiente y posiblemente aceptada, así goce de completa libertad de criterio; si es incompetente o irresponsable en el ejercicio de su cargo, la más rigurosa y detallada tarifa legal no impedirá sus desaciertos, que se verán aumentados con los defectos intrísecos del sistema”. Devis Echandia, op. cit., pág.- 330.</w:t>
      </w:r>
    </w:p>
  </w:footnote>
  <w:footnote w:id="57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Campos Rivera</w:t>
      </w:r>
      <w:r>
        <w:rPr>
          <w:rFonts w:ascii="Palatino Linotype" w:hAnsi="Palatino Linotype"/>
          <w:sz w:val="18"/>
          <w:szCs w:val="18"/>
        </w:rPr>
        <w:t>.</w:t>
      </w:r>
      <w:r w:rsidRPr="009235DC">
        <w:rPr>
          <w:rFonts w:ascii="Palatino Linotype" w:hAnsi="Palatino Linotype"/>
          <w:sz w:val="18"/>
          <w:szCs w:val="18"/>
        </w:rPr>
        <w:t xml:space="preserve"> Derecho Procesal Agrario, op. Cit., pág. 51.</w:t>
      </w:r>
    </w:p>
  </w:footnote>
  <w:footnote w:id="571">
    <w:p w:rsidR="00FC1DF6" w:rsidRPr="009235DC" w:rsidRDefault="00FC1DF6" w:rsidP="00E60FEF">
      <w:pPr>
        <w:pStyle w:val="Sangranormal"/>
        <w:spacing w:line="240" w:lineRule="auto"/>
        <w:ind w:firstLine="0"/>
        <w:rPr>
          <w:rFonts w:ascii="Palatino Linotype" w:hAnsi="Palatino Linotype"/>
          <w:sz w:val="18"/>
          <w:szCs w:val="18"/>
        </w:rPr>
      </w:pPr>
      <w:r w:rsidRPr="009235DC">
        <w:rPr>
          <w:rStyle w:val="Refdenotaalpie"/>
          <w:rFonts w:ascii="Palatino Linotype" w:eastAsiaTheme="minorEastAsia" w:hAnsi="Palatino Linotype"/>
          <w:sz w:val="18"/>
          <w:szCs w:val="18"/>
        </w:rPr>
        <w:footnoteRef/>
      </w:r>
      <w:r w:rsidRPr="009235DC">
        <w:rPr>
          <w:rFonts w:ascii="Palatino Linotype" w:hAnsi="Palatino Linotype"/>
          <w:sz w:val="18"/>
          <w:szCs w:val="18"/>
        </w:rPr>
        <w:t xml:space="preserve"> Sala Constitucional, Nº 2204 de las 11:06 horas del 27 de marzo de 1998.</w:t>
      </w:r>
    </w:p>
  </w:footnote>
  <w:footnote w:id="572">
    <w:p w:rsidR="00FC1DF6" w:rsidRPr="009235DC" w:rsidRDefault="00FC1DF6" w:rsidP="00E60FEF">
      <w:pPr>
        <w:ind w:right="49"/>
        <w:jc w:val="both"/>
        <w:rPr>
          <w:rFonts w:ascii="Palatino Linotype" w:hAnsi="Palatino Linotype" w:cs="Times New Roman"/>
          <w:sz w:val="18"/>
          <w:szCs w:val="18"/>
        </w:rPr>
      </w:pPr>
      <w:r w:rsidRPr="009235DC">
        <w:rPr>
          <w:rStyle w:val="Refdenotaalpie"/>
          <w:rFonts w:ascii="Palatino Linotype" w:hAnsi="Palatino Linotype" w:cs="Times New Roman"/>
          <w:sz w:val="18"/>
          <w:szCs w:val="18"/>
        </w:rPr>
        <w:footnoteRef/>
      </w:r>
      <w:r w:rsidRPr="009235DC">
        <w:rPr>
          <w:rFonts w:ascii="Palatino Linotype" w:hAnsi="Palatino Linotype" w:cs="Times New Roman"/>
          <w:sz w:val="18"/>
          <w:szCs w:val="18"/>
        </w:rPr>
        <w:t xml:space="preserve"> Por su importancia, se transcribe una sentencia de la Sala Constitucional sobre este principio, pilar del derecho procesal agrario costarricense:  “</w:t>
      </w:r>
      <w:r w:rsidRPr="009235DC">
        <w:rPr>
          <w:rFonts w:ascii="Palatino Linotype" w:hAnsi="Palatino Linotype" w:cs="Times New Roman"/>
          <w:iCs/>
          <w:sz w:val="18"/>
          <w:szCs w:val="18"/>
        </w:rPr>
        <w:t xml:space="preserve">I.- En relación con la valoración “a conciencia” de la prueba. </w:t>
      </w:r>
      <w:r w:rsidRPr="009235DC">
        <w:rPr>
          <w:rFonts w:ascii="Palatino Linotype" w:hAnsi="Palatino Linotype" w:cs="Times New Roman"/>
          <w:sz w:val="18"/>
          <w:szCs w:val="18"/>
        </w:rPr>
        <w:t xml:space="preserve">El accionante cuestiona la constitucionalidad del párrafo segundo del artículo 54 de la Ley de la Jurisdicción Agraria, en el tanto permite al juez valorar la prueba en conciencia y sin sujeción estricta a normas del derecho común, lo que considera violatorio de los principios de legalidad, igualdad, debido proceso, justicia pronta arts. 11, 33, 39 y 41 de la Constitución Política y el art. 154 de la Constitución Política. …De esta manera, lejos de afectar un derecho constitucional, establece un presupuesto procesal formal para garantizar precisamente el debido proceso: el de fundamentar la apreciación de la prueba que permitirá al eventual agraviado su defensa en relación con lo que es objeto de su perjuicio y al órgano superior hacer un examen justo de los autos que sean elevados a su conocimiento. Asimismo, cabe señalar que este principio es una manifestación de la aplicación del principio protector que rige la jurisdicción laboral, y que se concreta en el principio “in dubio pro operario”, que se justifica en virtud de la desigualdad básica que se da entre las partes -patrono/trabajador-, no solo por la relación de subordinación en que se halla el trabajador, sino, fundamentalmente por las natural disponibilidad de los medios de prueba que tiene el empleador, la cual contrasta sensiblemente con la dificultad del empleado en este aspecto. Debe hacerse la advertencia que lo que sí resulta contrario al orden constitucional es el fallar en conciencia y con total prescindencia de los demás elementos de convicción, tal y como lo señaló esta Sala en sentencia de constitucionalidad número 5546-95, de las quince horas seis minutos del once de octubre de mil novecientos noventa y cuatro. Con fundamento en lo anterior, es que procede interpretar la norma en cuestión de tal manera que no resulta inconstitucional la facultad de los jueces laborales de apreciar la prueba en conciencia, siempre y cuando se dicte un fallo fundamentado, en aplicación de las regias de la sana crítica y razonabilidad. Por tanto: Se declara sin lugar la acción".:. sentencia No. 4448-96 de las 9:00 horas del 30 de agosto de 1996.  Consecuente con la jurisprudencia transcrita, no resulta inconstitucional el poder otorgado al juez agrario para apreciar en conciencia la prueba y valorarla sin sujeción estricta a las normas del derecho común según lo dispuesto en el párrafo segundo del artículo 54 impugnado, siempre y cuando dicte un fallo fundamentado, es decir analice el resultado de la prueba recogida en el proceso y exprese los principios de equidad o de derecho en que basa su criterio, respetando de tal modo los contenidos mínimos del derecho de defensa . De ahí que procede rechazar por el fondo la acción en cuanto a este extremo…."El principio de igualdad, contenido en el Artículo 33 de la Constitución Política, implica que en todos los casos, se deba dar un trato igual prescindiendo de los posibles elementos diferenciadores de relevancia jurídica, que pueda existir; o lo que es lo mismo, no toda desigualdad constituye necesariamente una discriminación. La igualdad, como lo ha dicho esta Sala, solo es violada cuando la igualdad está desprovista de una justificación objetiva y razonable. Pero además, la causa de justificación del acto considerado desigual, debe ser evaluada en relación con la finalidad y sus efectos, de tal forma que deba existir, necesariamente, una relación razonable de proporcionalidad entre los medios empleados y la finalidad propiamente dicha. Es decir, que la igualdad debe entenderse en función de las circunstancias que ocurren en cada supuesto concreto en el que se invoca, de tal forma que la aplicación universal, no prohíbe que se contemplen soluciones distintas ante situaciones distintas, con tratamiento diverso. Todo lo expresado quiere decir, que la igualdad ante la ley no puede implicar una igualdad material o igualdad económica real y efectiva." Sentencia número 1770-94, y en igual sentido, la número 1045-94.” Consecuente con la jurisprudencia constitucional transcrita y dadas las características propias del derecho procesal agrario, resulta plenamente válido la implementación del método de valoración de la prueba en conciencia para los casos que regula el artículo 54 párrafo segundo de la Ley de la Jurisdicción Agraria cuestionado, por lo que no se evidencia violación alguna al principio de igualdad. Cada clase de proceso judicial –civil, penal, laboral, agrario, etc.- tiene, en razón de su naturaleza específica, características diferentes que obligan al legislador a crear normas y procedimientos que se ajusten a esa especial naturaleza y que al mismo tiempo, garanticen y protejan los derechos fundamentales de las distintas partes procesales. De ahí que aspectos como la valoración de la prueba, pueden variar de uno a otro proceso, sin que ello resulte lesivo a los principios del debido proceso. En razón de lo anterior debe desestimarse la acción en este sentido, y esta Sala no encuentra motivos para variar de criterio, ni razones de interés público que justifiquen reconsiderar la cuestión, por lo que la acción debe ser rechazada por el fondo.” </w:t>
      </w:r>
      <w:r w:rsidRPr="009235DC">
        <w:rPr>
          <w:rFonts w:ascii="Palatino Linotype" w:hAnsi="Palatino Linotype" w:cs="Times New Roman"/>
          <w:sz w:val="18"/>
          <w:szCs w:val="18"/>
          <w:lang w:val="es-ES_tradnl"/>
        </w:rPr>
        <w:t>Sala Constitucional, No. 3657, de las 14:44 horas del  7 de mayo del 2003.</w:t>
      </w:r>
    </w:p>
  </w:footnote>
  <w:footnote w:id="57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sym w:font="Symbol" w:char="F0B7"/>
      </w:r>
      <w:r w:rsidRPr="009235DC">
        <w:rPr>
          <w:rFonts w:ascii="Palatino Linotype" w:hAnsi="Palatino Linotype"/>
          <w:sz w:val="18"/>
          <w:szCs w:val="18"/>
        </w:rPr>
        <w:t xml:space="preserve"> Este trabajo ha sido fruto de una elaboración en diversas etapas. En todas ellas he tenido la suerte de contar con amigos que han leído críticamente sus diversos borradores. Quiero agradecer especialmente sus atinadas y generosas observaciones a Perfecto Andrés Ibáñez, Daniel González Lagier, Larry Laudan, Diego Papayannis, Daniel Pastor, Michele Taruffo, Jonatan Valenzuela y Carmen Vázquez. También he tenido la oportunidad de exponer el trabajo en diversos foros, como el II miniforo de epistemología jurídica México, D.F., el XVI congreso italo-español de teoría del derecho Barcelona, el III congreso internacional de derecho procesal: garantimo y crisis de la justicia Cartagena de Indias y las II Jornadas bi-nacionales de derecho procesal Lima. Agradezco a todos sus participantes por las sugerencias realizadas en sus respectivos debates. </w:t>
      </w:r>
    </w:p>
  </w:footnote>
  <w:footnote w:id="574">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Establece el artículo 24.2 de la vigente Constitución española que: “</w:t>
      </w:r>
      <w:r w:rsidRPr="009235DC">
        <w:rPr>
          <w:rStyle w:val="apple-style-span"/>
          <w:rFonts w:ascii="Palatino Linotype" w:hAnsi="Palatino Linotype"/>
          <w:sz w:val="18"/>
          <w:szCs w:val="18"/>
        </w:rPr>
        <w:t>Asimismo, todos tienen derecho al Juez ordinario predeterminado por la ley, a la defensa y a la asistencia de letrado, a ser informados de la acusación formulada contra ellos, a un proceso público sin dilaciones indebidas y con todas las garantías, a utilizar los medios de prueba pertinentes para su defensa, a no declarar contra sí mismos, a no confesarse culpables y a la presunción de inocencia”.</w:t>
      </w:r>
      <w:r w:rsidRPr="009235DC">
        <w:rPr>
          <w:rFonts w:ascii="Palatino Linotype" w:hAnsi="Palatino Linotype"/>
          <w:sz w:val="18"/>
          <w:szCs w:val="18"/>
        </w:rPr>
        <w:t xml:space="preserve"> Puede verse una buena presentación histórica en Vázquez Sotelo, 1984; Tomás y Valiente, 1987; Vegas Torres, 1993: 13-35; y Ovejero Puente, 2006: 21-71. A nivel internacional, la presunción de inocencia fue ya reconocida, bajo la influencia del pensamiento ilustrado  en el artículo 9.2 de la Declaración de Derechos del Hombre y del Ciudadano, en 1789: “Todo hombre sigue siendo inocente hasta que sea condenado; si se cree indispensable su detención, todo rigor que no sea necesario para el aseguramiento de su persona deberá ser severamente reprimido” sobre la ilustración penal vid. Beccaria, 1764: cap. XVI, p. 54 y, sobre la influencia de Beccaria en el pensamiento ilustrado francés, Esmein, 1882: 364. Por su parte, el artículo 11.1 de la Declaración Universal de Derecho Humanos, aprobada por la Asamblea General de las Naciones Unidas en 1948, establece que: </w:t>
      </w:r>
      <w:r w:rsidRPr="009235DC">
        <w:rPr>
          <w:rStyle w:val="apple-style-span"/>
          <w:rFonts w:ascii="Palatino Linotype" w:hAnsi="Palatino Linotype"/>
          <w:sz w:val="18"/>
          <w:szCs w:val="18"/>
        </w:rPr>
        <w:t>“</w:t>
      </w:r>
      <w:r w:rsidRPr="009235DC">
        <w:rPr>
          <w:rStyle w:val="nfasis"/>
          <w:rFonts w:ascii="Palatino Linotype" w:hAnsi="Palatino Linotype"/>
          <w:b w:val="0"/>
          <w:sz w:val="18"/>
          <w:szCs w:val="18"/>
        </w:rPr>
        <w:t>Toda persona acusada de un delito tiene derecho a que se presuma su inocencia</w:t>
      </w:r>
      <w:r w:rsidRPr="009235DC">
        <w:rPr>
          <w:rStyle w:val="apple-converted-space"/>
          <w:rFonts w:ascii="Palatino Linotype" w:hAnsi="Palatino Linotype"/>
          <w:iCs/>
          <w:sz w:val="18"/>
          <w:szCs w:val="18"/>
        </w:rPr>
        <w:t> </w:t>
      </w:r>
      <w:r w:rsidRPr="009235DC">
        <w:rPr>
          <w:rStyle w:val="nfasis"/>
          <w:rFonts w:ascii="Palatino Linotype" w:hAnsi="Palatino Linotype"/>
          <w:b w:val="0"/>
          <w:sz w:val="18"/>
          <w:szCs w:val="18"/>
        </w:rPr>
        <w:t>mientras no se pruebe su culpabilidad, conforme a la ley y en juicio público en el que se hayan asegurado todas las garantías necesarias para su defensa</w:t>
      </w:r>
      <w:r w:rsidRPr="009235DC">
        <w:rPr>
          <w:rStyle w:val="apple-style-span"/>
          <w:rFonts w:ascii="Palatino Linotype" w:hAnsi="Palatino Linotype"/>
          <w:sz w:val="18"/>
          <w:szCs w:val="18"/>
        </w:rPr>
        <w:t>”. El artículo 14.2 del Pacto Internacional de Derechos Civiles y Políticos, aprobado por la Asamblea General de las Naciones Unidas en 1966, dispone que: “Toda persona acusada de un delito tiene derecho a que se presuma su inocencia mientras no se pruebe su culpabilidad conforme a la ley”. El artículo 8.2 de la Convención Americana sobre Derechos Humanos, conocida como Pacto de San José de Costa Rica, establece que: “Toda persona acusada de un delito tiene derecho a que se presuma su inocencia mientras no se pruebe su culpabilidad conforme a la ley”. El artículo 6.2. del Convenio Europeo para la Protección de los Derechos Humanos y de las Libertades Fundamentales, de 1950, regula que “Toda persona acusada de una infracción se presume inocente hasta que su culpabilidad haya sido legalmente declarada”. Y casi idéntica redacción tiene, finalmente, el artículo 48.1 de la Carta de los Derechos Fundamentales de la Unión Europea: “Todo acusado se presume inocente hasta que su culpabilidad haya sido legalmente declarada”.</w:t>
      </w:r>
    </w:p>
  </w:footnote>
  <w:footnote w:id="57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Más tarde, como veremos, el propio Tribunal ha modificado su doctrina sobre la relación entre la presunción de inocencia y el principio del in dubio pro reo. </w:t>
      </w:r>
    </w:p>
  </w:footnote>
  <w:footnote w:id="57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Lo que ha sido asumido de forma general por parte de la doctrina española vid. al respecto Vázquez Sotelo, 1984: 268-279; Romero Arias, 1985: 38 ss.. En efecto, una norma que establece una presunción tiene la forma “Si está probado A, presúmase B”. A es el hecho base de la presunción. B el hecho presumido. Si la presunción es iuris tantum, será posible derrotarla en caso de que se pruebe que, aunque haya ocurrido A no ha ocurrido B, pero la no ocurrencia de B deberá ser probada para derrotar la presunción. Si la presunción es iuris et de iure, una vez probada la ocurrencia de A, B será presumido y aceptado en el razonamiento sin posibilidad de prueba en contrario al respecto, vid., por todos, Wróblewski, 1974: 48 y Mendonca, 1998: 92. Pero resulta que en la llamada presunción de inocencia no hay ningún hecho base, A, a partir de cuya prueba se desencadene la presunción, lo que permitiría dudar de que ésta ser una norma presuntiva. La jurisprudencia del Tribunal Constitucional y del Tribunal Supremo, en cambio, ha venido considerando la presunción de inocencia como una verdadera presunción iuris tantum una buena representación de las tesis jurisprudenciales puede encontrarse en Montañés Pardo, 1999: 43-44. Vid., en el mismo sentido que el TC y el TS, Luzón Cuesta, 1991: 13-14. Cfr. también lo dicho en la nota 14, más abajo.</w:t>
      </w:r>
    </w:p>
  </w:footnote>
  <w:footnote w:id="57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Hay que advertir que los aspectos procesales de la presunción de inocencia se plantearon inicialmente en el estricto margen del proceso penal, pero hoy se admite de forma general que no se agotan en él, sino que abarcan a todo proceso “donde se trate de la aplicación de sanciones, aunque no sean penales.” Vázquez Sotelo, 1984: 300; también, entre otros, Gimeno Sendra, 1982: 189; Ramos Méndez, 1988: 15;  Pedrajas Moreno, 1992: 235 ss.. A nivel jurisprudencial, así ha sido también establecido por la STC 13/1982, a la que han seguido otras muchas. </w:t>
      </w:r>
    </w:p>
  </w:footnote>
  <w:footnote w:id="57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Aunque el punto no está exento de discusión, buena parte de la dogmática ha seguido también la doctrina jurisprudencial acerca del alcance extraprocesal de la presunción de inocencia. Vid., por ejemplo, Luzón Cuesta, 1991: 13. </w:t>
      </w:r>
    </w:p>
  </w:footnote>
  <w:footnote w:id="579">
    <w:p w:rsidR="00FC1DF6" w:rsidRPr="009235DC" w:rsidRDefault="00FC1DF6" w:rsidP="009235DC">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Cfr. por lo que hace al Tribunal Constitucional, entre otras, la STC 219/1992 y, por parte del Tribunal Supremo, la STS de 16 de marzo de 1990. La aplicabilidad de la presunción de inocencia a ámbitos extraprocesales es uno de los argumentos que utiliza Ovejero Puente 2006: 87 ss. para negarle el carácter de garantía procesal. El otro argumento es el carácter constitucional y no procesal del derecho a la presunción de inocencia. El alcance del primer argumento será discutido enseguida en el texto. El segundo argumento parece, a mi entender, una clara confusión entre el carácter procesal o sustantivo de una norma y su jerarquía normativa. En este sentido, la ubicación de la norma en la fuente constitucional nada dice acerca de su carácter procesal o sustantivo.</w:t>
      </w:r>
    </w:p>
  </w:footnote>
  <w:footnote w:id="58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En lo que ahora importa, el artículo 10 de la Constitución española reconoce el derecho a la dignidad y el artículo 18 el derecho al honor y a la propia imagen.</w:t>
      </w:r>
    </w:p>
  </w:footnote>
  <w:footnote w:id="58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Para una crítica, a mi entender no convincente, vid. Ovejero Puente, 2006: 365-374.</w:t>
      </w:r>
    </w:p>
  </w:footnote>
  <w:footnote w:id="58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El propio Tribunal Constitucional español ha percibido y declarado expresamente que se trata de reglas y derechos distintos, que estarían constitucionalizados mediante el nombre común de ‘presunción de inocencia’. Vid. STC 66/1984, F.J. 1º.</w:t>
      </w:r>
    </w:p>
  </w:footnote>
  <w:footnote w:id="58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vid. también, entre otros muchos, Vega Torres, 1993: 35 ss.; Andrés Ibáñez, P., 1992: 274; se podría decir que, en este punto, tanto la jurisprudencia española como buena parte de la doctrina han seguido las tesis de la denominada Escuela clásica del derecho penal, encabezada en Italia por Carrara. Vid., al respecto una buena presentación en Vega Torres, 1993: 20 ss.</w:t>
      </w:r>
    </w:p>
  </w:footnote>
  <w:footnote w:id="58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No puedo aquí abordar este espinoso tema por razones de espacio. Solo diré que, si los principios son normas cuyas condiciones de aplicación están parcialmente abiertas, entonces no pueden ser aplicados para resolver un caso hasta tanto no se hayan cerrado sus condiciones de aplicación, i.e., convertido en reglas.</w:t>
      </w:r>
    </w:p>
  </w:footnote>
  <w:footnote w:id="58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Vid. Hohfeld, 1913: 47. </w:t>
      </w:r>
    </w:p>
  </w:footnote>
  <w:footnote w:id="58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También ponen, precisamente, en discusión el carácter de la presunción de inocencia como principio informador de todo el proceso penal, aunque por razones parcialmente distintas a las expuestas aquí pero no incompatibles con ellas, Chiavario 1991: 614-615 y Fernández López 2005: 122-3.</w:t>
      </w:r>
    </w:p>
  </w:footnote>
  <w:footnote w:id="58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Obsérvese, en la línea de lo señalado en la nota 3, que no tiene sentido siquiera pensar el derecho a la presunción de inocencia como regla de trato en forma de regla presuntiva. No se trata de que, dado un hecho A, deba presumirse un hecho B i.e., la inocencia. Y menos aún que esta presunción, como sostiene una parte de la doctrina y la jurisprudencia, sea una presunción iuris tantum. Como regla de trato, ¿qué permitiría destruir la presunción? ¿qué es lo que hay que presumir? Más bien parece tener la forma de una ficción jurídica: la regla establece que, hasta el momento en que recaiga sentencia condenatoria, el acusado debe ser tratado como si fuera inocente. La discusión sobre la compatibilidad de esta regla con las medidas cautelares en el proceso penal sería, entonces, un debate sobre el ámbito de aplicación de la referida ficción, i.e., sobre cuáles son los supuestos en los que procede aplicarla y cuáles son los supuestos en los que la regla no es aplicable y, por tanto, pueden ser aplicadas medidas cautelares que no traten al acusado como si fuera inocente. Volveré sobre este punto, en el texto, al final de este epígrafe.</w:t>
      </w:r>
    </w:p>
  </w:footnote>
  <w:footnote w:id="58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Podría sostenerse que la prisión preventiva, como cualquier otra medida cautelar, no supone en ningún caso una anticipación de la pena. Aquella conlleva, efectivamente, una privación de libertad, pero no toda privación de libertad es una pena en sentido estricto. Así es, por ejemplo, en el caso de las medidas de seguridad, internamientos forzosos por razones sanitarias, etc. La pena tendría siempre como una de sus características definitorias el reproche, cosa que no se daría en el caso de la prisión preventiva. Citar a von Hirsch. No es el objeto de este trabajo discutir las distintas teorías sobre la noción de pena o castigo y su justificación. Sin embargo, creo que aún si se entendiera de este modo retribucionista la pena, no se salvan los problemas señalados en este epígrafe. El punto de partida principal, en mi opinión, es determinar qué significa “tratar como si fuera inocente”. Pues bien, estimo que la respuesta es relativa al propio sistema jurídico: hay que dar al imputado el mismo tratamiento que sería consecuencia de la declaración de inocencia, es decir, hay que determinar cuál es el trato que se establece como consecuencia de la declaración de inocencia en el proceso y ese mismo trato es que el debe darse al imputado hasta tanto no recaiga sentencia condenatoria. Si esto es así, resulta claro que la declaración de inocencia, como tal, no tiene como consecuencia en nuestros sistemas aunque claro, esto es contingente ningún tipo de medida de seguridad. Estas podrán tomarse, en su caso, pero no son en sentido estricto una consecuencia jurídica de la declaración de inocencia sino, en su caso, de otros antecedentes.</w:t>
      </w:r>
    </w:p>
  </w:footnote>
  <w:footnote w:id="589">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Vid., por todos, Montesquieu, 1748: libro XII, caps. 1-4, pp. 171-5; y una presentación moderna en Hassemer, 1983: 105 ss.</w:t>
      </w:r>
    </w:p>
  </w:footnote>
  <w:footnote w:id="59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Se podría citar aquí a Ferrajoli como defensor de las tesis abolicionistas de la prisión preventiva. Vid. Ferrajoli, 1998: 566-572. Impedir el uso de la prisión preventiva es, para este autor, la mejor manera de evitar caer en el habitual abuso de la misma. Sin embargo, la argumentación que desarrolla Ferrajoli deja abiertas algunas posibilidades que, como bien ha señalado Pastor 2010: 131 ss, permitirían situarlo entre los defensores de las tesis compatibilistas más restrictivas de la presunción de inocencia.</w:t>
      </w:r>
    </w:p>
  </w:footnote>
  <w:footnote w:id="59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Entre los autores compatibilistas encontramos a buena parte de los clásicos ilustrados. Vid., por ejemplo, Hobbes, 1651: § XXVIII, pp. 249, 252 y Beccaria, 1764: § XIX, p. 62. Y en nuestros días, solo por citar algunos nombres: Illuminati, 1979: 33; Hassemer, 1983: 115-6; Fernández López, 2005: 123-138; y Pastor, 2010: 131 ss.</w:t>
      </w:r>
    </w:p>
  </w:footnote>
  <w:footnote w:id="59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Es aplicable aquí una reflexión de Hart que él hace a propósito de quienes disuelven los conflictos entre derecho y moral sosteniendo que la norma injusta no es derecho y, por tanto, no hay verdadero conflicto entre derecho y moral: “… si hemos aprendido algo de la historia de la moral, es que la reacción adecuada frente a un conflicto de ese tipo es no ocultarlo. Las situaciones en que la vida nos fuerza a elegir […] el menor de dos males deben ser asidas, como las ortigas, con la conciencia de que son lo que son.” El defecto de la estrategia que niegan el conflicto “es que servirá para enmascarar la verdadera naturaleza del problema que enfrentamos, y favorecerá el optimismo romántico de que todos los valores que estimamos terminarán por ensamblarse en un sistema único, sin que ninguno de ellos tenga que ser sacrificado o comprometido para dar cabida al otro”. Hart, 1958: 48.</w:t>
      </w:r>
    </w:p>
  </w:footnote>
  <w:footnote w:id="59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Seguiré la distinción propuesta por Fernández López 2005: 139 ss. entre la faceta de la presunción de inocencia como regla probatoria y la faceta como regla de juicio sobre los hechos. Por supuesto, en un sentido puede decirse que ambas son aspectos de la prueba en el proceso, pero creo que su separación permite percibir con mayor claridad que la primera versa sobre la prueba como actividad en el proceso judicial, mientras que la segunda versa sobre la prueba como resultado de aquella actividad, es decir, sobre la declaración de hechos probados a realizar en la sentencia judicial. Sobre la distinción de la prueba como actividad y como resultado, vid. Ferrer, 2003: 40-3. </w:t>
      </w:r>
    </w:p>
  </w:footnote>
  <w:footnote w:id="59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Vega Torres 1993: 43-5 presenta un argumento interesante en este punto y parcialmente distinto de lo sostenido por el Tribunal Constitucional. Así, sostiene el autor, la presunción de inocencia no atribuye per se todos esos derechos al imputado. Se trata, más bien, de una norma constitucional en blanco que convierte en derecho fundamental el cumplimiento de las reglas probatorias legales. Esto es lo que significaría que la sentencia condenatoria debe ser la conclusión de un procedimiento probatorio conforme con la ley. Pero la constitución delegaría en la ley la determinación de cuál es ese procedimiento probatorio. En todo caso, por las razones que expondré enseguida en el texto, tampoco este argumento me parece convincente.  </w:t>
      </w:r>
    </w:p>
  </w:footnote>
  <w:footnote w:id="59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Vid. STC 209/2001, F.J. 4º, tanto para la fundamentación de este requisito como para las excepciones que el propio Tribunal reconoce, en las que serían admisibles prueba anticipadas y preconstituidas. Una presentación general puede verse en Fernández López, 2005: 146-150.</w:t>
      </w:r>
    </w:p>
  </w:footnote>
  <w:footnote w:id="59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Si se considerara que la exclusión de la prueba ilícita es un efecto de la presunción de inocencia, no tendría sentido excluir esa prueba, como se hace en España, cuando surta efectos favorables a la defensa si ésta no es responsable de la ilicitud. De hecho, en el derecho anglosajón y también en algunos países del civil law como Italia o Brasil, por ejemplo la regla general es la admisibilidad de la prueba en esos casos. También entre nosotros lo han reclamado así diversos autores: vid., por ejemplo, Miranda Estrampes, 2003: 65; De la Oliva, 2003: 10; y una presentación general en Gómez Colomer, 2008, y Armenta Deu, 2009: especialmente 74-76. Entiéndase bien: no estoy defendiendo que la admisión de la prueba ilícita favorable a la defensa vincularía de algún modo la regulación de la admisibilidad de esa prueba con la presunción de inocencia: sostengo que no tiene sentido afirmar que la exclusión de la prueba ilícita es consecuencia de la protección de la presunción de inocencia y, a la vez, excluir la prueba favorable a la defensa.</w:t>
      </w:r>
    </w:p>
  </w:footnote>
  <w:footnote w:id="59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Vid. referencias al respecto en Ferrajoli, 1998: 172, nota 47.</w:t>
      </w:r>
    </w:p>
  </w:footnote>
  <w:footnote w:id="59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Se discute aquí si la presunción de inocencia sería aplicable entre particulares, i.e., entre empresario y trabajador, o bien si entra en juego únicamente en el momento de la judicialización de las relaciones del trabajo, en un proceso laboral. Las líneas doctrinales y jurisprudenciales no son constantes al respecto, aunque tienden progresivamente a optar por esta última opción. Al respecto, vid. Rodríguez-Piñero 1990: 6 y Pedrajas Moreno 1992: 241 ss.. </w:t>
      </w:r>
    </w:p>
  </w:footnote>
  <w:footnote w:id="599">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Las mismas tesis pueden encontrarse en la doctrina. Vid, por todos, Alonso Olea-Casas Baamonde: 1987: 404; y Pedrajas Moreno, 1992: 241 ss.</w:t>
      </w:r>
    </w:p>
  </w:footnote>
  <w:footnote w:id="60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Lo que, para los efectos de este trabajo, me comprometería con una tesis fuerte de la interpretación que no necesito, i.e., que hay interpretaciones verdaderas y falsas.</w:t>
      </w:r>
    </w:p>
  </w:footnote>
  <w:footnote w:id="60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Vid. una excelente presentación de la evolución jurisprudencial y doctrinal española en Fernández López, 2005: 162 ss.</w:t>
      </w:r>
    </w:p>
  </w:footnote>
  <w:footnote w:id="60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En este sentido, vid. la STC 31/1981, F.J. 2º, seguida después por muchas otras. Especialmente clara resulta la STC 107/1983, F.J. 2º, al afirmar que “la presunción de inocencia, que limitadamente venía siendo un mero principio teórico de derecho, en el ámbito de la jurisdicción criminal, a través del axioma in dubio pro reo, relacionado con la valoración benigna de las pruebas en caso de incertidumbre, pasó a convertirse en un amplio derecho fundamental al constitucionalizarse su existencia en el artículo 24.2 CE …”.</w:t>
      </w:r>
    </w:p>
  </w:footnote>
  <w:footnote w:id="60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Fundamentalmente a partir de 1989, aunque ya pueden encontrarse precedentes desde dos o tres años antes. La primera teorización de la diferencia entre presunción de inocencia como regla de juicio e in dubio pro reo puede encontrarse en la STC 44/1989, F.J. 2º. En un sentido muy crítico con la distinción elaborada, vid. Andrés Ibáñez, 1996: 257, nota 25. También Fernández López, 2005: 178 ss.</w:t>
      </w:r>
    </w:p>
  </w:footnote>
  <w:footnote w:id="60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 parecidas consecuencias llegan todos los autores que sostienen una concepción subjetivista, irracionalista de la valoración de la prueba. Valga como ejemplo Vegas Torres, 1993: 181.</w:t>
      </w:r>
    </w:p>
  </w:footnote>
  <w:footnote w:id="60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Style w:val="apple-style-span"/>
          <w:rFonts w:ascii="Palatino Linotype" w:hAnsi="Palatino Linotype" w:cs="Lucida Sans Unicode"/>
          <w:sz w:val="18"/>
          <w:szCs w:val="18"/>
        </w:rPr>
        <w:t xml:space="preserve">En el mismo sentido, de forma muy clara, se expresa la STC 66/2009, F.J. 6º. Por citar solo dos sentencias del Tribunal Supremo, vid. las SSTS 258/2003, de 25 de febrero, F.J. 3º y 1991/2002, de 25 de noviembre, F.J. 13º. </w:t>
      </w:r>
    </w:p>
  </w:footnote>
  <w:footnote w:id="60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Como diría Tomás de Aquino, “in negotiis humanis non potest haberi probatio demonstrativa et infallibilis, sed sufficit aliqua coniecturalis probabilitas”. Vid. Tomás de Aquino, Summa Theologiae, Ia, IIae, quaestio CV, art. 2, ad octavum.</w:t>
      </w:r>
    </w:p>
  </w:footnote>
  <w:footnote w:id="607">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De este modo, podría decirse que la presunción de inocencia es compatible con distintos estándares de prueba, no necesariamente muy elevados. Las razones para fijar el estándar de prueba en un punto de alta exigencia probatoria tienen que ver más bien con la distribución de la ratio de errores positivos inocentes condenados y negativos culpables absueltos que, como sociedad, estamos dispuestos a soportar. Al respecto, vid. Stein 2005: 133-4, Laudan 2006: 68 y Ferrer 2007: 139 ss.. </w:t>
      </w:r>
    </w:p>
  </w:footnote>
  <w:footnote w:id="60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Claro está que, hoy en día, no todos delitos tienen como consecuencia jurídica la privación de libertad o, en algunos países, la aún más grave pérdida de la vida. La expansión sin medida del derecho penal ha supuesto también la diversificación de los tipos de penas. Esta es, en mi opinión, una buena razón para que también los estándares de prueba penales puedan ser diversos, más o menos exigentes, en función de los bienes en juego en caso de condena.</w:t>
      </w:r>
    </w:p>
  </w:footnote>
  <w:footnote w:id="609">
    <w:p w:rsidR="00FC1DF6" w:rsidRPr="009235DC" w:rsidRDefault="00FC1DF6" w:rsidP="00E60FEF">
      <w:pPr>
        <w:pStyle w:val="Textonotapie"/>
        <w:jc w:val="both"/>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Abogado Costa Rica y El Salvador. LLM en arbitraje internacional comercial de la Universidad de Estocolmo Suecia y licenciatura en ciencias jurídicas por la Escuela Superior de Economía y Negocios El Salvador. Contacto: </w:t>
      </w:r>
      <w:hyperlink r:id="rId8" w:history="1">
        <w:r w:rsidRPr="009235DC">
          <w:rPr>
            <w:rStyle w:val="Hipervnculo"/>
            <w:rFonts w:ascii="Palatino Linotype" w:hAnsi="Palatino Linotype"/>
            <w:color w:val="auto"/>
            <w:sz w:val="18"/>
            <w:szCs w:val="18"/>
            <w:u w:val="none"/>
          </w:rPr>
          <w:t>herman.duarte@gmail.com</w:t>
        </w:r>
      </w:hyperlink>
    </w:p>
  </w:footnote>
  <w:footnote w:id="61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“La teoría de juegos o teoría de las decisiones interactivas es el estudio del comportamiento estratégico cuando dos o más individuos interactúan y cada decisión individual resulta de lo qué el o ella espera que los otros hagan. Es decir, qué debemos esperar que suceda a partir de las interacciones entre individuos.” Monsalve, S. 2003. John Nash y la teoría de juegos. Universidad Nacional de Colombia,  Lectura Matemáticas, Vol. 24, pág. 137-149. Disponible en: http://www.scm.org.co/aplicaciones/revista/Articulos/735.pdf .   También Poundstone, W 2015. El Dilema del Prisionero: John Von Neumann, la teoría de juegos y la bomba. Alianza Editorial.</w:t>
      </w:r>
    </w:p>
  </w:footnote>
  <w:footnote w:id="611">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 La memoria de Von Neumann fue en gran parte responsable de su mito. Es difícil demostrar que eres un genio en un té de la facultad o en un cóctel: mostrar tu Buena memoria es otra cosa. Los auténticos hipermnésicos aquellos que poseen la capacidad de memoria fotográfica son casos aislados. No sacan provecho de su habilidad. La memoria del famoso paciente S. del piscologo ruso A.r. Luria le llevó a  una tragedia ya anunciada. S. no pudo distinguir entre las experiencias del momento y los recueros del pasado, demasiado intensos; acabo sus días en un sanatorio psiquiátrico. Afortunadamente, la memoria de Von Neumann era más selective, Klara afirmaba que su marido no se acordba de lo que habia comido ese día, pero que era capz de recorder cada palabra de un libro que haabía leído hace quince años. Herman Goldsine confirma esta anécdota en apariencia exagerada en su libro The Computer from Pascal to Von Neuman…” Poundstone, W 2015. El Dilema del Prisionero: John Von Neumann, la teoría de juegos y la bomba. Alianza Editorial, pág.70.</w:t>
      </w:r>
    </w:p>
  </w:footnote>
  <w:footnote w:id="61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Sobre el personaje Mike Ross de la serie de USA Network “Suits”: </w:t>
      </w:r>
      <w:hyperlink r:id="rId9" w:history="1">
        <w:r w:rsidRPr="009235DC">
          <w:rPr>
            <w:rStyle w:val="Hipervnculo"/>
            <w:rFonts w:ascii="Palatino Linotype" w:hAnsi="Palatino Linotype"/>
            <w:color w:val="auto"/>
            <w:sz w:val="18"/>
            <w:szCs w:val="18"/>
            <w:u w:val="none"/>
          </w:rPr>
          <w:t>http://www.usanetwork.com/suits/cast/mike-ross</w:t>
        </w:r>
      </w:hyperlink>
      <w:r w:rsidRPr="009235DC">
        <w:rPr>
          <w:rFonts w:ascii="Palatino Linotype" w:hAnsi="Palatino Linotype"/>
          <w:sz w:val="18"/>
          <w:szCs w:val="18"/>
        </w:rPr>
        <w:t>.</w:t>
      </w:r>
    </w:p>
  </w:footnote>
  <w:footnote w:id="613">
    <w:p w:rsidR="00FC1DF6" w:rsidRPr="009235DC" w:rsidRDefault="00FC1DF6" w:rsidP="00E60FEF">
      <w:pPr>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“research has proven that memory can be brittle, rangy, and easily influenced. Certainly, memories can be true; however, they are undoubtedly shaped by the telling and the listener.</w:t>
      </w:r>
      <w:r w:rsidRPr="009235DC">
        <w:rPr>
          <w:rFonts w:ascii="Palatino Linotype" w:hAnsi="Palatino Linotype"/>
          <w:sz w:val="18"/>
          <w:szCs w:val="18"/>
          <w:vertAlign w:val="superscript"/>
          <w:lang w:val="en-US"/>
        </w:rPr>
        <w:t xml:space="preserve"> </w:t>
      </w:r>
      <w:r w:rsidRPr="009235DC">
        <w:rPr>
          <w:rFonts w:ascii="Palatino Linotype" w:hAnsi="Palatino Linotype"/>
          <w:sz w:val="18"/>
          <w:szCs w:val="18"/>
          <w:lang w:val="en-US"/>
        </w:rPr>
        <w:t>..the Lego blocks of the nervous system. The results of this process are layers of memory, ranging from immediate or sensory memory to skill memory to emotional memory that records the sensations, images, and scents of an emotional situation.”</w:t>
      </w:r>
      <w:r w:rsidRPr="009235DC">
        <w:rPr>
          <w:rFonts w:ascii="Palatino Linotype" w:hAnsi="Palatino Linotype"/>
          <w:sz w:val="18"/>
          <w:szCs w:val="18"/>
          <w:vertAlign w:val="superscript"/>
          <w:lang w:val="en-US"/>
        </w:rPr>
        <w:t xml:space="preserve"> </w:t>
      </w:r>
      <w:r w:rsidRPr="009235DC">
        <w:rPr>
          <w:rFonts w:ascii="Palatino Linotype" w:hAnsi="Palatino Linotype"/>
          <w:sz w:val="18"/>
          <w:szCs w:val="18"/>
          <w:lang w:val="en-US"/>
        </w:rPr>
        <w:t xml:space="preserve">Kellog, S.2014.  Flawed Record: The Fragility of Eyewitness Memory. Washignton Lawyer, disponible en: </w:t>
      </w:r>
      <w:hyperlink r:id="rId10" w:history="1">
        <w:r w:rsidRPr="009235DC">
          <w:rPr>
            <w:rStyle w:val="Hipervnculo"/>
            <w:rFonts w:ascii="Palatino Linotype" w:hAnsi="Palatino Linotype"/>
            <w:color w:val="auto"/>
            <w:sz w:val="18"/>
            <w:szCs w:val="18"/>
            <w:u w:val="none"/>
            <w:lang w:val="en-US"/>
          </w:rPr>
          <w:t>https://www.dcbar.org/barresources/publications/washington-lawyer/articles/november-2014-eyewitness.cfm</w:t>
        </w:r>
      </w:hyperlink>
      <w:r w:rsidRPr="009235DC">
        <w:rPr>
          <w:rFonts w:ascii="Palatino Linotype" w:hAnsi="Palatino Linotype"/>
          <w:sz w:val="18"/>
          <w:szCs w:val="18"/>
          <w:lang w:val="en-US"/>
        </w:rPr>
        <w:t>.</w:t>
      </w:r>
    </w:p>
  </w:footnote>
  <w:footnote w:id="614">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La metáfora de la mente como un recipiente con agua cristalina y cada memoria como una gota de leche que se mezcla en el agua, es una metáfora muy útil para comprender lo complejo que es el campo de la memoria. </w:t>
      </w:r>
      <w:r w:rsidRPr="009235DC">
        <w:rPr>
          <w:rFonts w:ascii="Palatino Linotype" w:hAnsi="Palatino Linotype"/>
          <w:sz w:val="18"/>
          <w:szCs w:val="18"/>
          <w:lang w:val="en-US"/>
        </w:rPr>
        <w:t xml:space="preserve">Loftus, E. y Ketchum, K. 1994. The Myth of repressed memory: false memories and allegations of sexual abuse. </w:t>
      </w:r>
      <w:r w:rsidRPr="009235DC">
        <w:rPr>
          <w:rFonts w:ascii="Palatino Linotype" w:hAnsi="Palatino Linotype"/>
          <w:sz w:val="18"/>
          <w:szCs w:val="18"/>
        </w:rPr>
        <w:t>St. Martin´s Griffin, Pág. 3. En otro libro, la doctora Loftus explica que después de transcurrido un tiempo considerable es posible que exista una fusión de ideas de dos fuentes separadas. Loftus, E. Eyewitness Testimony. Harvard University Press, p.70</w:t>
      </w:r>
    </w:p>
  </w:footnote>
  <w:footnote w:id="61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Inception 2010. Dirigida por Christopher Nolan Estados Unidos de América, Warner Bros Picture.  http://www.imdb.com/title/tt1375666/</w:t>
      </w:r>
    </w:p>
  </w:footnote>
  <w:footnote w:id="616">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Un recuento histórico, que comienza con la mención a Herman Ebbinghause, el padre de la psicología de la memoria hasta los estudios más recientes de la memoria puede revisarse en: Jáuregui, M. y Razumiejczk, E.2011 Memoria y Aprendizaje: Una revisión de los aportes cognitivos. Revista Virtual de la Facultad de Psicología y Psicopedagogía de la Universidad de Salvador, p.26.</w:t>
      </w:r>
    </w:p>
    <w:p w:rsidR="00FC1DF6" w:rsidRPr="009235DC" w:rsidRDefault="00FC1DF6" w:rsidP="00E60FEF">
      <w:pPr>
        <w:jc w:val="both"/>
        <w:rPr>
          <w:rFonts w:ascii="Palatino Linotype" w:hAnsi="Palatino Linotype"/>
          <w:sz w:val="18"/>
          <w:szCs w:val="18"/>
        </w:rPr>
      </w:pPr>
      <w:r w:rsidRPr="009235DC">
        <w:rPr>
          <w:rFonts w:ascii="Palatino Linotype" w:hAnsi="Palatino Linotype"/>
          <w:sz w:val="18"/>
          <w:szCs w:val="18"/>
        </w:rPr>
        <w:t>La memoria, según Tulving 1987, es la capacidad de los organismos de adquirir, retener y utilizar conocimiento o información. Atkinson y Shiffrin 1971, 1983 la proponen constituida como multialmacén, que incluye un registro sensorial, una memoria a corto plazo y una memoria a largo plazo. Jáuregui, M. y Razumiejczk, E.2011, Op. Cit., Pág. 36.</w:t>
      </w:r>
    </w:p>
  </w:footnote>
  <w:footnote w:id="617">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Kahneman, D 2011. </w:t>
      </w:r>
      <w:r w:rsidRPr="009235DC">
        <w:rPr>
          <w:rFonts w:ascii="Palatino Linotype" w:hAnsi="Palatino Linotype"/>
          <w:sz w:val="18"/>
          <w:szCs w:val="18"/>
          <w:lang w:val="en-US"/>
        </w:rPr>
        <w:t xml:space="preserve">“Think Fast and Slow”, MacMillan Publishers, Kindle Edition. Y Gladwell, M. 2006.  Así como “Blink: The power of thinking without thinking”, Penguin Books, Kindle Edition.  </w:t>
      </w:r>
      <w:r w:rsidRPr="009235DC">
        <w:rPr>
          <w:rFonts w:ascii="Palatino Linotype" w:hAnsi="Palatino Linotype"/>
          <w:sz w:val="18"/>
          <w:szCs w:val="18"/>
        </w:rPr>
        <w:t xml:space="preserve">Para un estudio sobre las heurísticas o atajos mentales aplicados a la toma de decisiones judiciales, ver: Guthrie, C., Rachlinskit J., y Wistrich A. 2007. </w:t>
      </w:r>
      <w:r w:rsidRPr="009235DC">
        <w:rPr>
          <w:rFonts w:ascii="Palatino Linotype" w:hAnsi="Palatino Linotype"/>
          <w:sz w:val="18"/>
          <w:szCs w:val="18"/>
          <w:lang w:val="en-US"/>
        </w:rPr>
        <w:t xml:space="preserve">Blinking on the Bench: How Judges decide cases. Cornell Law Review. </w:t>
      </w:r>
      <w:r w:rsidRPr="009235DC">
        <w:rPr>
          <w:rFonts w:ascii="Palatino Linotype" w:hAnsi="Palatino Linotype"/>
          <w:sz w:val="18"/>
          <w:szCs w:val="18"/>
          <w:lang w:val="es-CR"/>
        </w:rPr>
        <w:t xml:space="preserve">Disponible en: </w:t>
      </w:r>
      <w:hyperlink r:id="rId11" w:history="1">
        <w:r w:rsidRPr="009235DC">
          <w:rPr>
            <w:rStyle w:val="Hipervnculo"/>
            <w:rFonts w:ascii="Palatino Linotype" w:hAnsi="Palatino Linotype"/>
            <w:color w:val="auto"/>
            <w:sz w:val="18"/>
            <w:szCs w:val="18"/>
            <w:u w:val="none"/>
            <w:lang w:val="es-CR"/>
          </w:rPr>
          <w:t>http://scholarship.law.cornell.edu/cgi/viewcontent.cgi?article=1707&amp;context=facpub</w:t>
        </w:r>
      </w:hyperlink>
      <w:r w:rsidRPr="009235DC">
        <w:rPr>
          <w:rFonts w:ascii="Palatino Linotype" w:hAnsi="Palatino Linotype"/>
          <w:sz w:val="18"/>
          <w:szCs w:val="18"/>
          <w:lang w:val="es-CR"/>
        </w:rPr>
        <w:t>.</w:t>
      </w:r>
    </w:p>
  </w:footnote>
  <w:footnote w:id="61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Duarte, H. 2014, ¿Cómo los árbitros deciden? Factores psicológicos a considerar durante las deliberaciones” conferencia presentada en el Costa Rica Arbitration Day 2014, disponible en: </w:t>
      </w:r>
      <w:hyperlink r:id="rId12" w:history="1">
        <w:r w:rsidRPr="009235DC">
          <w:rPr>
            <w:rStyle w:val="Hipervnculo"/>
            <w:rFonts w:ascii="Palatino Linotype" w:hAnsi="Palatino Linotype"/>
            <w:color w:val="auto"/>
            <w:sz w:val="18"/>
            <w:szCs w:val="18"/>
            <w:u w:val="none"/>
          </w:rPr>
          <w:t>https://www.youtube.com/watch?v=xysL8o9mg4I</w:t>
        </w:r>
      </w:hyperlink>
      <w:r w:rsidRPr="009235DC">
        <w:rPr>
          <w:rFonts w:ascii="Palatino Linotype" w:hAnsi="Palatino Linotype"/>
          <w:sz w:val="18"/>
          <w:szCs w:val="18"/>
        </w:rPr>
        <w:t xml:space="preserve">. </w:t>
      </w:r>
    </w:p>
  </w:footnote>
  <w:footnote w:id="619">
    <w:p w:rsidR="00FC1DF6" w:rsidRPr="009235DC" w:rsidRDefault="00FC1DF6" w:rsidP="00E60FEF">
      <w:pPr>
        <w:pStyle w:val="Textonotapie"/>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Sternlight, J. Y Robbennolt, J.2008. Op.Cit. Pág.454 y 462.</w:t>
      </w:r>
    </w:p>
  </w:footnote>
  <w:footnote w:id="620">
    <w:p w:rsidR="00FC1DF6" w:rsidRPr="009235DC" w:rsidRDefault="00FC1DF6" w:rsidP="00E60FEF">
      <w:pPr>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“Our construal or understanding of events and situations is guided by basic knowledge structures—known as schemas—that define expectations about how the world operates, fill in gaps in information, and facilitate an ability to "make inferences and judgments with heightened ease, speed, and subjective confidence” …. Such schemas serve us well most of the time allowing us to process vast amounts of information quickly. However, because schemas may not always accurately represent the state of the world in a particular instance, they can sometimes lead us astray.” Sternlight, Jean R. and Robbennolt, Jennifer K., Op.Cit., pág. 451-452. </w:t>
      </w:r>
    </w:p>
  </w:footnote>
  <w:footnote w:id="621">
    <w:p w:rsidR="00FC1DF6" w:rsidRPr="009235DC" w:rsidRDefault="00FC1DF6" w:rsidP="00E60FEF">
      <w:pPr>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“Pueden identificarse cuatro tipos de expectativas que afectaran nuestra percepción: expectativas culturales o estereotipos, expectativas de experiencias pasadas, prejuicios personales y expectativas temporales”. </w:t>
      </w:r>
      <w:r w:rsidRPr="009235DC">
        <w:rPr>
          <w:rFonts w:ascii="Palatino Linotype" w:hAnsi="Palatino Linotype"/>
          <w:sz w:val="18"/>
          <w:szCs w:val="18"/>
          <w:lang w:val="en-US"/>
        </w:rPr>
        <w:t>Loftus, Elizabeth, “Eyewitness Testimony”, Harvard University Press 1996, p.37 También Sternlight y Robbennolt indican: “preconceptions and expectations can influence how information is labeled and understood, how ambiguous information is interpreted, and the degree to which information is scrutinized.” Sternlight, J. Y Robbennolt, J.2008. Op.Cit. 452.</w:t>
      </w:r>
    </w:p>
  </w:footnote>
  <w:footnote w:id="622">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 Stereotypes are generic descriptions of past experiences that we use to categorize people and objects."  Daniel L. Schacter, “The Seven Sins Of Memory: How The Mind Forgets And Remembers” 153 2001 tal y como es citado por Sternlight, J. Y Robbennolt, J.2008. </w:t>
      </w:r>
      <w:r w:rsidRPr="009235DC">
        <w:rPr>
          <w:rFonts w:ascii="Palatino Linotype" w:hAnsi="Palatino Linotype"/>
          <w:sz w:val="18"/>
          <w:szCs w:val="18"/>
        </w:rPr>
        <w:t>Op.Cit. Pág. 457.</w:t>
      </w:r>
    </w:p>
  </w:footnote>
  <w:footnote w:id="62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“Los seres humanos poseemos tres tipos de esquemas mentales a los cuales acudimos para guiarnos en el mundo: a esquemas de personas, b esquemas de rol y c esquemas de situaciones. Esquemas de rol se forman a partir de incorporar la información correspondiente acerca de cómo las personas generalmente realizan sus roles sociales. Los esquema de situaciones o guiones, se refieren a actos o secuencias de actos e indican lo que se espera que se pase en una situación determinada. ” Ferrer, F 2015. Psicología Jurídica aportes psicosociales para la práctica del Derecho. Universidad de Buenos Aires, pág.66. En relación con los diferentes esquemas mentales y la manera </w:t>
      </w:r>
      <w:r w:rsidRPr="009235DC">
        <w:rPr>
          <w:rFonts w:ascii="Palatino Linotype" w:hAnsi="Palatino Linotype"/>
          <w:bCs/>
          <w:sz w:val="18"/>
          <w:szCs w:val="18"/>
        </w:rPr>
        <w:t xml:space="preserve">Davis. </w:t>
      </w:r>
      <w:r w:rsidRPr="009235DC">
        <w:rPr>
          <w:rFonts w:ascii="Palatino Linotype" w:hAnsi="Palatino Linotype"/>
          <w:bCs/>
          <w:sz w:val="18"/>
          <w:szCs w:val="18"/>
          <w:lang w:val="en-US"/>
        </w:rPr>
        <w:t>D</w:t>
      </w:r>
      <w:r w:rsidRPr="009235DC">
        <w:rPr>
          <w:rFonts w:ascii="Palatino Linotype" w:hAnsi="Palatino Linotype"/>
          <w:sz w:val="18"/>
          <w:szCs w:val="18"/>
          <w:lang w:val="en-US"/>
        </w:rPr>
        <w:t xml:space="preserve"> y </w:t>
      </w:r>
      <w:r w:rsidRPr="009235DC">
        <w:rPr>
          <w:rFonts w:ascii="Palatino Linotype" w:hAnsi="Palatino Linotype"/>
          <w:bCs/>
          <w:sz w:val="18"/>
          <w:szCs w:val="18"/>
          <w:lang w:val="en-US"/>
        </w:rPr>
        <w:t>Loftus</w:t>
      </w:r>
      <w:r w:rsidRPr="009235DC">
        <w:rPr>
          <w:rFonts w:ascii="Palatino Linotype" w:hAnsi="Palatino Linotype"/>
          <w:sz w:val="18"/>
          <w:szCs w:val="18"/>
          <w:lang w:val="en-US"/>
        </w:rPr>
        <w:t xml:space="preserve">, E 2007. 2 . Internal and External </w:t>
      </w:r>
      <w:r w:rsidRPr="009235DC">
        <w:rPr>
          <w:rFonts w:ascii="Palatino Linotype" w:hAnsi="Palatino Linotype"/>
          <w:bCs/>
          <w:sz w:val="18"/>
          <w:szCs w:val="18"/>
          <w:lang w:val="en-US"/>
        </w:rPr>
        <w:t>Sources of Misinformation</w:t>
      </w:r>
      <w:r w:rsidRPr="009235DC">
        <w:rPr>
          <w:rFonts w:ascii="Palatino Linotype" w:hAnsi="Palatino Linotype"/>
          <w:sz w:val="18"/>
          <w:szCs w:val="18"/>
          <w:lang w:val="en-US"/>
        </w:rPr>
        <w:t xml:space="preserve"> in Adult Witness Memory. En Toglia, M. Handbook of Eyewitness Psychology, Lawrence Erlbaum Associates. </w:t>
      </w:r>
      <w:r w:rsidRPr="009235DC">
        <w:rPr>
          <w:rFonts w:ascii="Palatino Linotype" w:hAnsi="Palatino Linotype"/>
          <w:sz w:val="18"/>
          <w:szCs w:val="18"/>
        </w:rPr>
        <w:t xml:space="preserve">Disponible en: </w:t>
      </w:r>
      <w:hyperlink r:id="rId13" w:history="1">
        <w:r w:rsidRPr="009235DC">
          <w:rPr>
            <w:rStyle w:val="Hipervnculo"/>
            <w:rFonts w:ascii="Palatino Linotype" w:hAnsi="Palatino Linotype"/>
            <w:color w:val="auto"/>
            <w:sz w:val="18"/>
            <w:szCs w:val="18"/>
            <w:u w:val="none"/>
          </w:rPr>
          <w:t>https://webfiles.uci.edu/eloftus/Davis_Loftus_Misinformation_HandbookChapScan07.pdf?uniq=e418yu</w:t>
        </w:r>
      </w:hyperlink>
      <w:r w:rsidRPr="009235DC">
        <w:rPr>
          <w:rFonts w:ascii="Palatino Linotype" w:hAnsi="Palatino Linotype"/>
          <w:sz w:val="18"/>
          <w:szCs w:val="18"/>
        </w:rPr>
        <w:t xml:space="preserve">. </w:t>
      </w:r>
    </w:p>
  </w:footnote>
  <w:footnote w:id="624">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“estrategias mentales que empleamos para tomar decisiones rápidas, en las cuales tomamos decisiones sobre la base de atajos mentales denominados heurísticas.” Ferrer, F 2015. Psicología Jurídica aportes psicosociales para la práctica del Derecho. Universidad de Buenos Aires, pág.67. Sobre las heurísticas de </w:t>
      </w:r>
      <w:r w:rsidRPr="009235DC">
        <w:rPr>
          <w:rFonts w:ascii="Palatino Linotype" w:hAnsi="Palatino Linotype"/>
          <w:sz w:val="18"/>
          <w:szCs w:val="18"/>
          <w:lang w:val="es-CR"/>
        </w:rPr>
        <w:t xml:space="preserve">Anclaje, representatividad, retrospective, ver: </w:t>
      </w:r>
      <w:r w:rsidRPr="009235DC">
        <w:rPr>
          <w:rFonts w:ascii="Palatino Linotype" w:hAnsi="Palatino Linotype"/>
          <w:sz w:val="18"/>
          <w:szCs w:val="18"/>
        </w:rPr>
        <w:t xml:space="preserve">Rachlinskit J., y Wistrich A. 2007. </w:t>
      </w:r>
      <w:r w:rsidRPr="009235DC">
        <w:rPr>
          <w:rFonts w:ascii="Palatino Linotype" w:hAnsi="Palatino Linotype"/>
          <w:sz w:val="18"/>
          <w:szCs w:val="18"/>
          <w:lang w:val="en-US"/>
        </w:rPr>
        <w:t xml:space="preserve">Blinking on the Bench: How Judges decide cases. Cornell Law Review. </w:t>
      </w:r>
      <w:r w:rsidRPr="009235DC">
        <w:rPr>
          <w:rFonts w:ascii="Palatino Linotype" w:hAnsi="Palatino Linotype"/>
          <w:sz w:val="18"/>
          <w:szCs w:val="18"/>
          <w:lang w:val="es-CR"/>
        </w:rPr>
        <w:t xml:space="preserve">Disponible en: </w:t>
      </w:r>
      <w:hyperlink r:id="rId14" w:history="1">
        <w:r w:rsidRPr="009235DC">
          <w:rPr>
            <w:rStyle w:val="Hipervnculo"/>
            <w:rFonts w:ascii="Palatino Linotype" w:hAnsi="Palatino Linotype"/>
            <w:color w:val="auto"/>
            <w:sz w:val="18"/>
            <w:szCs w:val="18"/>
            <w:u w:val="none"/>
            <w:lang w:val="es-CR"/>
          </w:rPr>
          <w:t>http://scholarship.law.cornell.edu/cgi/viewcontent.cgi?article=1707&amp;context=facpub</w:t>
        </w:r>
      </w:hyperlink>
      <w:r w:rsidRPr="009235DC">
        <w:rPr>
          <w:rFonts w:ascii="Palatino Linotype" w:hAnsi="Palatino Linotype"/>
          <w:sz w:val="18"/>
          <w:szCs w:val="18"/>
          <w:lang w:val="es-CR"/>
        </w:rPr>
        <w:t xml:space="preserve">.  Sobre la heurística de disponibilidad ver: </w:t>
      </w:r>
      <w:r w:rsidRPr="009235DC">
        <w:rPr>
          <w:rFonts w:ascii="Palatino Linotype" w:hAnsi="Palatino Linotype"/>
          <w:sz w:val="18"/>
          <w:szCs w:val="18"/>
        </w:rPr>
        <w:t xml:space="preserve">Sternlight, J. Y Robbennolt, J.2008. Op.Cit. Pág.464 y 466. </w:t>
      </w:r>
      <w:r w:rsidRPr="009235DC">
        <w:rPr>
          <w:rFonts w:ascii="Palatino Linotype" w:hAnsi="Palatino Linotype"/>
          <w:sz w:val="18"/>
          <w:szCs w:val="18"/>
          <w:lang w:val="es-CR"/>
        </w:rPr>
        <w:t xml:space="preserve">Finamente, recomiendo a De la Jara para una exposición práctica de estas heurísticas a nivel casuistico en: </w:t>
      </w:r>
      <w:r w:rsidRPr="009235DC">
        <w:rPr>
          <w:rFonts w:ascii="Palatino Linotype" w:hAnsi="Palatino Linotype"/>
          <w:sz w:val="18"/>
          <w:szCs w:val="18"/>
        </w:rPr>
        <w:t>De la Jara, J 2016. Condenado por la intuición: el cerebro del juez en la determinación del daño y del factor de atribución.  En: Bullard, A. “El Arbitraje desde otra perspectiva”. Palestra,  pág. 299-325.</w:t>
      </w:r>
    </w:p>
  </w:footnote>
  <w:footnote w:id="625">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Las emociones también juegan un rol importante en la memoria, puesto que pueden distorsionar o amplificar un recuerdo. Sobre el rol de las emociones en el derecho: Kiser, R. 2015. </w:t>
      </w:r>
      <w:r w:rsidRPr="009235DC">
        <w:rPr>
          <w:rFonts w:ascii="Palatino Linotype" w:hAnsi="Palatino Linotype"/>
          <w:sz w:val="18"/>
          <w:szCs w:val="18"/>
          <w:lang w:val="en-US"/>
        </w:rPr>
        <w:t xml:space="preserve">The Emotionally Attentive Lawyer: Balancing the Rule of Law with the Realities of Human Behavior. </w:t>
      </w:r>
      <w:r w:rsidRPr="009235DC">
        <w:rPr>
          <w:rFonts w:ascii="Palatino Linotype" w:hAnsi="Palatino Linotype"/>
          <w:iCs/>
          <w:sz w:val="18"/>
          <w:szCs w:val="18"/>
          <w:lang w:val="en-US"/>
        </w:rPr>
        <w:t>Nevada Law Journal</w:t>
      </w:r>
      <w:r w:rsidRPr="009235DC">
        <w:rPr>
          <w:rFonts w:ascii="Palatino Linotype" w:hAnsi="Palatino Linotype"/>
          <w:sz w:val="18"/>
          <w:szCs w:val="18"/>
          <w:lang w:val="en-US"/>
        </w:rPr>
        <w:t xml:space="preserve">: Vol. 15: Iss. 2, Article 3.  Disponible en: </w:t>
      </w:r>
      <w:hyperlink r:id="rId15" w:history="1">
        <w:r w:rsidRPr="009235DC">
          <w:rPr>
            <w:rStyle w:val="Hipervnculo"/>
            <w:rFonts w:ascii="Palatino Linotype" w:hAnsi="Palatino Linotype"/>
            <w:color w:val="auto"/>
            <w:sz w:val="18"/>
            <w:szCs w:val="18"/>
            <w:u w:val="none"/>
            <w:lang w:val="en-US"/>
          </w:rPr>
          <w:t>http://scholars.law.unlv.edu/nlj/vol15/iss2/3</w:t>
        </w:r>
      </w:hyperlink>
      <w:r w:rsidRPr="009235DC">
        <w:rPr>
          <w:rStyle w:val="Hipervnculo"/>
          <w:rFonts w:ascii="Palatino Linotype" w:hAnsi="Palatino Linotype"/>
          <w:color w:val="auto"/>
          <w:sz w:val="18"/>
          <w:szCs w:val="18"/>
          <w:u w:val="none"/>
          <w:lang w:val="en-US"/>
        </w:rPr>
        <w:t xml:space="preserve">.. </w:t>
      </w:r>
      <w:r w:rsidRPr="009235DC">
        <w:rPr>
          <w:rStyle w:val="Hipervnculo"/>
          <w:rFonts w:ascii="Palatino Linotype" w:hAnsi="Palatino Linotype"/>
          <w:color w:val="auto"/>
          <w:sz w:val="18"/>
          <w:szCs w:val="18"/>
          <w:u w:val="none"/>
        </w:rPr>
        <w:t xml:space="preserve">También el trabajo elaborado por uno de los pioneros de la materia de la psicología y derecho se encuentra en el trabajo del profesor José María de la Jara, el cual recomiendo revisar: </w:t>
      </w:r>
      <w:r w:rsidRPr="009235DC">
        <w:rPr>
          <w:rFonts w:ascii="Palatino Linotype" w:hAnsi="Palatino Linotype"/>
          <w:sz w:val="18"/>
          <w:szCs w:val="18"/>
        </w:rPr>
        <w:t>De la Jara, J 2016. Decisiones viscerales: Persuasión encubierta y emociones.  En: Bullard, A. “El Arbitraje desde otra perspectiva”. Palestra,  pág. 357-360.</w:t>
      </w:r>
    </w:p>
  </w:footnote>
  <w:footnote w:id="626">
    <w:p w:rsidR="00FC1DF6" w:rsidRPr="009235DC" w:rsidRDefault="00FC1DF6" w:rsidP="00E60FEF">
      <w:pPr>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Esta demostrado que la atención es un recurso limitado para nuestro cerebro, por lo que al enfocarse en múltiples aspectos se disminuye notablemente el desempeño en el proceso de codificar la información. </w:t>
      </w:r>
      <w:r w:rsidRPr="009235DC">
        <w:rPr>
          <w:rFonts w:ascii="Palatino Linotype" w:hAnsi="Palatino Linotype"/>
          <w:sz w:val="18"/>
          <w:szCs w:val="18"/>
          <w:lang w:val="en-US"/>
        </w:rPr>
        <w:t>Sternlight, Jean R. and Robbennolt, Jennifer K, Op. Cit., Pág. 449-450.</w:t>
      </w:r>
    </w:p>
  </w:footnote>
  <w:footnote w:id="627">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Un video del ejemplo puede ser visto en: </w:t>
      </w:r>
      <w:hyperlink r:id="rId16" w:history="1">
        <w:r w:rsidRPr="009235DC">
          <w:rPr>
            <w:rStyle w:val="Hipervnculo"/>
            <w:rFonts w:ascii="Palatino Linotype" w:hAnsi="Palatino Linotype"/>
            <w:color w:val="auto"/>
            <w:sz w:val="18"/>
            <w:szCs w:val="18"/>
            <w:u w:val="none"/>
          </w:rPr>
          <w:t>http://www.theinvisiblegorilla.com/videos.html</w:t>
        </w:r>
      </w:hyperlink>
      <w:r w:rsidRPr="009235DC">
        <w:rPr>
          <w:rFonts w:ascii="Palatino Linotype" w:hAnsi="Palatino Linotype"/>
          <w:sz w:val="18"/>
          <w:szCs w:val="18"/>
        </w:rPr>
        <w:t xml:space="preserve">. A este déficit atencional también se le conoce como “el efecto del arma”, en honor al déficit atencional que ocurre cuando una víctima de un crimen se  concentra en el arma con la cual se le agrede, y mucho menos tiempo procesando otros aspectos de la situación, como el rostro del individuo, otros testigos, el ambiente donde está rodeado, etc. Loftus, E.1996. Op. Cit.,  en . p.35. </w:t>
      </w:r>
    </w:p>
  </w:footnote>
  <w:footnote w:id="628">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 La percepción es el proceso mediante el cual dotamos de significado a las sensaciones”.  Manzanero A. 2008. Psicología del testimonio. Una aplicación de los estudios sobre la memoria. Pág. 32.</w:t>
      </w:r>
    </w:p>
  </w:footnote>
  <w:footnote w:id="629">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“tendemos a prestar más atención a la información que nos resulta extraña o inconsistente con nuestras expectativas..” Ferrer, F 2015. Psicología Jurídica aportes psicosociales para la práctica del Derecho. Universidad de Buenos Aires, pág.69.</w:t>
      </w:r>
    </w:p>
  </w:footnote>
  <w:footnote w:id="63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Loftus, E. 1996. Eyewitness Testimony. Harvard University Press. pág.21 </w:t>
      </w:r>
    </w:p>
  </w:footnote>
  <w:footnote w:id="631">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Jáuregui, M. y Razumiejczk, E.2011, Op. Cit., pág.23.</w:t>
      </w:r>
    </w:p>
  </w:footnote>
  <w:footnote w:id="632">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“Working memory holds on to small amounts of information for short periods of time—usually a few seconds—while people engage in such ongoing cognitive activities as reading, listening, problema solving, reasoning, or thinking." However, to be retained, this information must be transferred from short-term working memory to long-term memory: "the system must constantly discard what is no longer needed at the moment, and devote its resources to the temporary storage of incoming information. Unless special effort is made—such as repeating a sentence over and over again—information is lost from the system almost immediately after it enters." </w:t>
      </w:r>
      <w:r w:rsidRPr="009235DC">
        <w:rPr>
          <w:rFonts w:ascii="Palatino Linotype" w:hAnsi="Palatino Linotype"/>
          <w:sz w:val="18"/>
          <w:szCs w:val="18"/>
        </w:rPr>
        <w:t xml:space="preserve">Jean R. and Robbennolt, Jennifer K., Op.Cit., P.474. </w:t>
      </w:r>
    </w:p>
  </w:footnote>
  <w:footnote w:id="633">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Sobre la memoria de corto plazo ver: Gluck, Mark y otros 2009. Aprendizaje y Memoria. Del Cerebro al Comportamient</w:t>
      </w:r>
      <w:r>
        <w:rPr>
          <w:rFonts w:ascii="Palatino Linotype" w:hAnsi="Palatino Linotype"/>
          <w:sz w:val="18"/>
          <w:szCs w:val="18"/>
        </w:rPr>
        <w:t>o” Mcgraw Hill, primera edición</w:t>
      </w:r>
      <w:r w:rsidRPr="009235DC">
        <w:rPr>
          <w:rFonts w:ascii="Palatino Linotype" w:hAnsi="Palatino Linotype"/>
          <w:sz w:val="18"/>
          <w:szCs w:val="18"/>
        </w:rPr>
        <w:t xml:space="preserve">, P.168-183. Sobre la memoria episódica y semántica, ver páginas 82-91. </w:t>
      </w:r>
    </w:p>
  </w:footnote>
  <w:footnote w:id="634">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La memoria de largo plazo se divide en dos: la declarativa y la procedimental. Mientras que la declarativa se divide en episódica y semántica, ver: Ferrer, F 2015. Psicología Jurídica aportes psicosociales para la práctica del Derecho. Universidad de Buenos Aires, pág.62 y Jáuregui, M. y Razumiejczk, E.2011, Op. Cit. Pág. 30  Dentro de la memoria a largo plazo también se almacena la memoria e habilidades en la que se incluyen habilidades perceptuales motoras y  habilidades cognitivas, ver páginas 124-132 de Gluck, Mark y otros 2009. Aprendizaje y Memoria. Del Cerebro al Comportamiento” Mcgraw Hill, primera edición. Por su parte el proceso de adquisición de habilidades se explica en las páginas 168-183 del texto previamente citado.</w:t>
      </w:r>
    </w:p>
  </w:footnote>
  <w:footnote w:id="635">
    <w:p w:rsidR="00FC1DF6" w:rsidRPr="009235DC" w:rsidRDefault="00FC1DF6" w:rsidP="00E60FEF">
      <w:pPr>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En adición a los procesos mentales antes explicados, resulta necesario tomar en cuenta algunos factores internos del testigo en relación con la percepción de un evento, tales como frecuencia o familiaridad, detalles sobresalientes, la percepción del movimiento, duración del evento, violencia en el hecho, nivel de estrés o miedo experimentado, uso de estimuladores de los sentidos, etc.. Así como aspectos externos: el contraste, la iluminación, la frecuencia espacial, la orientación y la fase de los estímulos, condiciones del tiempo, nivel y fuente del sonido, y cualquier otro factor que pueda afectar la percepción de un evento. Ver: </w:t>
      </w:r>
      <w:r w:rsidRPr="009235DC">
        <w:rPr>
          <w:rFonts w:ascii="Palatino Linotype" w:hAnsi="Palatino Linotype"/>
          <w:sz w:val="18"/>
          <w:szCs w:val="18"/>
          <w:lang w:val="es-AR"/>
        </w:rPr>
        <w:t>Manzanero, Antonio L. 2008. Op. Cit., p.106-110</w:t>
      </w:r>
      <w:r w:rsidRPr="009235DC">
        <w:rPr>
          <w:rFonts w:ascii="Palatino Linotype" w:hAnsi="Palatino Linotype"/>
          <w:sz w:val="18"/>
          <w:szCs w:val="18"/>
        </w:rPr>
        <w:t xml:space="preserve">. En otra investigación del año se analiza la relación entre la exposición de un evento, las condiciones de codificación inciden en la capacidad para identificar con exactitud un rostro ver: Bornstein, Brian H, y otros 2012. </w:t>
      </w:r>
      <w:r w:rsidRPr="009235DC">
        <w:rPr>
          <w:rFonts w:ascii="Palatino Linotype" w:hAnsi="Palatino Linotype"/>
          <w:sz w:val="18"/>
          <w:szCs w:val="18"/>
          <w:lang w:val="en-US"/>
        </w:rPr>
        <w:t xml:space="preserve">Effects of exposure time and cognitive operations on facial identification accuracy: A meta-analysis of two variables associated with initial memory strength. </w:t>
      </w:r>
      <w:r w:rsidRPr="009235DC">
        <w:rPr>
          <w:rFonts w:ascii="Palatino Linotype" w:hAnsi="Palatino Linotype"/>
          <w:sz w:val="18"/>
          <w:szCs w:val="18"/>
        </w:rPr>
        <w:t xml:space="preserve">Psychology, Crime &amp; Law, Vol.18., No.5, Páginas 473-490  disponible en: </w:t>
      </w:r>
      <w:hyperlink r:id="rId17" w:history="1">
        <w:r w:rsidRPr="009235DC">
          <w:rPr>
            <w:rStyle w:val="Hipervnculo"/>
            <w:rFonts w:ascii="Palatino Linotype" w:hAnsi="Palatino Linotype"/>
            <w:color w:val="auto"/>
            <w:sz w:val="18"/>
            <w:szCs w:val="18"/>
            <w:u w:val="none"/>
          </w:rPr>
          <w:t>https://www.researchgate.net/journal/1068-316X_Psychology_Crime_and_Law</w:t>
        </w:r>
      </w:hyperlink>
      <w:r w:rsidRPr="009235DC">
        <w:rPr>
          <w:rFonts w:ascii="Palatino Linotype" w:hAnsi="Palatino Linotype"/>
          <w:sz w:val="18"/>
          <w:szCs w:val="18"/>
          <w:lang w:val="es-AR"/>
        </w:rPr>
        <w:t xml:space="preserve">. </w:t>
      </w:r>
      <w:r w:rsidRPr="009235DC">
        <w:rPr>
          <w:rFonts w:ascii="Palatino Linotype" w:hAnsi="Palatino Linotype"/>
          <w:sz w:val="18"/>
          <w:szCs w:val="18"/>
          <w:lang w:val="en-US"/>
        </w:rPr>
        <w:t xml:space="preserve">También ver: Pinker, S. 1997. How the Mind Works. W.W. Norton&amp;Company, Kindle Edition. </w:t>
      </w:r>
    </w:p>
  </w:footnote>
  <w:footnote w:id="636">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Antes de hablar de un almacenamiento de un evento, debe estar necesariamente dentro del rango perceptual del testigo. Entre menor sea el tiempo que un testigo participa de un evento, menos certera será su percepción.  Loftus, E 1996. Eyewitness Testimony. Harvard University Press Pág. 22.</w:t>
      </w:r>
    </w:p>
  </w:footnote>
  <w:footnote w:id="637">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El asunto de expectativas temporales o momentáneas, resulta más fácil de explicar con la traída a mención del “hombre rata” diseñado por Bugelski and Alampay 1961, que explican el caso que si los sujetos tienen expectat</w:t>
      </w:r>
      <w:r>
        <w:rPr>
          <w:rFonts w:ascii="Palatino Linotype" w:hAnsi="Palatino Linotype"/>
          <w:sz w:val="18"/>
          <w:szCs w:val="18"/>
        </w:rPr>
        <w:t>ivas de ver rostros de personas</w:t>
      </w:r>
      <w:r w:rsidRPr="009235DC">
        <w:rPr>
          <w:rFonts w:ascii="Palatino Linotype" w:hAnsi="Palatino Linotype"/>
          <w:sz w:val="18"/>
          <w:szCs w:val="18"/>
        </w:rPr>
        <w:t>, la figura será vista como la de un hombre. Sin embargo, si la expectativa es ver un animal, la figura que mirarán será una rata:</w:t>
      </w:r>
    </w:p>
    <w:p w:rsidR="00FC1DF6" w:rsidRPr="009235DC" w:rsidRDefault="00FC1DF6" w:rsidP="00E60FEF">
      <w:pPr>
        <w:pStyle w:val="Textonotapie"/>
        <w:jc w:val="both"/>
        <w:rPr>
          <w:rFonts w:ascii="Palatino Linotype" w:hAnsi="Palatino Linotype"/>
          <w:sz w:val="18"/>
          <w:szCs w:val="18"/>
        </w:rPr>
      </w:pPr>
      <w:r w:rsidRPr="009235DC">
        <w:rPr>
          <w:rFonts w:ascii="Palatino Linotype" w:hAnsi="Palatino Linotype"/>
          <w:noProof/>
          <w:sz w:val="18"/>
          <w:szCs w:val="18"/>
          <w:lang w:val="es-CR" w:eastAsia="es-CR"/>
        </w:rPr>
        <w:drawing>
          <wp:inline distT="0" distB="0" distL="0" distR="0" wp14:anchorId="63DF1CE1" wp14:editId="0163D2B6">
            <wp:extent cx="1145449" cy="921776"/>
            <wp:effectExtent l="0" t="0" r="0" b="0"/>
            <wp:docPr id="4" name="Imagen 4" descr="../../../../../../../../Desktop/Captura%20de%20pantalla%202016-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Captura%20de%20pantalla%202016-10-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3889" cy="928568"/>
                    </a:xfrm>
                    <a:prstGeom prst="rect">
                      <a:avLst/>
                    </a:prstGeom>
                    <a:noFill/>
                    <a:ln>
                      <a:noFill/>
                    </a:ln>
                  </pic:spPr>
                </pic:pic>
              </a:graphicData>
            </a:graphic>
          </wp:inline>
        </w:drawing>
      </w:r>
    </w:p>
    <w:p w:rsidR="00FC1DF6" w:rsidRPr="009235DC" w:rsidRDefault="00FC1DF6" w:rsidP="00E60FEF">
      <w:pPr>
        <w:jc w:val="both"/>
        <w:rPr>
          <w:rFonts w:ascii="Palatino Linotype" w:hAnsi="Palatino Linotype"/>
          <w:sz w:val="18"/>
          <w:szCs w:val="18"/>
        </w:rPr>
      </w:pPr>
      <w:r w:rsidRPr="009235DC">
        <w:rPr>
          <w:rFonts w:ascii="Palatino Linotype" w:hAnsi="Palatino Linotype"/>
          <w:sz w:val="18"/>
          <w:szCs w:val="18"/>
        </w:rPr>
        <w:t>Este efecto lo resume Loftus de la siguiente manera: “El rol de las expectativas de las personas ante una situación puede ser tan grande que puede causar un cambio real en lo que una persona percibe.” Loftus, E. Op. Cit, p.47.</w:t>
      </w:r>
    </w:p>
  </w:footnote>
  <w:footnote w:id="638">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Para otros problemas que presenta la memoria ver: Schacter, D.. </w:t>
      </w:r>
      <w:r w:rsidRPr="009235DC">
        <w:rPr>
          <w:rFonts w:ascii="Palatino Linotype" w:hAnsi="Palatino Linotype"/>
          <w:sz w:val="18"/>
          <w:szCs w:val="18"/>
          <w:lang w:val="en-US"/>
        </w:rPr>
        <w:t xml:space="preserve">1999; The Seven sins of memory. Insighths from psychology and cognitive Neuroscience. </w:t>
      </w:r>
      <w:r w:rsidRPr="009235DC">
        <w:rPr>
          <w:rFonts w:ascii="Palatino Linotype" w:hAnsi="Palatino Linotype"/>
          <w:sz w:val="18"/>
          <w:szCs w:val="18"/>
        </w:rPr>
        <w:t xml:space="preserve">American Psychological Association, Vol. 54, No.3, 182- 203. Disponible en: </w:t>
      </w:r>
      <w:hyperlink r:id="rId19" w:history="1">
        <w:r w:rsidRPr="009235DC">
          <w:rPr>
            <w:rStyle w:val="Hipervnculo"/>
            <w:rFonts w:ascii="Palatino Linotype" w:hAnsi="Palatino Linotype"/>
            <w:color w:val="auto"/>
            <w:sz w:val="18"/>
            <w:szCs w:val="18"/>
            <w:u w:val="none"/>
          </w:rPr>
          <w:t>http://scholar.harvard.edu/files/schacterlab/files/schacter_american_psychologist_1999.pdf</w:t>
        </w:r>
      </w:hyperlink>
      <w:r w:rsidRPr="009235DC">
        <w:rPr>
          <w:rFonts w:ascii="Palatino Linotype" w:hAnsi="Palatino Linotype"/>
          <w:sz w:val="18"/>
          <w:szCs w:val="18"/>
        </w:rPr>
        <w:t xml:space="preserve">. </w:t>
      </w:r>
    </w:p>
  </w:footnote>
  <w:footnote w:id="639">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También debe tomarse en cuenta que la mente en algunos rellena vacíos de la memoria por medio de deducciones al punto que puede llevar a una persona a concluir que recuerda hechos que en realidad no vieron, al punto que las memorias pueden ser ilusiones. </w:t>
      </w:r>
    </w:p>
  </w:footnote>
  <w:footnote w:id="64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Este evento es lo que se conoce en inglés como "source monitoring” el cual se define: “When people try to remember something they do not call up a perfectly accurate real-time recording of the event. Instead, they access a range of sources of information including their own "internal mental representation of the event," other basic information they have about how the world works, their schemas for how events such as this one typically happen, what they have been told by others about what happened, their experiences in other similar situations, stereotypes, what they imagined doing, and so on.A large body of psychological research has demonstrated that people have difficulty discriminating between these different sources of information.” </w:t>
      </w:r>
      <w:r w:rsidRPr="009235DC">
        <w:rPr>
          <w:rFonts w:ascii="Palatino Linotype" w:hAnsi="Palatino Linotype"/>
          <w:sz w:val="18"/>
          <w:szCs w:val="18"/>
        </w:rPr>
        <w:t xml:space="preserve">Sternlight, J. Y Robbennolt, J.2008. Op.Cit. Pág.475. </w:t>
      </w:r>
    </w:p>
  </w:footnote>
  <w:footnote w:id="641">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Entre más tiempo transcurra desde un incidente, menor será el nivel de certeza y detalle de la recolección. El olvido tiende a ser gradual a medida que el tiempo pasa, ver: Loftus  E 1996. Op.Cit. p.53.  En relación con la curva de olvido y consolidación de conocimientos Gluck, M. y otros 2009. Op. Cit. Pág. 91-92 y 137; Mientras que sobre los diferentes clases de amnesia pueden consultarse las páginas 114-119 del mismo libro.</w:t>
      </w:r>
    </w:p>
  </w:footnote>
  <w:footnote w:id="642">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Loftus, E 1996. Op. Cit, p. 22 y 55.</w:t>
      </w:r>
    </w:p>
  </w:footnote>
  <w:footnote w:id="643">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AR"/>
        </w:rPr>
        <w:t>Manzanero, Antonio L., Op. Cit, p.127.</w:t>
      </w:r>
    </w:p>
  </w:footnote>
  <w:footnote w:id="644">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Loftus, E y Palmer, J. 1974. </w:t>
      </w:r>
      <w:r w:rsidRPr="009235DC">
        <w:rPr>
          <w:rFonts w:ascii="Palatino Linotype" w:hAnsi="Palatino Linotype"/>
          <w:sz w:val="18"/>
          <w:szCs w:val="18"/>
          <w:lang w:val="en-US"/>
        </w:rPr>
        <w:t xml:space="preserve">Reconstruction of Automobile Destruction: An Example of the Interaction Between Language and Memory. </w:t>
      </w:r>
      <w:r w:rsidRPr="009235DC">
        <w:rPr>
          <w:rFonts w:ascii="Palatino Linotype" w:hAnsi="Palatino Linotype"/>
          <w:sz w:val="18"/>
          <w:szCs w:val="18"/>
        </w:rPr>
        <w:t>Verbal Learning &amp; Verbal Behav, p. 585. Este experimento fue también reportado en Loftus E. 1996. Op. Cit.,  en , p.77.</w:t>
      </w:r>
    </w:p>
  </w:footnote>
  <w:footnote w:id="64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Loftus E. 1996. Op. Cit.,  en , p.72.</w:t>
      </w:r>
    </w:p>
  </w:footnote>
  <w:footnote w:id="646">
    <w:p w:rsidR="00FC1DF6" w:rsidRPr="009235DC" w:rsidRDefault="00FC1DF6" w:rsidP="00E60FEF">
      <w:pPr>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Las memorias recuperadas son aquellas memorias aparentemente reprimidas y que muchos años después afloran a la conciencia. Este tipo de recuerdos han generado mucho debate desde la década de los 90 cuando surgió el cuestionamiento por la profesora Elizabeth Loftus en relación a los métodos o terapias que se implementaron para recuperar esas memorias reprimidas, al respecto Loftus señala que: “en el corazón de estos casos de memorias reprimidas yacen unos supuestos fundamentales: que erradicamos experiencias traumáticas del consciente porque eran demasiado horríficas para contemplarlas; que no podemos recordar esas experiencias olvidadas por cualquier proceso normal sino que únicamente por medio de técnicas especiales; que tales técnicas producen memorias recuperadas confiables; que por medio de esa recuperaciones, esas experiencias olvidadas causan síntomas miserables y problemas en nuestras vidas; que por medio de revivir esas experiencias olvidadas seremos curados… No debe entenderse que una persona no puede olvidar cosas horribles que le han ocurrido; con certeza pueden hacerlo. Pero no existe soporte a la idea que los clientes que se presenten de forma rutinaria a terapia tienen historias de abuso que estaban completamente inadvertidos y que el terapeuta pueda ayudarlo solo si el supuesto abusos es resucitado del inconsciente… Frecuentemente el proceso de excavar las memorias “reprimidas” o “desasociadas” implica terapias invasivas, con técnicas tales como regresión de edades, visualizaciones guiadas, escritura en trance, interpretación de sueños, hipnosis y amytal sodium “suero de la verdad”. Pero estas técnicas tiene el potencial de crear memorias completamente falas de eventos que nunca ocurrieron.”Loftus, E 2006. </w:t>
      </w:r>
      <w:r w:rsidRPr="009235DC">
        <w:rPr>
          <w:rFonts w:ascii="Palatino Linotype" w:hAnsi="Palatino Linotype"/>
          <w:sz w:val="18"/>
          <w:szCs w:val="18"/>
          <w:lang w:val="en-US"/>
        </w:rPr>
        <w:t xml:space="preserve">The Myth of Repressed Memory and the Realities of Science. Clinical Psychology Science and Practice, pág.356 y 357.   Disponible en: </w:t>
      </w:r>
      <w:hyperlink r:id="rId20" w:history="1">
        <w:r w:rsidRPr="009235DC">
          <w:rPr>
            <w:rStyle w:val="Hipervnculo"/>
            <w:rFonts w:ascii="Palatino Linotype" w:hAnsi="Palatino Linotype"/>
            <w:color w:val="auto"/>
            <w:sz w:val="18"/>
            <w:szCs w:val="18"/>
            <w:u w:val="none"/>
            <w:lang w:val="en-US"/>
          </w:rPr>
          <w:t>https://www.researchgate.net/publication/230066111_The_Myth_of_Repressed_Memory_and_the_Realities_of_Science</w:t>
        </w:r>
      </w:hyperlink>
      <w:r w:rsidRPr="009235DC">
        <w:rPr>
          <w:rFonts w:ascii="Palatino Linotype" w:hAnsi="Palatino Linotype"/>
          <w:sz w:val="18"/>
          <w:szCs w:val="18"/>
          <w:lang w:val="en-US"/>
        </w:rPr>
        <w:t xml:space="preserve">.  </w:t>
      </w:r>
      <w:r w:rsidRPr="009235DC">
        <w:rPr>
          <w:rFonts w:ascii="Palatino Linotype" w:hAnsi="Palatino Linotype"/>
          <w:sz w:val="18"/>
          <w:szCs w:val="18"/>
        </w:rPr>
        <w:t xml:space="preserve">Una postura alternativa a la de Loftus la presenta el doctor Manzanero: “Entre mayor grado de violencia, menor es la capacidad del recuerdo, a raíz que se produce un tipo de amnesia conocida como amnesia retrógrada, provocada por shock emocional. El testigo es incapaz de recordar detalles de lo ocurrido durante el tiempo que duró el incidente, e incluso de recordar momentos anteriores y posteriores. </w:t>
      </w:r>
      <w:r w:rsidRPr="009235DC">
        <w:rPr>
          <w:rFonts w:ascii="Palatino Linotype" w:hAnsi="Palatino Linotype"/>
          <w:sz w:val="18"/>
          <w:szCs w:val="18"/>
          <w:lang w:val="en-US"/>
        </w:rPr>
        <w:t xml:space="preserve">Manzanero, Antonio L., Op. Cit, p.113. </w:t>
      </w:r>
    </w:p>
    <w:p w:rsidR="00FC1DF6" w:rsidRPr="009235DC" w:rsidRDefault="00FC1DF6" w:rsidP="009235DC">
      <w:pPr>
        <w:ind w:firstLine="708"/>
        <w:jc w:val="both"/>
        <w:rPr>
          <w:rFonts w:ascii="Palatino Linotype" w:hAnsi="Palatino Linotype"/>
          <w:sz w:val="18"/>
          <w:szCs w:val="18"/>
        </w:rPr>
      </w:pPr>
      <w:r w:rsidRPr="009235DC">
        <w:rPr>
          <w:rFonts w:ascii="Palatino Linotype" w:hAnsi="Palatino Linotype"/>
          <w:sz w:val="18"/>
          <w:szCs w:val="18"/>
          <w:lang w:val="en-US"/>
        </w:rPr>
        <w:t xml:space="preserve">En el mismo sentido: “While generalizing to psychotherapy always needs to be done with caution, our results suggest that mental professionals have enormous power to influence the way people think about their past. If we, even the inexperienced `clinical psychologist', were able, in a 30-minute session, to change people so dramatically, a change that lasted for two weeks, think about the power that resides in the hands of a therapist who sees a client weekly.” Mazzoni, Giuliana A. L.; Loftus, E.; Setz, A. y Lynn, S 1999. Changing Beliefs and Memories Through Dreams Interpretation. </w:t>
      </w:r>
      <w:r w:rsidRPr="009235DC">
        <w:rPr>
          <w:rFonts w:ascii="Palatino Linotype" w:hAnsi="Palatino Linotype"/>
          <w:sz w:val="18"/>
          <w:szCs w:val="18"/>
        </w:rPr>
        <w:t>Applied Cognitive Psychology. 13:  pág. 125-144.</w:t>
      </w:r>
    </w:p>
  </w:footnote>
  <w:footnote w:id="647">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bCs/>
          <w:sz w:val="18"/>
          <w:szCs w:val="18"/>
        </w:rPr>
        <w:t xml:space="preserve">Un ejemplo de ello se encuentra en el experimento de Keith Payne en el que se evidencia el efecto de un prejuicio hacia personas blancas o afroamericanas. En su experimento proyectaba una serie de imágenes de personas blancas y afroamericanas en la que sostenían una herramienta, en la cual se solicitaba a los participantes que identificaran si se trataba de un arma o de una herramienta. Los resultados del estudio fueron que cuando una persona afroamericana sostenía una herramienta, los participantes lo identificaban como un arma.  </w:t>
      </w:r>
    </w:p>
  </w:footnote>
  <w:footnote w:id="648">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bCs/>
          <w:sz w:val="18"/>
          <w:szCs w:val="18"/>
        </w:rPr>
        <w:t>Otro ejemplo se da con el estudio de Kenneth Bancroft Clark. Dicho experimento 1940 consistía en mostrarles a un grupo de niños blancos y afroamericanos</w:t>
      </w:r>
      <w:r w:rsidRPr="009235DC">
        <w:rPr>
          <w:rFonts w:ascii="Palatino Linotype" w:hAnsi="Palatino Linotype"/>
          <w:sz w:val="18"/>
          <w:szCs w:val="18"/>
        </w:rPr>
        <w:t xml:space="preserve"> muñecos de color blanco y muñecos de color negro y se les pedían que seleccionara uno de ellos, sorprendentemente la selección por muñecos blancos fue mucho mayor, incluso en aquellos niños afroamericanos, bajo el argumento de los niños era que los muñecos negros eran “feos” y los muñecos blancos “bonitos”. Este  tipo de estudios movió los estrados judiciales y logró que se tomaran decisiones como la que se tomó en el caso </w:t>
      </w:r>
      <w:r w:rsidRPr="009235DC">
        <w:rPr>
          <w:rFonts w:ascii="Palatino Linotype" w:hAnsi="Palatino Linotype"/>
          <w:bCs/>
          <w:iCs/>
          <w:sz w:val="18"/>
          <w:szCs w:val="18"/>
        </w:rPr>
        <w:t>Caso Brown contra Consejo de Educación de Topeka</w:t>
      </w:r>
      <w:r w:rsidRPr="009235DC">
        <w:rPr>
          <w:rFonts w:ascii="Palatino Linotype" w:hAnsi="Palatino Linotype"/>
          <w:sz w:val="18"/>
          <w:szCs w:val="18"/>
        </w:rPr>
        <w:t xml:space="preserve">, 347 U.S. 483 1954, es un fallo histórico de la </w:t>
      </w:r>
      <w:hyperlink r:id="rId21" w:history="1">
        <w:r w:rsidRPr="009235DC">
          <w:rPr>
            <w:rFonts w:ascii="Palatino Linotype" w:hAnsi="Palatino Linotype"/>
            <w:sz w:val="18"/>
            <w:szCs w:val="18"/>
          </w:rPr>
          <w:t>Corte Suprema de los Estados Unidos</w:t>
        </w:r>
      </w:hyperlink>
      <w:r w:rsidRPr="009235DC">
        <w:rPr>
          <w:rFonts w:ascii="Palatino Linotype" w:hAnsi="Palatino Linotype"/>
          <w:sz w:val="18"/>
          <w:szCs w:val="18"/>
        </w:rPr>
        <w:t xml:space="preserve"> que declaró que las leyes estatales que establecían escuelas separadas para estudiantes de raza negra y blanca negaban la igualdad de oportunidades educativas.</w:t>
      </w:r>
    </w:p>
  </w:footnote>
  <w:footnote w:id="649">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Tal y como afirma Loftus, E. y Ketchum, K. 1994. </w:t>
      </w:r>
      <w:r w:rsidRPr="009235DC">
        <w:rPr>
          <w:rFonts w:ascii="Palatino Linotype" w:hAnsi="Palatino Linotype"/>
          <w:sz w:val="18"/>
          <w:szCs w:val="18"/>
          <w:lang w:val="en-US"/>
        </w:rPr>
        <w:t xml:space="preserve">The Myth of repressed memory: false memories and allegations of sexual abuse. </w:t>
      </w:r>
      <w:r w:rsidRPr="009235DC">
        <w:rPr>
          <w:rFonts w:ascii="Palatino Linotype" w:hAnsi="Palatino Linotype"/>
          <w:sz w:val="18"/>
          <w:szCs w:val="18"/>
        </w:rPr>
        <w:t>St. Martin´s Griffin. En igual sentido ver Loftus, E 1997. Creating False Memories.  Scientific American. Vol.277 #3, disponible en:</w:t>
      </w:r>
    </w:p>
    <w:p w:rsidR="00FC1DF6" w:rsidRPr="009235DC" w:rsidRDefault="00FC1DF6" w:rsidP="00E60FEF">
      <w:pPr>
        <w:jc w:val="both"/>
        <w:rPr>
          <w:rFonts w:ascii="Palatino Linotype" w:hAnsi="Palatino Linotype"/>
          <w:sz w:val="18"/>
          <w:szCs w:val="18"/>
        </w:rPr>
      </w:pPr>
      <w:r w:rsidRPr="009235DC">
        <w:rPr>
          <w:rFonts w:ascii="Palatino Linotype" w:hAnsi="Palatino Linotype"/>
          <w:sz w:val="18"/>
          <w:szCs w:val="18"/>
        </w:rPr>
        <w:t xml:space="preserve"> </w:t>
      </w:r>
      <w:hyperlink r:id="rId22" w:history="1">
        <w:r w:rsidRPr="009235DC">
          <w:rPr>
            <w:rStyle w:val="Hipervnculo"/>
            <w:rFonts w:ascii="Palatino Linotype" w:hAnsi="Palatino Linotype"/>
            <w:color w:val="auto"/>
            <w:sz w:val="18"/>
            <w:szCs w:val="18"/>
            <w:u w:val="none"/>
          </w:rPr>
          <w:t>https://webfiles.uci.edu/eloftus/Loftus_ScientificAmerican_Good97.pdf</w:t>
        </w:r>
      </w:hyperlink>
    </w:p>
  </w:footnote>
  <w:footnote w:id="650">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bCs/>
          <w:sz w:val="18"/>
          <w:szCs w:val="18"/>
        </w:rPr>
        <w:t xml:space="preserve">Davis. </w:t>
      </w:r>
      <w:r w:rsidRPr="00FC1DF6">
        <w:rPr>
          <w:rFonts w:ascii="Palatino Linotype" w:hAnsi="Palatino Linotype"/>
          <w:bCs/>
          <w:sz w:val="18"/>
          <w:szCs w:val="18"/>
        </w:rPr>
        <w:t>D</w:t>
      </w:r>
      <w:r w:rsidRPr="00FC1DF6">
        <w:rPr>
          <w:rFonts w:ascii="Palatino Linotype" w:hAnsi="Palatino Linotype"/>
          <w:sz w:val="18"/>
          <w:szCs w:val="18"/>
        </w:rPr>
        <w:t xml:space="preserve"> y </w:t>
      </w:r>
      <w:r w:rsidRPr="00FC1DF6">
        <w:rPr>
          <w:rFonts w:ascii="Palatino Linotype" w:hAnsi="Palatino Linotype"/>
          <w:bCs/>
          <w:sz w:val="18"/>
          <w:szCs w:val="18"/>
        </w:rPr>
        <w:t>Loftus</w:t>
      </w:r>
      <w:r w:rsidRPr="00FC1DF6">
        <w:rPr>
          <w:rFonts w:ascii="Palatino Linotype" w:hAnsi="Palatino Linotype"/>
          <w:sz w:val="18"/>
          <w:szCs w:val="18"/>
        </w:rPr>
        <w:t xml:space="preserve">,E 2007. </w:t>
      </w:r>
      <w:r w:rsidRPr="009235DC">
        <w:rPr>
          <w:rFonts w:ascii="Palatino Linotype" w:hAnsi="Palatino Linotype"/>
          <w:sz w:val="18"/>
          <w:szCs w:val="18"/>
          <w:lang w:val="en-US"/>
        </w:rPr>
        <w:t xml:space="preserve">2 .Internal and External </w:t>
      </w:r>
      <w:r w:rsidRPr="009235DC">
        <w:rPr>
          <w:rFonts w:ascii="Palatino Linotype" w:hAnsi="Palatino Linotype"/>
          <w:bCs/>
          <w:sz w:val="18"/>
          <w:szCs w:val="18"/>
          <w:lang w:val="en-US"/>
        </w:rPr>
        <w:t>Sources of Misinformation</w:t>
      </w:r>
      <w:r w:rsidRPr="009235DC">
        <w:rPr>
          <w:rFonts w:ascii="Palatino Linotype" w:hAnsi="Palatino Linotype"/>
          <w:sz w:val="18"/>
          <w:szCs w:val="18"/>
          <w:lang w:val="en-US"/>
        </w:rPr>
        <w:t xml:space="preserve"> in Adult Witness Memory. En Toglia, M. Handbook of Eyewitness Psychology, Lawrence Erlbaum Associates. </w:t>
      </w:r>
      <w:r w:rsidRPr="009235DC">
        <w:rPr>
          <w:rFonts w:ascii="Palatino Linotype" w:hAnsi="Palatino Linotype"/>
          <w:sz w:val="18"/>
          <w:szCs w:val="18"/>
        </w:rPr>
        <w:t xml:space="preserve">Disponible en: </w:t>
      </w:r>
      <w:hyperlink r:id="rId23" w:history="1">
        <w:r w:rsidRPr="009235DC">
          <w:rPr>
            <w:rStyle w:val="Hipervnculo"/>
            <w:rFonts w:ascii="Palatino Linotype" w:hAnsi="Palatino Linotype"/>
            <w:color w:val="auto"/>
            <w:sz w:val="18"/>
            <w:szCs w:val="18"/>
            <w:u w:val="none"/>
          </w:rPr>
          <w:t>https://webfiles.uci.edu/eloftus/Davis_Loftus_Misinformation_HandbookChapScan07.pdf?uniq=e418yu</w:t>
        </w:r>
      </w:hyperlink>
      <w:r w:rsidRPr="009235DC">
        <w:rPr>
          <w:rFonts w:ascii="Palatino Linotype" w:hAnsi="Palatino Linotype"/>
          <w:sz w:val="18"/>
          <w:szCs w:val="18"/>
        </w:rPr>
        <w:t xml:space="preserve">.  Un tercer ejemplo de implantación de memorias falsas se encuentra con el trabajo experimental efectuado por los investigadores Hyman, Husban y Billing de la Unviersidad de Western Washing en el cual se procedió a preguntar a un grupo de estudiantes universitarios si recordaban experiencias de su infancia, que había sido respaldada por sus padres y en la cual se había introducido un evento falso. La particularidad de este ejercicio era que a los participantes se les invitó bajo el entendimiento que el estudio era para entender las diferencias en la forma que se recuerdan experiencias en común. Los resultados fueron que en la primera entrevista, ninguno de los participantes recordaron algo del evento falso. Sin embargo, en una segunda entrevista, un 20 porciento de los participantes reconocieron recordar  algo del evento falso implantado.  Una conclusión similar fue a la que llegaron con el estudio que se efectuó utilizando fotografías modificadas digitalmente, en lugar de narrativas, ver: Wade, K.; Garry, M. ;Don R; y  Lindsay, S. 2002. </w:t>
      </w:r>
      <w:r w:rsidRPr="009235DC">
        <w:rPr>
          <w:rFonts w:ascii="Palatino Linotype" w:hAnsi="Palatino Linotype"/>
          <w:sz w:val="18"/>
          <w:szCs w:val="18"/>
          <w:lang w:val="en-US"/>
        </w:rPr>
        <w:t xml:space="preserve">A picture is worth a thousand lies: Using false photographs to create false childhood memories. </w:t>
      </w:r>
      <w:r w:rsidRPr="009235DC">
        <w:rPr>
          <w:rFonts w:ascii="Palatino Linotype" w:hAnsi="Palatino Linotype"/>
          <w:sz w:val="18"/>
          <w:szCs w:val="18"/>
        </w:rPr>
        <w:t xml:space="preserve">Psychonomic Bulletin &amp; Review 9 3, 597-603. </w:t>
      </w:r>
    </w:p>
  </w:footnote>
  <w:footnote w:id="651">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Loftus, E. 1996, Op. Cit., p.62. </w:t>
      </w:r>
    </w:p>
  </w:footnote>
  <w:footnote w:id="652">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En un particular estudio, la doctora Loftus junto con otros investigadores efectuaron un experimento usando uno de los personajes de Disney: Pluto, el cual tiene una imagen de ser un dulce, tierno y cariñoso perrito. El experimento consistió en implantar memorias falsas de un comportamiento inapropiado de Pluto – en una visita al parque de diversiones – con alguno de los participantes cuando eran niños. Una de las de conclusiones importantes es que la información inconsistente con el estereotipo es imaginada menos frecuentemente que la información consistente con el estereotipo. </w:t>
      </w:r>
      <w:r w:rsidRPr="009235DC">
        <w:rPr>
          <w:rFonts w:ascii="Palatino Linotype" w:hAnsi="Palatino Linotype"/>
          <w:sz w:val="18"/>
          <w:szCs w:val="18"/>
          <w:lang w:val="en-US"/>
        </w:rPr>
        <w:t xml:space="preserve">Loftus, E. Y otros 2008. Pluto Behaving badly:  False beliefs and their consequences”. </w:t>
      </w:r>
      <w:r w:rsidRPr="009235DC">
        <w:rPr>
          <w:rFonts w:ascii="Palatino Linotype" w:hAnsi="Palatino Linotype"/>
          <w:sz w:val="18"/>
          <w:szCs w:val="18"/>
        </w:rPr>
        <w:t xml:space="preserve">American Journal Of Psychology. Vol. 121, No. 4, pp. 643–660. Otro ejemplo curioso se presenta con la investigación de  Seamon J. Y otros 2006. </w:t>
      </w:r>
      <w:r w:rsidRPr="009235DC">
        <w:rPr>
          <w:rFonts w:ascii="Palatino Linotype" w:hAnsi="Palatino Linotype"/>
          <w:sz w:val="18"/>
          <w:szCs w:val="18"/>
          <w:lang w:val="en-US"/>
        </w:rPr>
        <w:t xml:space="preserve">Do You Remember Proposing Marriage To The Pepsi Machine? False Recollections From A Campus Walk.  </w:t>
      </w:r>
      <w:r w:rsidRPr="009235DC">
        <w:rPr>
          <w:rFonts w:ascii="Palatino Linotype" w:hAnsi="Palatino Linotype"/>
          <w:sz w:val="18"/>
          <w:szCs w:val="18"/>
        </w:rPr>
        <w:t xml:space="preserve">Psychonomic Bulletin &amp; Review, 13 5, Páginas 752-756 2006. Disponible en: </w:t>
      </w:r>
      <w:hyperlink r:id="rId24" w:history="1">
        <w:r w:rsidRPr="009235DC">
          <w:rPr>
            <w:rStyle w:val="Hipervnculo"/>
            <w:rFonts w:ascii="Palatino Linotype" w:hAnsi="Palatino Linotype"/>
            <w:color w:val="auto"/>
            <w:sz w:val="18"/>
            <w:szCs w:val="18"/>
            <w:u w:val="none"/>
          </w:rPr>
          <w:t>https://www.ncbi.nlm.nih.gov/pubmed/17328368</w:t>
        </w:r>
      </w:hyperlink>
      <w:r w:rsidRPr="009235DC">
        <w:rPr>
          <w:rFonts w:ascii="Palatino Linotype" w:hAnsi="Palatino Linotype"/>
          <w:sz w:val="18"/>
          <w:szCs w:val="18"/>
        </w:rPr>
        <w:t xml:space="preserve"> </w:t>
      </w:r>
    </w:p>
  </w:footnote>
  <w:footnote w:id="653">
    <w:p w:rsidR="00FC1DF6" w:rsidRPr="009235DC" w:rsidRDefault="00FC1DF6" w:rsidP="00E60FEF">
      <w:pPr>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Tal y como lo expone la profesora Lotus en una conferencia organizada por TED Talks, ver: Loftus, E.2013. </w:t>
      </w:r>
      <w:r w:rsidRPr="009235DC">
        <w:rPr>
          <w:rFonts w:ascii="Palatino Linotype" w:hAnsi="Palatino Linotype"/>
          <w:sz w:val="18"/>
          <w:szCs w:val="18"/>
          <w:lang w:val="en-US"/>
        </w:rPr>
        <w:t xml:space="preserve">The Fiction of Memory VIDEO. Disponible en:  </w:t>
      </w:r>
      <w:hyperlink r:id="rId25" w:history="1">
        <w:r w:rsidRPr="009235DC">
          <w:rPr>
            <w:rStyle w:val="Hipervnculo"/>
            <w:rFonts w:ascii="Palatino Linotype" w:hAnsi="Palatino Linotype"/>
            <w:color w:val="auto"/>
            <w:sz w:val="18"/>
            <w:szCs w:val="18"/>
            <w:lang w:val="en-US"/>
          </w:rPr>
          <w:t>https://www.ted.com/talks/elizabeth_loftus_ the_fiction_of_memory</w:t>
        </w:r>
      </w:hyperlink>
      <w:r w:rsidRPr="009235DC">
        <w:rPr>
          <w:rFonts w:ascii="Palatino Linotype" w:hAnsi="Palatino Linotype"/>
          <w:sz w:val="18"/>
          <w:szCs w:val="18"/>
          <w:lang w:val="en-US"/>
        </w:rPr>
        <w:t xml:space="preserve">.  </w:t>
      </w:r>
    </w:p>
  </w:footnote>
  <w:footnote w:id="654">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AR"/>
        </w:rPr>
        <w:t>Manzanero ha expuesto una cronología de las investigaciones que se han efectuado para diferencia una memoria real de una falsa, sin éxito, a raíz de la recuperación múltiple es decir, diferentes fuentes de acceso a la información, el paso de tiempo y así como cualquier otro aspecto que afecta las condiciones de discriminabilidad, dificulta que la persona pueda discernir lo real de lo falso. Manzanero, Antonio L., Op. Cit, p.128-130.</w:t>
      </w:r>
    </w:p>
  </w:footnote>
  <w:footnote w:id="65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Tal y como expone Green, Flynn y Loftus 1982 citado por Manzanero </w:t>
      </w:r>
      <w:r w:rsidRPr="009235DC">
        <w:rPr>
          <w:rFonts w:ascii="Palatino Linotype" w:hAnsi="Palatino Linotype"/>
          <w:sz w:val="18"/>
          <w:szCs w:val="18"/>
          <w:lang w:val="es-AR"/>
        </w:rPr>
        <w:t xml:space="preserve">Antonio L., Op. Cit, p.130. </w:t>
      </w:r>
    </w:p>
  </w:footnote>
  <w:footnote w:id="656">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Loftus, E. 1975, citada por </w:t>
      </w:r>
      <w:r w:rsidRPr="009235DC">
        <w:rPr>
          <w:rFonts w:ascii="Palatino Linotype" w:hAnsi="Palatino Linotype"/>
          <w:sz w:val="18"/>
          <w:szCs w:val="18"/>
          <w:lang w:val="es-AR"/>
        </w:rPr>
        <w:t>Manzanero, Antonio L., Op. Cit, p.131.</w:t>
      </w:r>
    </w:p>
  </w:footnote>
  <w:footnote w:id="657">
    <w:p w:rsidR="00FC1DF6" w:rsidRPr="009235DC" w:rsidRDefault="00FC1DF6" w:rsidP="00E60FEF">
      <w:pPr>
        <w:jc w:val="both"/>
        <w:rPr>
          <w:rFonts w:ascii="Palatino Linotype" w:hAnsi="Palatino Linotype"/>
          <w:sz w:val="18"/>
          <w:szCs w:val="18"/>
          <w:lang w:val="es-A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AR"/>
        </w:rPr>
        <w:t>Manzanero ita diferentes autores que han comprobado que si a los sujetos se les avisa de la posibildiad de futuras informaciones falsas, se incrementa la resitencia a la influencia de las mismas, ver: Manzanero, Antonio L., Op. Cit, p.131.</w:t>
      </w:r>
    </w:p>
  </w:footnote>
  <w:footnote w:id="658">
    <w:p w:rsidR="00FC1DF6" w:rsidRPr="009235DC" w:rsidRDefault="00FC1DF6" w:rsidP="00E60FEF">
      <w:pPr>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Laney y Loftus se dieron la tarea de responder a la pregunta si ¿Una emoción genuina corresponde a una experiencia real o si pueden existir emociones genuinas ligadas a experiencias falsas? </w:t>
      </w:r>
      <w:r w:rsidRPr="009235DC">
        <w:rPr>
          <w:rFonts w:ascii="Palatino Linotype" w:hAnsi="Palatino Linotype"/>
          <w:sz w:val="18"/>
          <w:szCs w:val="18"/>
          <w:lang w:val="en-US"/>
        </w:rPr>
        <w:t xml:space="preserve">Ver: Laney C. y Loftus, E 2008. Emotional content of true and false memories. Psychology Press Memory 165, 2008, páginas 500-516. Disponible en: </w:t>
      </w:r>
      <w:hyperlink r:id="rId26" w:history="1">
        <w:r w:rsidRPr="009235DC">
          <w:rPr>
            <w:rStyle w:val="Hipervnculo"/>
            <w:rFonts w:ascii="Palatino Linotype" w:hAnsi="Palatino Linotype"/>
            <w:color w:val="auto"/>
            <w:sz w:val="18"/>
            <w:szCs w:val="18"/>
            <w:u w:val="none"/>
            <w:lang w:val="en-US"/>
          </w:rPr>
          <w:t>https://webfiles.uci.edu/eloftus/Laney_Loftus_EmotionalFalseMem_Memory08.pdf?uniq=-794hub</w:t>
        </w:r>
      </w:hyperlink>
      <w:r w:rsidRPr="009235DC">
        <w:rPr>
          <w:rFonts w:ascii="Palatino Linotype" w:hAnsi="Palatino Linotype"/>
          <w:sz w:val="18"/>
          <w:szCs w:val="18"/>
          <w:lang w:val="en-US"/>
        </w:rPr>
        <w:t xml:space="preserve">.  </w:t>
      </w:r>
    </w:p>
  </w:footnote>
  <w:footnote w:id="659">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“In my definition of a lie or deceit, then, one person intends to mislead another, doing so deliberately, without prior notification of this purpose, and without having been explicitly asked to do so by the target. There are two primary ways to lie: to conceal and to falsify”  Ekman, P 2009. Telling Lies: Clues to Deceit in the  Marketplace, Politics, and Marriage.  </w:t>
      </w:r>
      <w:r w:rsidRPr="009235DC">
        <w:rPr>
          <w:rFonts w:ascii="Palatino Linotype" w:hAnsi="Palatino Linotype"/>
          <w:sz w:val="18"/>
          <w:szCs w:val="18"/>
        </w:rPr>
        <w:t xml:space="preserve">Norton Paperback. Edición Kindle, P.27. Basado en las investigaciones de Ekman, Chan explica como en la detección de mentiras puede ocurrir que se manifiesten respuestas fisiológicas como por ejemplo el aumento de los latidos de un corazón. Pero que no necesariamente esto implique que alguien en efecto mienta, puesto que también puede manifestarse la misma reacción ante el miedo de ser falsamente incriminado. Se trata de un artículo que da herramientas que permiten la detección de mentiras en un interrogatorio y desmitifica aquellas creencias que tradicionalmente se indican para determinar que alguien miente. Chan, A 2012. Lie to me Apuntes de psicología y derecho sobre la detección de mentiras y su aplicación para el interrogatorio de testigos. Revista Ius Veritas, Volumen 22, número 44, disponible en: </w:t>
      </w:r>
      <w:hyperlink r:id="rId27" w:history="1">
        <w:r w:rsidRPr="009235DC">
          <w:rPr>
            <w:rStyle w:val="Hipervnculo"/>
            <w:rFonts w:ascii="Palatino Linotype" w:hAnsi="Palatino Linotype"/>
            <w:color w:val="auto"/>
            <w:sz w:val="18"/>
            <w:szCs w:val="18"/>
            <w:u w:val="none"/>
          </w:rPr>
          <w:t>http://revistas.pucp.edu.pe/index.php/iusetveritas/article/view/12038</w:t>
        </w:r>
      </w:hyperlink>
    </w:p>
  </w:footnote>
  <w:footnote w:id="660">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La memoria asociativa -entendida como el campo donde ideas independientes se asocian- funge un papel importante en el campo de las preguntas sugestivas. En muchos casos estas asociaciones se hacen de forma subconsciente, ejemplo de esto se encuentran en situaciones tan simples como asociar la palabra “manzana” a la categoría de “frutas”, o relacionar “refriado” con una “enfermedad”. Este principio de la memoria asociativa conllevó a que los psicólogos descubrieran lo que se denominó el “Priming Effect” o el cambio de las palabras asociadas por haber sido expuesto a una palabra determinada. Sobre este efecto ver el capítulo 4 de  Kahneman, D 2011. “Think Fast and Slow”, MacMillan Publishers, Kindle Edition. </w:t>
      </w:r>
    </w:p>
  </w:footnote>
  <w:footnote w:id="66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Un Tribunal Penal en Costa Rica hizo un recuento de teorías innovadoras relacionadas con la sugestibilidad de los testimonios infantiles en casos de abusos sexuales y trae mención el fenómeno de la implantación de memorias falsas. En el caso concreto, anuló la sentencia que revisaba, por que casualmente en el mismo mes había recibido dos sentencias del mismo Tribunal de Sentencia, utilizando una fundamentación idéntica incluyendo las calificaciones para los testigos para dos casos diferentes en las que se absolvía al imputado por determinar la existencias de memorias falsas: “La administración de justicia no es, ni puede considerarse equivalente a un programa de cómputo en donde se establezcan las variables y el programa adopte la conclusión respectiva. Se trata de asuntos de naturaleza muy delicada en donde se encuentra en juego el respeto de los seres humanos concretos: imputados y víctimas. Por ello, desde vieja data la jurisprudencia constitucional ha tratado de suprimir algunos vicios relativos a la fundamentación, diciendo: "Repetir en abstracto y como frases vacías … no es fundamentar. Fundamentar, motivar, significa documentar la decisión en el caso concreto, exponer y razonar por qué se estima en ese momento procesal ... cuáles son los elementos de juicio que permiten sustentar la ... medida adoptada”. Sala Constitucional, voto Nº 3116-96. En igual sentido y de la misma Sala los votos Nº 3044-96, Nº 1854-96, Nº 636-96, Nº 5396-95, Nº 4670-95, Nº 1906-95.”Tribunal de Casación Penal de San José por medio de sentencia 925-2007 del 17 de agosto del 2007.</w:t>
      </w:r>
    </w:p>
  </w:footnote>
  <w:footnote w:id="662">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AR"/>
        </w:rPr>
        <w:t>Manzanero, A. 2008. Op.Cit. en , Pág.105.</w:t>
      </w:r>
    </w:p>
  </w:footnote>
  <w:footnote w:id="663">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“There has been research on the fragility of eyewitness identifications for nearly 40 years, yet social scientists say that it took DNA testing and a host of shameful exonerations of wrongly convicted people for the police and courts to take the research more seriously.”</w:t>
      </w:r>
      <w:r w:rsidRPr="009235DC">
        <w:rPr>
          <w:rStyle w:val="Refdenotaalpie"/>
          <w:rFonts w:ascii="Palatino Linotype" w:hAnsi="Palatino Linotype"/>
          <w:sz w:val="18"/>
          <w:szCs w:val="18"/>
          <w:lang w:val="en-US"/>
        </w:rPr>
        <w:t xml:space="preserve"> </w:t>
      </w:r>
      <w:r w:rsidRPr="009235DC">
        <w:rPr>
          <w:rFonts w:ascii="Palatino Linotype" w:hAnsi="Palatino Linotype"/>
          <w:sz w:val="18"/>
          <w:szCs w:val="18"/>
          <w:lang w:val="en-US"/>
        </w:rPr>
        <w:t xml:space="preserve"> </w:t>
      </w:r>
      <w:r w:rsidRPr="009235DC">
        <w:rPr>
          <w:rFonts w:ascii="Palatino Linotype" w:hAnsi="Palatino Linotype"/>
          <w:sz w:val="18"/>
          <w:szCs w:val="18"/>
        </w:rPr>
        <w:t>Kellog S. 2014, Op. Cit.</w:t>
      </w:r>
    </w:p>
  </w:footnote>
  <w:footnote w:id="664">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Por ejemplo, el tema de las memorias falsas ha surgido en una gran cantidad de casos relacionados con delitos relativos a la libertad sexual. </w:t>
      </w:r>
      <w:r w:rsidRPr="009235DC">
        <w:rPr>
          <w:rFonts w:ascii="Palatino Linotype" w:hAnsi="Palatino Linotype"/>
          <w:sz w:val="18"/>
          <w:szCs w:val="18"/>
          <w:lang w:val="en-US"/>
        </w:rPr>
        <w:t xml:space="preserve">Ver: Loftus, E, y Ketchum, K 1994. The Myth of repressed memory: false memories and allegations of sexual abuse. </w:t>
      </w:r>
      <w:r w:rsidRPr="009235DC">
        <w:rPr>
          <w:rFonts w:ascii="Palatino Linotype" w:hAnsi="Palatino Linotype"/>
          <w:sz w:val="18"/>
          <w:szCs w:val="18"/>
        </w:rPr>
        <w:t>St. Martin´s Griffin, New York, página 3. Sin embargo la aplicación de elementos de memoria falsa también relación con áreas civiles y comerciales. ¿Porqué? Porque también un empresario – así como cualquier otro humano- puede tener toda la convicción que ha experimentado situaciones, que en realidad no han ocurrido.</w:t>
      </w:r>
    </w:p>
  </w:footnote>
  <w:footnote w:id="665">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Los problemas son tan reales, que en algunas jurisdicciones se han adoptado guías para el manejo de testigos. Por ejemplo, el Departamento de Estado de los Estados Unidos de América en 1999 publicó unas guías para el manejo de evidencia y testigos por parte de sus policías, dicho documento puede consultarse en: </w:t>
      </w:r>
      <w:hyperlink r:id="rId28" w:history="1">
        <w:r w:rsidRPr="009235DC">
          <w:rPr>
            <w:rStyle w:val="Hipervnculo"/>
            <w:rFonts w:ascii="Palatino Linotype" w:hAnsi="Palatino Linotype"/>
            <w:color w:val="auto"/>
            <w:sz w:val="18"/>
            <w:szCs w:val="18"/>
            <w:u w:val="none"/>
          </w:rPr>
          <w:t>https://www.ncjrs.gov/pdffiles1/nij/178240.pdf</w:t>
        </w:r>
      </w:hyperlink>
      <w:r w:rsidRPr="009235DC">
        <w:rPr>
          <w:rFonts w:ascii="Palatino Linotype" w:hAnsi="Palatino Linotype"/>
          <w:sz w:val="18"/>
          <w:szCs w:val="18"/>
        </w:rPr>
        <w:t>. Otras guías más modernas, son las elaboradas por la organización no gubernamental National Research Council of The National Academy of Sciences en el año 2014 denominada “identifying the culprit: Assessin Eyewitness Identificacion”.  Otro ejemplo de problemas por convicciones por problemas en la credibilidad de las evidencias,  puede verificarse en los datos que constan en el Registro Nacional de Exoneraciones “National Registry of Exonerations”, un proyecto elaborado por la Facultad de derecho de la Universidad de Michigan y la Facultad de derecho de la Universidad de Northwestern, donde se llevan las estadísticas desde el año 1989 del total de convicciones revertidas en los Estados Unidos de América.</w:t>
      </w:r>
    </w:p>
  </w:footnote>
  <w:footnote w:id="666">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lang w:val="en-US"/>
        </w:rPr>
        <w:t xml:space="preserve"> Krist v. Eli Lilly and Co., 897 F.2d 293, 297 th Cir.1990 citado por Engelhardt, Laura 1999 “The Problem with Eyewitness Testimony”, Standford Journal of Legal Studies, Volume 1, Issue 1, pág. 26. </w:t>
      </w:r>
      <w:r w:rsidRPr="009235DC">
        <w:rPr>
          <w:rFonts w:ascii="Palatino Linotype" w:hAnsi="Palatino Linotype"/>
          <w:sz w:val="18"/>
          <w:szCs w:val="18"/>
        </w:rPr>
        <w:t xml:space="preserve">Disponible en:  </w:t>
      </w:r>
      <w:hyperlink r:id="rId29" w:history="1">
        <w:r w:rsidRPr="009235DC">
          <w:rPr>
            <w:rStyle w:val="Hipervnculo"/>
            <w:rFonts w:ascii="Palatino Linotype" w:hAnsi="Palatino Linotype"/>
            <w:color w:val="auto"/>
            <w:sz w:val="18"/>
            <w:szCs w:val="18"/>
            <w:u w:val="none"/>
          </w:rPr>
          <w:t>https://agora.stanford.edu/sjls/images/pdf/engelhardt.pdf</w:t>
        </w:r>
      </w:hyperlink>
    </w:p>
  </w:footnote>
  <w:footnote w:id="667">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Las personas basan sus respuestas en la credibilidad de un testigo en lugar de tomar en cuenta datos estadísticos, demostrando que la personas ponen más atención a lo que el testigo tiene que decir, y que con base a lo que indica un testigo se determina o construye lo que significa la realidad. Tal y como concluyeron, Tversky y Kahnemann 1977 por medio del ejercicio de los taxis azules y verdes: “En una ciudad hay dos compañías de taxis, los de color azul y los de color verde, siendo el 85% azules y el resto, un 15%, verdes. Un día hubo un accidente y el causante, que era taxista, se dio a la fuga. La policía encontró un testigo que aseguró que el taxi que provocó el accidente era verde. A este testigo se le hizo un prueba de memoria en la que se estimó que en un 80% de los casos podría recordar correctamente el color de los coches, y en un 20 % no. La mayoría de las personas responden que el taxi será con mayor probabilidad verde, cuando, haciendo cuentas, la probabilidad mayor es azul, ya que la mayoría de ellos son azules 85%.”</w:t>
      </w:r>
    </w:p>
  </w:footnote>
  <w:footnote w:id="668">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Ezcurra Rivero, H 2016.¿Cómo Aprovechar La Prueba Testimonial Para Persuadir A La Autoridad Arbitral De Nuestra Verdad?.  En: Bullard, A. “El Arbitraje desde otra perspectiva”. Palestra,  pág. 281-299.  </w:t>
      </w:r>
    </w:p>
  </w:footnote>
  <w:footnote w:id="669">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Una pregunta sugestiva puede disparar el efecto desinformación “misinformation effect” que ocurre cuando un testigo de un evento, posterior al mismo es expuesto a nueva e información engañosa del evento, sus recolecciones en muchos casos se distorsionan.  </w:t>
      </w:r>
    </w:p>
  </w:footnote>
  <w:footnote w:id="670">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Este principio general del derecho arbitral ha sido recogido de la siguiente manera por la jurisprudencia costarricense: </w:t>
      </w:r>
      <w:r w:rsidRPr="009235DC">
        <w:rPr>
          <w:rFonts w:ascii="Palatino Linotype" w:hAnsi="Palatino Linotype"/>
          <w:sz w:val="18"/>
          <w:szCs w:val="18"/>
          <w:lang w:val="es-CR"/>
        </w:rPr>
        <w:t>“</w:t>
      </w:r>
      <w:r w:rsidRPr="009235DC">
        <w:rPr>
          <w:rFonts w:ascii="Palatino Linotype" w:hAnsi="Palatino Linotype"/>
          <w:sz w:val="18"/>
          <w:szCs w:val="18"/>
        </w:rPr>
        <w:t xml:space="preserve">Precisamente, el actor acusa falta de apreciación de los elementos probatorios que constan en autos, principalmente las pruebas confesionales de Pedro Miguel Muñoz Fonseca y Bruce Main, así como las declaraciones de Hill Yakymyshyn, Grabriel Cháves y de Paul Oporta; consecuentemente, estima vulnerado el debido proceso por no fundamentarse el fallo con base en esas probanzas. Este Órgano Colegiado, también ha procurado delimitar el concepto del debido proceso en función de los principios rectores de la Ley no. 7727, que buscan una mínima injerencia de los órganos jurisdiccionales. De tal manera, no procede que a través del control que brinda este instituto, incursione esta Sala en temas de fondo, irrespetando la voluntad de las partes, quienes convinieron sustraerse de la justicia ordinaria, para dirimir su controversia por la vía del arbitraje. La motivación sugerida, como parte del debido proceso, no autoriza a que por medio del recurso de nulidad formulado contra el laudo, se haga una ponderación minuciosa del acierto o no de las razones dadas por los árbitros. Hacerse de esa forma, implicaría una revisión de las probanzas y su valoración respecto del análisis de fondo. La falta de motivación en esta materia, está referida a la carencia absoluta de fundamentación y razonamiento de la decisión final, más no a la falta de exhaustiva valoración de los elementos de convicción traídos a los autos.” Sentencia </w:t>
      </w:r>
      <w:r w:rsidRPr="009235DC">
        <w:rPr>
          <w:rFonts w:ascii="Palatino Linotype" w:hAnsi="Palatino Linotype"/>
          <w:sz w:val="18"/>
          <w:szCs w:val="18"/>
          <w:lang w:val="es-CR"/>
        </w:rPr>
        <w:t xml:space="preserve">777-F-S1-2011 de Sala Primera De La Corte Suprema De Justicia dictada a las dieciséis horas quince minutos del trece de junio de dos mil trece. </w:t>
      </w:r>
    </w:p>
  </w:footnote>
  <w:footnote w:id="671">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Si bien es cierto que un contrainterrogatorio viene a formar parte de la esencia del derecho de defensa, también es una realidad que los juzgadores deben estar conscientes de las actividades mentales que ocurren en su sistema cognitivo y en el de los demás para elevar la barra de la garantía del debido proceso a un nivel mayor.  Elizabeth Loftus, la pionera en la investigación de la implantación de memorias falsas, ha indicado que es un factor crítico para el acceso a la justicia. </w:t>
      </w:r>
    </w:p>
  </w:footnote>
  <w:footnote w:id="672">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AR"/>
        </w:rPr>
        <w:t>Por</w:t>
      </w:r>
      <w:r w:rsidRPr="009235DC">
        <w:rPr>
          <w:rFonts w:ascii="Palatino Linotype" w:hAnsi="Palatino Linotype"/>
          <w:sz w:val="18"/>
          <w:szCs w:val="18"/>
        </w:rPr>
        <w:t xml:space="preserve"> credibilidad entendemos la correspondencia entre lo sucedido y lo relatado, Manzanero la define como la valoración subjetiva de la exactitud estimada de las declaraciones de un testigo. En tanto que la exactitud de la memoria podemos definirla como la correspondencia entre lo sucedido y lo representado en la memoria, esto es, entre lo que ocurrió y lo que el testigo recuerda. </w:t>
      </w:r>
      <w:r w:rsidRPr="009235DC">
        <w:rPr>
          <w:rFonts w:ascii="Palatino Linotype" w:hAnsi="Palatino Linotype"/>
          <w:sz w:val="18"/>
          <w:szCs w:val="18"/>
          <w:lang w:val="es-AR"/>
        </w:rPr>
        <w:t>Manzanero, 2008., Op. Cit, p.179</w:t>
      </w:r>
      <w:r w:rsidRPr="009235DC">
        <w:rPr>
          <w:rFonts w:ascii="Palatino Linotype" w:hAnsi="Palatino Linotype"/>
          <w:sz w:val="18"/>
          <w:szCs w:val="18"/>
        </w:rPr>
        <w:t>.</w:t>
      </w:r>
    </w:p>
  </w:footnote>
  <w:footnote w:id="673">
    <w:p w:rsidR="00FC1DF6" w:rsidRPr="009235DC" w:rsidRDefault="00FC1DF6" w:rsidP="00E60FEF">
      <w:pPr>
        <w:jc w:val="both"/>
        <w:rPr>
          <w:rFonts w:ascii="Palatino Linotype" w:hAnsi="Palatino Linotype"/>
          <w:sz w:val="18"/>
          <w:szCs w:val="18"/>
        </w:rPr>
      </w:pPr>
      <w:r w:rsidRPr="009235DC">
        <w:rPr>
          <w:rFonts w:ascii="Palatino Linotype" w:hAnsi="Palatino Linotype"/>
          <w:sz w:val="18"/>
          <w:szCs w:val="18"/>
        </w:rPr>
        <w:footnoteRef/>
      </w:r>
      <w:r w:rsidRPr="009235DC">
        <w:rPr>
          <w:rFonts w:ascii="Palatino Linotype" w:hAnsi="Palatino Linotype"/>
          <w:sz w:val="18"/>
          <w:szCs w:val="18"/>
        </w:rPr>
        <w:t xml:space="preserve"> Sentencia No. 331-2015 del Tribunal de Apelación de Sentencia Penal Juvenil, II Circuito Judicial de San José. De forma relacionada al tema de la credibilidad de los testigos, el Dr. Ferrer hace un recuento de 19 factores o parámetros para evaluar la validez de un testimonio, entre los que se encuentran: estructura lógica, producción desestructurada, cantidad de detalles, anclaje contextual, descripción de las interacciones, reproducción de las conversaciones, sucesos inesperados durante el incidente, detalle poco usuales, detalles superfluos, relación precisa de los detalle mal interpretados, asociaciones externas relacionadas, explicaciones de estados mentales subjetivos, atribución del estado mental, correcciones y agregados espontáneos, admisiones de falta de memoria, dudas sobre su propio testimonio, auto desaprobación, perdón, detalles característicos del delito.  Ferrer, F 2015. Psicología Jurídica aportes psicosociales para la práctica del Derecho. Universidad de Buenos Aires, pág.87.</w:t>
      </w:r>
    </w:p>
  </w:footnote>
  <w:footnote w:id="674">
    <w:p w:rsidR="00FC1DF6" w:rsidRPr="009235DC" w:rsidRDefault="00FC1DF6" w:rsidP="00E60FEF">
      <w:pPr>
        <w:pStyle w:val="NormalWeb"/>
        <w:spacing w:before="0" w:beforeAutospacing="0" w:after="0" w:afterAutospacing="0"/>
        <w:jc w:val="both"/>
        <w:rPr>
          <w:rFonts w:ascii="Palatino Linotype" w:hAnsi="Palatino Linotype" w:cs="Arial"/>
          <w:sz w:val="18"/>
          <w:szCs w:val="18"/>
          <w:lang w:val="es-ES"/>
        </w:rPr>
      </w:pPr>
      <w:r w:rsidRPr="009235DC">
        <w:rPr>
          <w:rStyle w:val="Refdenotaalpie"/>
          <w:rFonts w:ascii="Palatino Linotype" w:hAnsi="Palatino Linotype" w:cs="Arial"/>
          <w:sz w:val="18"/>
          <w:szCs w:val="18"/>
          <w:lang w:val="es-ES"/>
        </w:rPr>
        <w:footnoteRef/>
      </w:r>
      <w:r w:rsidRPr="00FC1DF6">
        <w:rPr>
          <w:rFonts w:ascii="Palatino Linotype" w:hAnsi="Palatino Linotype" w:cs="Arial"/>
          <w:sz w:val="18"/>
          <w:szCs w:val="18"/>
        </w:rPr>
        <w:t xml:space="preserve">  </w:t>
      </w:r>
      <w:r w:rsidRPr="00FC1DF6">
        <w:rPr>
          <w:rFonts w:ascii="Palatino Linotype" w:hAnsi="Palatino Linotype" w:cs="Arial"/>
          <w:iCs/>
          <w:sz w:val="18"/>
          <w:szCs w:val="18"/>
        </w:rPr>
        <w:t>State v. Henderson</w:t>
      </w:r>
      <w:r w:rsidRPr="00FC1DF6">
        <w:rPr>
          <w:rFonts w:ascii="Palatino Linotype" w:hAnsi="Palatino Linotype" w:cs="Arial"/>
          <w:sz w:val="18"/>
          <w:szCs w:val="18"/>
        </w:rPr>
        <w:t xml:space="preserve">, 27 A.3d 872 N.J. 2011.  </w:t>
      </w:r>
      <w:r w:rsidRPr="009235DC">
        <w:rPr>
          <w:rFonts w:ascii="Palatino Linotype" w:hAnsi="Palatino Linotype" w:cs="Arial"/>
          <w:sz w:val="18"/>
          <w:szCs w:val="18"/>
          <w:lang w:val="es-ES"/>
        </w:rPr>
        <w:t xml:space="preserve">Un análisis crítico sobre el caso puede encontrarse en la Edición 125 2012 del Harvard Law Review , disponible en: </w:t>
      </w:r>
      <w:hyperlink r:id="rId30" w:history="1">
        <w:r w:rsidRPr="009235DC">
          <w:rPr>
            <w:rStyle w:val="Hipervnculo"/>
            <w:rFonts w:ascii="Palatino Linotype" w:eastAsiaTheme="minorEastAsia" w:hAnsi="Palatino Linotype"/>
            <w:color w:val="auto"/>
            <w:sz w:val="18"/>
            <w:szCs w:val="18"/>
            <w:u w:val="none"/>
          </w:rPr>
          <w:t>http://www.harvardlawreview.org/wp-content/uploads/pdfs/vol125_state_v_henderson.pdf</w:t>
        </w:r>
      </w:hyperlink>
      <w:r w:rsidRPr="009235DC">
        <w:rPr>
          <w:rFonts w:ascii="Palatino Linotype" w:hAnsi="Palatino Linotype" w:cs="Arial"/>
          <w:sz w:val="18"/>
          <w:szCs w:val="18"/>
          <w:lang w:val="es-ES"/>
        </w:rPr>
        <w:t xml:space="preserve">.  </w:t>
      </w:r>
    </w:p>
  </w:footnote>
  <w:footnote w:id="675">
    <w:p w:rsidR="00FC1DF6" w:rsidRPr="009235DC" w:rsidRDefault="00FC1DF6" w:rsidP="00E60FEF">
      <w:pPr>
        <w:jc w:val="both"/>
        <w:rPr>
          <w:rFonts w:ascii="Palatino Linotype" w:hAnsi="Palatino Linotype"/>
          <w:sz w:val="18"/>
          <w:szCs w:val="18"/>
          <w:lang w:val="en-US"/>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Loftus, E. 1996, op.cit., p.14-15. De igula forma Wells, G. 2006. </w:t>
      </w:r>
      <w:r w:rsidRPr="009235DC">
        <w:rPr>
          <w:rFonts w:ascii="Palatino Linotype" w:hAnsi="Palatino Linotype"/>
          <w:sz w:val="18"/>
          <w:szCs w:val="18"/>
          <w:lang w:val="en-US"/>
        </w:rPr>
        <w:t>Eyewitness Evidence: Improving Its Probative Value. 7 Psychol. Sci. Pub. Int. 45, , citado por Manzanero A. 2008, Op. Cit, p.184,</w:t>
      </w:r>
    </w:p>
  </w:footnote>
  <w:footnote w:id="676">
    <w:p w:rsidR="00FC1DF6" w:rsidRPr="009235DC" w:rsidRDefault="00FC1DF6" w:rsidP="00E60FEF">
      <w:pPr>
        <w:pStyle w:val="NormalWeb"/>
        <w:spacing w:before="0" w:beforeAutospacing="0" w:after="0" w:afterAutospacing="0"/>
        <w:jc w:val="both"/>
        <w:rPr>
          <w:rFonts w:ascii="Palatino Linotype" w:hAnsi="Palatino Linotype" w:cs="Arial"/>
          <w:sz w:val="18"/>
          <w:szCs w:val="18"/>
          <w:lang w:val="es-ES"/>
        </w:rPr>
      </w:pPr>
      <w:r w:rsidRPr="009235DC">
        <w:rPr>
          <w:rStyle w:val="Refdenotaalpie"/>
          <w:rFonts w:ascii="Palatino Linotype" w:hAnsi="Palatino Linotype" w:cs="Arial"/>
          <w:sz w:val="18"/>
          <w:szCs w:val="18"/>
          <w:lang w:val="es-ES"/>
        </w:rPr>
        <w:footnoteRef/>
      </w:r>
      <w:r w:rsidRPr="009235DC">
        <w:rPr>
          <w:rFonts w:ascii="Palatino Linotype" w:hAnsi="Palatino Linotype" w:cs="Arial"/>
          <w:sz w:val="18"/>
          <w:szCs w:val="18"/>
          <w:lang w:val="en-US"/>
        </w:rPr>
        <w:t xml:space="preserve"> En relación con las deliberaciones del Tribunal Arbitral, ver Madsen, Finn &amp; Eriksson, Peter; ''Deliberations of the Arbitral Tribunal- Analysis of Reasoned Awards From a Swedish Perspective” 2006, 2 Stockholm International Arbitration Review, para diferentes ejemplos de lo que constituyen inadecuadas deliberaciones remitirse a Born, Gary “International Commercial Arbitration: Commentary and Materials” 2da edición, Kluwer Law International pág. 844, tal y como lo reportó Duarte, Herman M., “Unilateral Appointments of Arbitrators: Perverse Incentives in International Arbitration?” May 20, 2012. Latin American and the Caribbean Law and Economics Association Annual Conference, XVI edition. </w:t>
      </w:r>
      <w:r w:rsidRPr="009235DC">
        <w:rPr>
          <w:rFonts w:ascii="Palatino Linotype" w:hAnsi="Palatino Linotype" w:cs="Arial"/>
          <w:sz w:val="18"/>
          <w:szCs w:val="18"/>
          <w:lang w:val="es-ES"/>
        </w:rPr>
        <w:t xml:space="preserve">Disponible en SSRN: </w:t>
      </w:r>
      <w:hyperlink r:id="rId31" w:history="1">
        <w:r w:rsidRPr="009235DC">
          <w:rPr>
            <w:rFonts w:ascii="Palatino Linotype" w:hAnsi="Palatino Linotype" w:cs="Arial"/>
            <w:sz w:val="18"/>
            <w:szCs w:val="18"/>
            <w:u w:color="012087"/>
            <w:lang w:val="es-ES"/>
          </w:rPr>
          <w:t>https://ssrn.com/abstract=2063186</w:t>
        </w:r>
      </w:hyperlink>
      <w:r w:rsidRPr="009235DC">
        <w:rPr>
          <w:rFonts w:ascii="Palatino Linotype" w:hAnsi="Palatino Linotype" w:cs="Arial"/>
          <w:sz w:val="18"/>
          <w:szCs w:val="18"/>
          <w:lang w:val="es-ES"/>
        </w:rPr>
        <w:t xml:space="preserve"> or </w:t>
      </w:r>
      <w:hyperlink r:id="rId32" w:history="1">
        <w:r w:rsidRPr="009235DC">
          <w:rPr>
            <w:rFonts w:ascii="Palatino Linotype" w:hAnsi="Palatino Linotype" w:cs="Arial"/>
            <w:sz w:val="18"/>
            <w:szCs w:val="18"/>
            <w:u w:color="012087"/>
            <w:lang w:val="es-ES"/>
          </w:rPr>
          <w:t>http://dx.doi.org/10.2139/ssrn.2063186</w:t>
        </w:r>
      </w:hyperlink>
      <w:r w:rsidRPr="009235DC">
        <w:rPr>
          <w:rFonts w:ascii="Palatino Linotype" w:hAnsi="Palatino Linotype" w:cs="Arial"/>
          <w:sz w:val="18"/>
          <w:szCs w:val="18"/>
          <w:lang w:val="es-ES"/>
        </w:rPr>
        <w:t xml:space="preserve">. </w:t>
      </w:r>
    </w:p>
  </w:footnote>
  <w:footnote w:id="677">
    <w:p w:rsidR="00FC1DF6" w:rsidRPr="009235DC" w:rsidRDefault="00FC1DF6" w:rsidP="00E60FEF">
      <w:pPr>
        <w:pStyle w:val="NormalWeb"/>
        <w:spacing w:before="0" w:beforeAutospacing="0" w:after="0" w:afterAutospacing="0"/>
        <w:jc w:val="both"/>
        <w:rPr>
          <w:rFonts w:ascii="Palatino Linotype" w:hAnsi="Palatino Linotype" w:cs="Arial"/>
          <w:sz w:val="18"/>
          <w:szCs w:val="18"/>
        </w:rPr>
      </w:pPr>
      <w:r w:rsidRPr="009235DC">
        <w:rPr>
          <w:rStyle w:val="Refdenotaalpie"/>
          <w:rFonts w:ascii="Palatino Linotype" w:hAnsi="Palatino Linotype" w:cs="Arial"/>
          <w:sz w:val="18"/>
          <w:szCs w:val="18"/>
        </w:rPr>
        <w:footnoteRef/>
      </w:r>
      <w:r w:rsidRPr="009235DC">
        <w:rPr>
          <w:rFonts w:ascii="Palatino Linotype" w:hAnsi="Palatino Linotype" w:cs="Arial"/>
          <w:sz w:val="18"/>
          <w:szCs w:val="18"/>
        </w:rPr>
        <w:t xml:space="preserve"> Ezcurra, H 2015. </w:t>
      </w:r>
      <w:r w:rsidRPr="009235DC">
        <w:rPr>
          <w:rFonts w:ascii="Palatino Linotype" w:hAnsi="Palatino Linotype" w:cs="Arial"/>
          <w:bCs/>
          <w:sz w:val="18"/>
          <w:szCs w:val="18"/>
          <w:lang w:eastAsia="en-US"/>
        </w:rPr>
        <w:t>Corrupción y Arbitraje: A propó</w:t>
      </w:r>
      <w:r w:rsidRPr="009235DC">
        <w:rPr>
          <w:rFonts w:ascii="Palatino Linotype" w:hAnsi="Palatino Linotype" w:cs="Arial"/>
          <w:bCs/>
          <w:sz w:val="18"/>
          <w:szCs w:val="18"/>
        </w:rPr>
        <w:t>sito de las Reglas IBA sobre confl</w:t>
      </w:r>
      <w:r w:rsidRPr="009235DC">
        <w:rPr>
          <w:rFonts w:ascii="Palatino Linotype" w:hAnsi="Palatino Linotype" w:cs="Arial"/>
          <w:bCs/>
          <w:sz w:val="18"/>
          <w:szCs w:val="18"/>
          <w:lang w:eastAsia="en-US"/>
        </w:rPr>
        <w:t>ictos de intereses</w:t>
      </w:r>
      <w:r w:rsidRPr="009235DC">
        <w:rPr>
          <w:rFonts w:ascii="Palatino Linotype" w:hAnsi="Palatino Linotype" w:cs="Arial"/>
          <w:bCs/>
          <w:sz w:val="18"/>
          <w:szCs w:val="18"/>
        </w:rPr>
        <w:t xml:space="preserve">. </w:t>
      </w:r>
      <w:r w:rsidRPr="009235DC">
        <w:rPr>
          <w:rFonts w:ascii="Palatino Linotype" w:hAnsi="Palatino Linotype" w:cs="Arial"/>
          <w:sz w:val="18"/>
          <w:szCs w:val="18"/>
        </w:rPr>
        <w:t xml:space="preserve">Revista ius et veRitas, N° 50. Disponible en: </w:t>
      </w:r>
      <w:hyperlink r:id="rId33" w:history="1">
        <w:r w:rsidRPr="007514E7">
          <w:rPr>
            <w:rStyle w:val="Hipervnculo"/>
            <w:rFonts w:ascii="Palatino Linotype" w:hAnsi="Palatino Linotype" w:cs="Arial"/>
            <w:sz w:val="18"/>
            <w:szCs w:val="18"/>
          </w:rPr>
          <w:t>http://revistas.pucp.edu.pe/index.php/</w:t>
        </w:r>
      </w:hyperlink>
      <w:r>
        <w:rPr>
          <w:rFonts w:ascii="Palatino Linotype" w:hAnsi="Palatino Linotype" w:cs="Arial"/>
          <w:sz w:val="18"/>
          <w:szCs w:val="18"/>
        </w:rPr>
        <w:t xml:space="preserve"> </w:t>
      </w:r>
      <w:r w:rsidRPr="009235DC">
        <w:rPr>
          <w:rFonts w:ascii="Palatino Linotype" w:hAnsi="Palatino Linotype" w:cs="Arial"/>
          <w:sz w:val="18"/>
          <w:szCs w:val="18"/>
        </w:rPr>
        <w:t>iusetveritas/article/viewFile/14817/1537.</w:t>
      </w:r>
    </w:p>
  </w:footnote>
  <w:footnote w:id="678">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El razonamiento de la fiabilidad que el sistema de jurado norteamericano le otorga a la prueba testimonial se puede aplicar de manera análoga a los árbitros. </w:t>
      </w:r>
      <w:r w:rsidRPr="009235DC">
        <w:rPr>
          <w:rFonts w:ascii="Palatino Linotype" w:hAnsi="Palatino Linotype"/>
          <w:sz w:val="18"/>
          <w:szCs w:val="18"/>
          <w:lang w:val="en-US"/>
        </w:rPr>
        <w:t xml:space="preserve">Ver:  Engelhardt, L. 1999. The Problem with Eyewitness Testimony. Standford Journal of Legal Studies, Volume 1, Issue 1, pág. 28-29. </w:t>
      </w:r>
      <w:r w:rsidRPr="009235DC">
        <w:rPr>
          <w:rFonts w:ascii="Palatino Linotype" w:hAnsi="Palatino Linotype"/>
          <w:sz w:val="18"/>
          <w:szCs w:val="18"/>
        </w:rPr>
        <w:t xml:space="preserve">Disponible en:  </w:t>
      </w:r>
      <w:hyperlink r:id="rId34" w:history="1">
        <w:r w:rsidRPr="009235DC">
          <w:rPr>
            <w:rStyle w:val="Hipervnculo"/>
            <w:rFonts w:ascii="Palatino Linotype" w:hAnsi="Palatino Linotype"/>
            <w:color w:val="auto"/>
            <w:sz w:val="18"/>
            <w:szCs w:val="18"/>
            <w:u w:val="none"/>
          </w:rPr>
          <w:t>https://agora.stanford.edu/sjls/images/pdf/engelhardt.pdf</w:t>
        </w:r>
      </w:hyperlink>
    </w:p>
  </w:footnote>
  <w:footnote w:id="679">
    <w:p w:rsidR="00FC1DF6" w:rsidRPr="009235DC" w:rsidRDefault="00FC1DF6" w:rsidP="00E60FEF">
      <w:pPr>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El caso del Estado de Arizona contra Chapple 519 U.S. 172, 117 S.Ct. 644, marca un hito por permitir un experto en psicología del testimonio por primera vez ante la situación de un hombre que había sido condenado por medio de declaraciones testimoniales</w:t>
      </w:r>
    </w:p>
  </w:footnote>
  <w:footnote w:id="680">
    <w:p w:rsidR="00FC1DF6" w:rsidRPr="009235DC" w:rsidRDefault="00FC1DF6" w:rsidP="00E60FEF">
      <w:pPr>
        <w:pStyle w:val="Textonotapie"/>
        <w:jc w:val="both"/>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Dr. Derecho Penal y Criminología de la U. de Málaga y la U. Escuela Libre de Derecho; Máster en Psicología Forense del John Jay of Criminal Justice de la City University of New York, USA;  Especialista y Máster en Ciencias Penales del SEP, UCR;  Máster en Criminología de la UCI;  Máster en Sociología Jurídico Penal de la U. de Barcelona, España, Especialista en Justicia Constitucional de la Universidad de Pisa, Italia, Bachiller en Ciencias Criminológicas de la UNED;  Catedrático de Derecho Penal Especial y Criminología de la Facultad de Derecho de la Universidad de Costa Rica,  Juez de Juicio del II Circuito Judicial de San José y Juez de Apelación de Sentencia Penal Juvenil.</w:t>
      </w:r>
    </w:p>
  </w:footnote>
  <w:footnote w:id="681">
    <w:p w:rsidR="00FC1DF6" w:rsidRPr="009235DC" w:rsidRDefault="00FC1DF6" w:rsidP="00E60FEF">
      <w:pPr>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Devis Echandía, H., “Teoría General de la Prueba Judicial,” editorial Zavalía, Buenos Aires, Pág.291.</w:t>
      </w:r>
    </w:p>
    <w:p w:rsidR="00FC1DF6" w:rsidRPr="009235DC" w:rsidRDefault="00FC1DF6" w:rsidP="00E60FEF">
      <w:pPr>
        <w:pStyle w:val="Textonotapie"/>
        <w:rPr>
          <w:rFonts w:ascii="Palatino Linotype" w:hAnsi="Palatino Linotype"/>
          <w:sz w:val="18"/>
          <w:szCs w:val="18"/>
        </w:rPr>
      </w:pPr>
    </w:p>
  </w:footnote>
  <w:footnote w:id="682">
    <w:p w:rsidR="00FC1DF6" w:rsidRPr="009235DC" w:rsidRDefault="00FC1DF6" w:rsidP="00E60FEF">
      <w:pPr>
        <w:pStyle w:val="Textonotapie"/>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Pr>
          <w:rFonts w:ascii="Palatino Linotype" w:hAnsi="Palatino Linotype"/>
          <w:sz w:val="18"/>
          <w:szCs w:val="18"/>
        </w:rPr>
        <w:t>Rodríguez Garcia</w:t>
      </w:r>
      <w:r w:rsidRPr="009235DC">
        <w:rPr>
          <w:rFonts w:ascii="Palatino Linotype" w:hAnsi="Palatino Linotype"/>
          <w:sz w:val="18"/>
          <w:szCs w:val="18"/>
        </w:rPr>
        <w:t xml:space="preserve"> Mario. “Los servicios periciales independientes”, revista de la academia mexicana  de ciencias penales “ CRIMINALIA” año LXVI, número 3, septiembre-diciembre 2000, Pág. 93.</w:t>
      </w:r>
    </w:p>
  </w:footnote>
  <w:footnote w:id="683">
    <w:p w:rsidR="00FC1DF6" w:rsidRPr="009235DC" w:rsidRDefault="00FC1DF6" w:rsidP="00E60FEF">
      <w:pPr>
        <w:pStyle w:val="Textonotapie"/>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MX"/>
        </w:rPr>
        <w:t xml:space="preserve">Kielmanovich Jorge l., </w:t>
      </w:r>
      <w:r>
        <w:rPr>
          <w:rFonts w:ascii="Palatino Linotype" w:hAnsi="Palatino Linotype"/>
          <w:sz w:val="18"/>
          <w:szCs w:val="18"/>
          <w:lang w:val="es-MX"/>
        </w:rPr>
        <w:t>T</w:t>
      </w:r>
      <w:r w:rsidRPr="009235DC">
        <w:rPr>
          <w:rFonts w:ascii="Palatino Linotype" w:hAnsi="Palatino Linotype"/>
          <w:sz w:val="18"/>
          <w:szCs w:val="18"/>
          <w:lang w:val="es-MX"/>
        </w:rPr>
        <w:t>eoría de la prueba y medios probatorios, editorial Abeledo Perrot, Buenos Aires, 1996, Pág. 437.</w:t>
      </w:r>
    </w:p>
  </w:footnote>
  <w:footnote w:id="684">
    <w:p w:rsidR="00FC1DF6" w:rsidRPr="009235DC" w:rsidRDefault="00FC1DF6" w:rsidP="00E60FEF">
      <w:pPr>
        <w:pStyle w:val="Textonotapie"/>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http://www.monografias.com/trabajos16/pruebas-penal/pruebas-penal.shtml#PERICIAL</w:t>
      </w:r>
    </w:p>
  </w:footnote>
  <w:footnote w:id="685">
    <w:p w:rsidR="00FC1DF6" w:rsidRPr="009235DC" w:rsidRDefault="00FC1DF6" w:rsidP="00E60FEF">
      <w:pPr>
        <w:pStyle w:val="Textonotapie"/>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MX"/>
        </w:rPr>
        <w:t>Manual Teórico Practico, derecho Procesal Penal, Honduras Pág. 499.</w:t>
      </w:r>
    </w:p>
  </w:footnote>
  <w:footnote w:id="686">
    <w:p w:rsidR="00FC1DF6" w:rsidRPr="009235DC" w:rsidRDefault="00FC1DF6" w:rsidP="00E60FEF">
      <w:pPr>
        <w:pStyle w:val="Textonotapie"/>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Garcia Ramírez Sergio., “Justicia penal e intervención pericial”, Revista mexicana de ciencias penales, no 3, año 1979-1980. Pág.179.</w:t>
      </w:r>
    </w:p>
  </w:footnote>
  <w:footnote w:id="687">
    <w:p w:rsidR="00FC1DF6" w:rsidRPr="009235DC" w:rsidRDefault="00FC1DF6" w:rsidP="00E60FEF">
      <w:pPr>
        <w:pStyle w:val="Textonotapie"/>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MX"/>
        </w:rPr>
        <w:t>Moreno Catena Víctor, Prueba Pericial en Derecho Procesal Penal, 2da. Ed., Colex, Madrid, 1997, Pág. 422.</w:t>
      </w:r>
    </w:p>
  </w:footnote>
  <w:footnote w:id="688">
    <w:p w:rsidR="00FC1DF6" w:rsidRPr="009235DC" w:rsidRDefault="00FC1DF6" w:rsidP="00E60FEF">
      <w:pPr>
        <w:pStyle w:val="Textonotapie"/>
        <w:rPr>
          <w:rFonts w:ascii="Palatino Linotype" w:hAnsi="Palatino Linotype"/>
          <w:sz w:val="18"/>
          <w:szCs w:val="18"/>
          <w:lang w:val="es-CR"/>
        </w:rPr>
      </w:pPr>
      <w:r w:rsidRPr="009235DC">
        <w:rPr>
          <w:rStyle w:val="Refdenotaalpie"/>
          <w:rFonts w:ascii="Palatino Linotype" w:hAnsi="Palatino Linotype"/>
          <w:sz w:val="18"/>
          <w:szCs w:val="18"/>
        </w:rPr>
        <w:footnoteRef/>
      </w:r>
      <w:r>
        <w:rPr>
          <w:rFonts w:ascii="Palatino Linotype" w:hAnsi="Palatino Linotype"/>
          <w:sz w:val="18"/>
          <w:szCs w:val="18"/>
        </w:rPr>
        <w:t xml:space="preserve"> Villagomez Cebrian, Marcos. </w:t>
      </w:r>
      <w:r w:rsidRPr="009235DC">
        <w:rPr>
          <w:rFonts w:ascii="Palatino Linotype" w:hAnsi="Palatino Linotype"/>
          <w:sz w:val="18"/>
          <w:szCs w:val="18"/>
        </w:rPr>
        <w:t>La prueba de los recursos, editorial TECNOS, tomo III, España, 2000, Pág. 57.</w:t>
      </w:r>
    </w:p>
  </w:footnote>
  <w:footnote w:id="689">
    <w:p w:rsidR="00FC1DF6" w:rsidRPr="009235DC" w:rsidRDefault="00FC1DF6" w:rsidP="00E60FEF">
      <w:pPr>
        <w:pStyle w:val="Textonotapie"/>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MX"/>
        </w:rPr>
        <w:t>Pietro Castro, citado por Varela Casimiro, Valoración de la Prueba, Pag. 191.</w:t>
      </w:r>
    </w:p>
  </w:footnote>
  <w:footnote w:id="690">
    <w:p w:rsidR="00FC1DF6" w:rsidRPr="009235DC" w:rsidRDefault="00FC1DF6" w:rsidP="00E60FEF">
      <w:pPr>
        <w:pStyle w:val="Textonotapie"/>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MX"/>
        </w:rPr>
        <w:t>Caferata Nores  José I., La Prueba en el Proceso Penal, , 4ta. Edición, Ed. Depalma, Buenos Aires, 2001. Pág. 55</w:t>
      </w:r>
    </w:p>
  </w:footnote>
  <w:footnote w:id="691">
    <w:p w:rsidR="00FC1DF6" w:rsidRPr="009235DC" w:rsidRDefault="00FC1DF6" w:rsidP="00E60FEF">
      <w:pPr>
        <w:pStyle w:val="Textonotapie"/>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MX"/>
        </w:rPr>
        <w:t>Garcia Martinez, Angel Santiago., La prueba en el proceso civil”, Consejo General del Poder Judicial, España, CD-ROM.</w:t>
      </w:r>
    </w:p>
  </w:footnote>
  <w:footnote w:id="692">
    <w:p w:rsidR="00FC1DF6" w:rsidRPr="009235DC" w:rsidRDefault="00FC1DF6" w:rsidP="00E60FEF">
      <w:pPr>
        <w:pStyle w:val="Textonotapie"/>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Falcón Enrique</w:t>
      </w:r>
      <w:r>
        <w:rPr>
          <w:rFonts w:ascii="Palatino Linotype" w:hAnsi="Palatino Linotype"/>
          <w:sz w:val="18"/>
          <w:szCs w:val="18"/>
        </w:rPr>
        <w:t xml:space="preserve">, </w:t>
      </w:r>
      <w:r w:rsidRPr="009235DC">
        <w:rPr>
          <w:rFonts w:ascii="Palatino Linotype" w:hAnsi="Palatino Linotype"/>
          <w:sz w:val="18"/>
          <w:szCs w:val="18"/>
        </w:rPr>
        <w:t>Tratado de la prueba, editorial Astrea, tomo I, Buenos Aires, 2003, Pág.4.</w:t>
      </w:r>
    </w:p>
  </w:footnote>
  <w:footnote w:id="693">
    <w:p w:rsidR="00FC1DF6" w:rsidRPr="009235DC" w:rsidRDefault="00FC1DF6" w:rsidP="00E60FEF">
      <w:pPr>
        <w:pStyle w:val="Textonotapie"/>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Pr>
          <w:rFonts w:ascii="Palatino Linotype" w:hAnsi="Palatino Linotype"/>
          <w:sz w:val="18"/>
          <w:szCs w:val="18"/>
          <w:lang w:val="es-MX"/>
        </w:rPr>
        <w:t>Palacio</w:t>
      </w:r>
      <w:r w:rsidRPr="009235DC">
        <w:rPr>
          <w:rFonts w:ascii="Palatino Linotype" w:hAnsi="Palatino Linotype"/>
          <w:sz w:val="18"/>
          <w:szCs w:val="18"/>
          <w:lang w:val="es-MX"/>
        </w:rPr>
        <w:t xml:space="preserve"> L</w:t>
      </w:r>
      <w:r>
        <w:rPr>
          <w:rFonts w:ascii="Palatino Linotype" w:hAnsi="Palatino Linotype"/>
          <w:sz w:val="18"/>
          <w:szCs w:val="18"/>
          <w:lang w:val="es-MX"/>
        </w:rPr>
        <w:t>ino</w:t>
      </w:r>
      <w:r w:rsidRPr="009235DC">
        <w:rPr>
          <w:rFonts w:ascii="Palatino Linotype" w:hAnsi="Palatino Linotype"/>
          <w:sz w:val="18"/>
          <w:szCs w:val="18"/>
          <w:lang w:val="es-MX"/>
        </w:rPr>
        <w:t xml:space="preserve"> E.</w:t>
      </w:r>
      <w:r>
        <w:rPr>
          <w:rFonts w:ascii="Palatino Linotype" w:hAnsi="Palatino Linotype"/>
          <w:sz w:val="18"/>
          <w:szCs w:val="18"/>
          <w:lang w:val="es-MX"/>
        </w:rPr>
        <w:t xml:space="preserve"> </w:t>
      </w:r>
      <w:r w:rsidRPr="009235DC">
        <w:rPr>
          <w:rFonts w:ascii="Palatino Linotype" w:hAnsi="Palatino Linotype"/>
          <w:sz w:val="18"/>
          <w:szCs w:val="18"/>
          <w:lang w:val="es-MX"/>
        </w:rPr>
        <w:t>Derecho Procesal Civil, editorial Abeledo-Perrot, Buenos aires, Pág. 674.</w:t>
      </w:r>
    </w:p>
  </w:footnote>
  <w:footnote w:id="694">
    <w:p w:rsidR="00FC1DF6" w:rsidRPr="009235DC" w:rsidRDefault="00FC1DF6" w:rsidP="00E60FEF">
      <w:pPr>
        <w:pStyle w:val="Textonotapie"/>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Falcón, Enrique</w:t>
      </w:r>
      <w:r>
        <w:rPr>
          <w:rFonts w:ascii="Palatino Linotype" w:hAnsi="Palatino Linotype"/>
          <w:sz w:val="18"/>
          <w:szCs w:val="18"/>
        </w:rPr>
        <w:t xml:space="preserve">. </w:t>
      </w:r>
      <w:r w:rsidRPr="009235DC">
        <w:rPr>
          <w:rFonts w:ascii="Palatino Linotype" w:hAnsi="Palatino Linotype"/>
          <w:sz w:val="18"/>
          <w:szCs w:val="18"/>
        </w:rPr>
        <w:t>Tratado de la prueba, , tomo I, Buenos Aires, 2003, Pág.3.</w:t>
      </w:r>
    </w:p>
  </w:footnote>
  <w:footnote w:id="695">
    <w:p w:rsidR="00FC1DF6" w:rsidRPr="009235DC" w:rsidRDefault="00FC1DF6" w:rsidP="00E60FEF">
      <w:pPr>
        <w:pStyle w:val="Textonotapie"/>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MX"/>
        </w:rPr>
        <w:t>Citado por Cruz Cuellar, Entralgo Fernández, ”Derecho procesal penal de Honduras</w:t>
      </w:r>
      <w:r>
        <w:rPr>
          <w:rFonts w:ascii="Palatino Linotype" w:hAnsi="Palatino Linotype"/>
          <w:sz w:val="18"/>
          <w:szCs w:val="18"/>
          <w:lang w:val="es-MX"/>
        </w:rPr>
        <w:t xml:space="preserve">. </w:t>
      </w:r>
      <w:r w:rsidRPr="009235DC">
        <w:rPr>
          <w:rFonts w:ascii="Palatino Linotype" w:hAnsi="Palatino Linotype"/>
          <w:sz w:val="18"/>
          <w:szCs w:val="18"/>
          <w:lang w:val="es-MX"/>
        </w:rPr>
        <w:t>Manual Teórico-Práctico” Pág. 444.</w:t>
      </w:r>
    </w:p>
  </w:footnote>
  <w:footnote w:id="696">
    <w:p w:rsidR="00FC1DF6" w:rsidRPr="009235DC" w:rsidRDefault="00FC1DF6" w:rsidP="00E60FEF">
      <w:pPr>
        <w:jc w:val="both"/>
        <w:rPr>
          <w:rFonts w:ascii="Palatino Linotype" w:hAnsi="Palatino Linotype"/>
          <w:sz w:val="18"/>
          <w:szCs w:val="18"/>
          <w:lang w:val="es-MX"/>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Belloch Julbe Juan Alberto, Cuadernos de derecho</w:t>
      </w:r>
      <w:r>
        <w:rPr>
          <w:rFonts w:ascii="Palatino Linotype" w:hAnsi="Palatino Linotype"/>
          <w:sz w:val="18"/>
          <w:szCs w:val="18"/>
        </w:rPr>
        <w:t xml:space="preserve"> judicial. La prueba indiciaria,</w:t>
      </w:r>
      <w:r w:rsidRPr="009235DC">
        <w:rPr>
          <w:rFonts w:ascii="Palatino Linotype" w:hAnsi="Palatino Linotype"/>
          <w:sz w:val="18"/>
          <w:szCs w:val="18"/>
        </w:rPr>
        <w:t xml:space="preserve"> Editorial Consejo General del Poder judicial, Revista No. 13, Madrid, 1992, Pág.90.</w:t>
      </w:r>
    </w:p>
    <w:p w:rsidR="00FC1DF6" w:rsidRPr="009235DC" w:rsidRDefault="00FC1DF6" w:rsidP="00EA7DD2">
      <w:pPr>
        <w:pStyle w:val="Estilo1"/>
        <w:spacing w:line="240" w:lineRule="auto"/>
        <w:rPr>
          <w:rFonts w:ascii="Palatino Linotype" w:hAnsi="Palatino Linotype"/>
          <w:sz w:val="18"/>
          <w:szCs w:val="18"/>
          <w:lang w:val="es-MX"/>
        </w:rPr>
      </w:pPr>
      <w:r w:rsidRPr="009235DC">
        <w:rPr>
          <w:rFonts w:ascii="Palatino Linotype" w:hAnsi="Palatino Linotype"/>
          <w:sz w:val="18"/>
          <w:szCs w:val="18"/>
          <w:lang w:val="es-MX"/>
        </w:rPr>
        <w:t>19 Kielmanovich Jorge l., teoría de la prueba y medios probatorios”, editorial Abeledo Perrot, Buenos Aires, 1996, Pág. 437.</w:t>
      </w:r>
    </w:p>
  </w:footnote>
  <w:footnote w:id="697">
    <w:p w:rsidR="00FC1DF6" w:rsidRPr="009235DC" w:rsidRDefault="00FC1DF6" w:rsidP="00E60FEF">
      <w:pPr>
        <w:pStyle w:val="Textonotapie"/>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http://info4.juridicas.unam.mx/ijure/fed/6/248.htm?s=</w:t>
      </w:r>
    </w:p>
  </w:footnote>
  <w:footnote w:id="698">
    <w:p w:rsidR="00FC1DF6" w:rsidRPr="009235DC" w:rsidRDefault="00FC1DF6" w:rsidP="00E60FEF">
      <w:pPr>
        <w:pStyle w:val="Textonotapie"/>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MX"/>
        </w:rPr>
        <w:t>Caferata Nores  José I</w:t>
      </w:r>
      <w:r>
        <w:rPr>
          <w:rFonts w:ascii="Palatino Linotype" w:hAnsi="Palatino Linotype"/>
          <w:sz w:val="18"/>
          <w:szCs w:val="18"/>
          <w:lang w:val="es-MX"/>
        </w:rPr>
        <w:t>.</w:t>
      </w:r>
      <w:r w:rsidRPr="009235DC">
        <w:rPr>
          <w:rFonts w:ascii="Palatino Linotype" w:hAnsi="Palatino Linotype"/>
          <w:sz w:val="18"/>
          <w:szCs w:val="18"/>
          <w:lang w:val="es-MX"/>
        </w:rPr>
        <w:t xml:space="preserve"> La Prueba en el Proceso Penal, Pag.49, 4ta. Edición, Ed. Depalma, Buenos Aires, 2001.</w:t>
      </w:r>
    </w:p>
  </w:footnote>
  <w:footnote w:id="699">
    <w:p w:rsidR="00FC1DF6" w:rsidRPr="009235DC" w:rsidRDefault="00FC1DF6" w:rsidP="00E60FEF">
      <w:pPr>
        <w:pStyle w:val="Textonotapie"/>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sidRPr="009235DC">
        <w:rPr>
          <w:rFonts w:ascii="Palatino Linotype" w:hAnsi="Palatino Linotype"/>
          <w:sz w:val="18"/>
          <w:szCs w:val="18"/>
          <w:lang w:val="es-MX"/>
        </w:rPr>
        <w:t>Burgos Mata Álvaro “ Perito y Testigo: gemelos heterocigóticos del proceso penal”, Revista Escuela Judicial # 3, Pág. 21, San José, Costa Rica, diciembre 2004.</w:t>
      </w:r>
    </w:p>
  </w:footnote>
  <w:footnote w:id="700">
    <w:p w:rsidR="00FC1DF6" w:rsidRPr="009235DC" w:rsidRDefault="00FC1DF6" w:rsidP="00EA7DD2">
      <w:pPr>
        <w:pStyle w:val="NormalWeb"/>
        <w:spacing w:before="0" w:beforeAutospacing="0" w:after="0" w:afterAutospacing="0"/>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Pr>
          <w:rFonts w:ascii="Palatino Linotype" w:hAnsi="Palatino Linotype"/>
          <w:sz w:val="18"/>
          <w:szCs w:val="18"/>
          <w:lang w:val="es-MX"/>
        </w:rPr>
        <w:t>Sánchez</w:t>
      </w:r>
      <w:r w:rsidRPr="009235DC">
        <w:rPr>
          <w:rFonts w:ascii="Palatino Linotype" w:hAnsi="Palatino Linotype"/>
          <w:sz w:val="18"/>
          <w:szCs w:val="18"/>
          <w:lang w:val="es-MX"/>
        </w:rPr>
        <w:t xml:space="preserve"> Ignacio, “</w:t>
      </w:r>
      <w:r w:rsidRPr="009235DC">
        <w:rPr>
          <w:rFonts w:ascii="Palatino Linotype" w:hAnsi="Palatino Linotype"/>
          <w:sz w:val="18"/>
          <w:szCs w:val="18"/>
        </w:rPr>
        <w:t>pruebas-penal.PERICIAL” publicado en  la página http://www.monografias.com/trabajos16/pruebas-penal/ pruebas-penal.shtml#PERICIAL</w:t>
      </w:r>
    </w:p>
  </w:footnote>
  <w:footnote w:id="701">
    <w:p w:rsidR="00FC1DF6" w:rsidRPr="009235DC" w:rsidRDefault="00FC1DF6" w:rsidP="00E60FEF">
      <w:pPr>
        <w:pStyle w:val="Textoindependiente3"/>
        <w:spacing w:line="240" w:lineRule="auto"/>
        <w:rPr>
          <w:rFonts w:ascii="Palatino Linotype" w:hAnsi="Palatino Linotype"/>
          <w:sz w:val="18"/>
          <w:szCs w:val="18"/>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Devis Echandia Hernando. “Cientifisidad de la prueba, en relación principalmente con los dictámenes periciales y la libertad de operación del juzgador”, Revista de Derecho Procesal iberoamericana, Madrid 1972, Pág.54.</w:t>
      </w:r>
    </w:p>
    <w:p w:rsidR="00FC1DF6" w:rsidRPr="009235DC" w:rsidRDefault="00FC1DF6" w:rsidP="00E60FEF">
      <w:pPr>
        <w:pStyle w:val="Textoindependiente3"/>
        <w:spacing w:line="240" w:lineRule="auto"/>
        <w:rPr>
          <w:rFonts w:ascii="Palatino Linotype" w:hAnsi="Palatino Linotype"/>
          <w:sz w:val="18"/>
          <w:szCs w:val="18"/>
          <w:lang w:val="es-MX"/>
        </w:rPr>
      </w:pPr>
      <w:r w:rsidRPr="009235DC">
        <w:rPr>
          <w:rFonts w:ascii="Palatino Linotype" w:hAnsi="Palatino Linotype"/>
          <w:sz w:val="18"/>
          <w:szCs w:val="18"/>
        </w:rPr>
        <w:t>27</w:t>
      </w:r>
      <w:r>
        <w:rPr>
          <w:rFonts w:ascii="Palatino Linotype" w:hAnsi="Palatino Linotype"/>
          <w:sz w:val="18"/>
          <w:szCs w:val="18"/>
        </w:rPr>
        <w:t xml:space="preserve"> </w:t>
      </w:r>
      <w:r w:rsidRPr="009235DC">
        <w:rPr>
          <w:rFonts w:ascii="Palatino Linotype" w:hAnsi="Palatino Linotype"/>
          <w:sz w:val="18"/>
          <w:szCs w:val="18"/>
        </w:rPr>
        <w:t>Cruz Cuellar, Entralgo Fernández</w:t>
      </w:r>
      <w:r>
        <w:rPr>
          <w:rFonts w:ascii="Palatino Linotype" w:hAnsi="Palatino Linotype"/>
          <w:sz w:val="18"/>
          <w:szCs w:val="18"/>
        </w:rPr>
        <w:t xml:space="preserve">. </w:t>
      </w:r>
      <w:r w:rsidRPr="009235DC">
        <w:rPr>
          <w:rFonts w:ascii="Palatino Linotype" w:hAnsi="Palatino Linotype"/>
          <w:sz w:val="18"/>
          <w:szCs w:val="18"/>
        </w:rPr>
        <w:t>D</w:t>
      </w:r>
      <w:r>
        <w:rPr>
          <w:rFonts w:ascii="Palatino Linotype" w:hAnsi="Palatino Linotype"/>
          <w:sz w:val="18"/>
          <w:szCs w:val="18"/>
        </w:rPr>
        <w:t>erecho procesal penal de H</w:t>
      </w:r>
      <w:r w:rsidRPr="009235DC">
        <w:rPr>
          <w:rFonts w:ascii="Palatino Linotype" w:hAnsi="Palatino Linotype"/>
          <w:sz w:val="18"/>
          <w:szCs w:val="18"/>
        </w:rPr>
        <w:t>onduras</w:t>
      </w:r>
      <w:r>
        <w:rPr>
          <w:rFonts w:ascii="Palatino Linotype" w:hAnsi="Palatino Linotype"/>
          <w:sz w:val="18"/>
          <w:szCs w:val="18"/>
        </w:rPr>
        <w:t xml:space="preserve">. </w:t>
      </w:r>
      <w:r w:rsidRPr="009235DC">
        <w:rPr>
          <w:rFonts w:ascii="Palatino Linotype" w:hAnsi="Palatino Linotype"/>
          <w:sz w:val="18"/>
          <w:szCs w:val="18"/>
        </w:rPr>
        <w:t>Manual Teórico-Práctico</w:t>
      </w:r>
      <w:r>
        <w:rPr>
          <w:rFonts w:ascii="Palatino Linotype" w:hAnsi="Palatino Linotype"/>
          <w:sz w:val="18"/>
          <w:szCs w:val="18"/>
        </w:rPr>
        <w:t>,</w:t>
      </w:r>
      <w:r w:rsidRPr="009235DC">
        <w:rPr>
          <w:rFonts w:ascii="Palatino Linotype" w:hAnsi="Palatino Linotype"/>
          <w:sz w:val="18"/>
          <w:szCs w:val="18"/>
        </w:rPr>
        <w:t xml:space="preserve"> Pág. 444.</w:t>
      </w:r>
    </w:p>
  </w:footnote>
  <w:footnote w:id="702">
    <w:p w:rsidR="00FC1DF6" w:rsidRPr="009235DC" w:rsidRDefault="00FC1DF6" w:rsidP="00E60FEF">
      <w:pPr>
        <w:pStyle w:val="Textoindependiente3"/>
        <w:spacing w:line="240" w:lineRule="auto"/>
        <w:ind w:firstLine="708"/>
        <w:rPr>
          <w:rFonts w:ascii="Palatino Linotype" w:hAnsi="Palatino Linotype"/>
          <w:sz w:val="18"/>
          <w:szCs w:val="18"/>
        </w:rPr>
      </w:pPr>
      <w:r w:rsidRPr="009235DC">
        <w:rPr>
          <w:rFonts w:ascii="Palatino Linotype" w:hAnsi="Palatino Linotype"/>
          <w:sz w:val="18"/>
          <w:szCs w:val="18"/>
        </w:rPr>
        <w:t xml:space="preserve">El dictamen no será otra cosa que un juicio, una opinión científica fundada que desvela, explica, o ilumina una determinada parcela del saber la cual la presenta como hipótesis. 28 </w:t>
      </w:r>
    </w:p>
    <w:p w:rsidR="00FC1DF6" w:rsidRPr="009235DC" w:rsidRDefault="00FC1DF6" w:rsidP="00E60FEF">
      <w:pPr>
        <w:pStyle w:val="Textoindependiente3"/>
        <w:spacing w:line="240" w:lineRule="auto"/>
        <w:rPr>
          <w:rFonts w:ascii="Palatino Linotype" w:hAnsi="Palatino Linotype"/>
          <w:sz w:val="18"/>
          <w:szCs w:val="18"/>
          <w:lang w:val="es-MX"/>
        </w:rPr>
      </w:pPr>
      <w:r w:rsidRPr="009235DC">
        <w:rPr>
          <w:rFonts w:ascii="Palatino Linotype" w:hAnsi="Palatino Linotype"/>
          <w:sz w:val="18"/>
          <w:szCs w:val="18"/>
        </w:rPr>
        <w:t>Por todo lo anterior es adecuado para continuar con un orden proceder a definir el concepto de dictamen y sus elementos.</w:t>
      </w:r>
    </w:p>
  </w:footnote>
  <w:footnote w:id="703">
    <w:p w:rsidR="00FC1DF6" w:rsidRPr="009235DC" w:rsidRDefault="00FC1DF6" w:rsidP="00E60FEF">
      <w:pPr>
        <w:pStyle w:val="Textonotapie"/>
        <w:rPr>
          <w:rFonts w:ascii="Palatino Linotype" w:hAnsi="Palatino Linotype"/>
          <w:sz w:val="18"/>
          <w:szCs w:val="18"/>
          <w:lang w:val="es-CR"/>
        </w:rPr>
      </w:pPr>
      <w:r w:rsidRPr="009235DC">
        <w:rPr>
          <w:rStyle w:val="Refdenotaalpie"/>
          <w:rFonts w:ascii="Palatino Linotype" w:hAnsi="Palatino Linotype"/>
          <w:sz w:val="18"/>
          <w:szCs w:val="18"/>
        </w:rPr>
        <w:footnoteRef/>
      </w:r>
      <w:r w:rsidRPr="009235DC">
        <w:rPr>
          <w:rFonts w:ascii="Palatino Linotype" w:hAnsi="Palatino Linotype"/>
          <w:sz w:val="18"/>
          <w:szCs w:val="18"/>
        </w:rPr>
        <w:t xml:space="preserve"> </w:t>
      </w:r>
      <w:r>
        <w:rPr>
          <w:rFonts w:ascii="Palatino Linotype" w:hAnsi="Palatino Linotype"/>
          <w:sz w:val="18"/>
          <w:szCs w:val="18"/>
          <w:lang w:val="es-MX"/>
        </w:rPr>
        <w:t xml:space="preserve">Gonzáles </w:t>
      </w:r>
      <w:r w:rsidRPr="009235DC">
        <w:rPr>
          <w:rFonts w:ascii="Palatino Linotype" w:hAnsi="Palatino Linotype"/>
          <w:sz w:val="18"/>
          <w:szCs w:val="18"/>
          <w:lang w:val="es-MX"/>
        </w:rPr>
        <w:t>Gina</w:t>
      </w:r>
      <w:r>
        <w:rPr>
          <w:rFonts w:ascii="Palatino Linotype" w:hAnsi="Palatino Linotype"/>
          <w:sz w:val="18"/>
          <w:szCs w:val="18"/>
          <w:lang w:val="es-MX"/>
        </w:rPr>
        <w:t xml:space="preserve">. “La Prueba Pericial” en </w:t>
      </w:r>
      <w:r w:rsidRPr="009235DC">
        <w:rPr>
          <w:rFonts w:ascii="Palatino Linotype" w:hAnsi="Palatino Linotype"/>
          <w:sz w:val="18"/>
          <w:szCs w:val="18"/>
          <w:lang w:val="es-MX"/>
        </w:rPr>
        <w:t>Manual De Derecho Procesal Hondureño, Pág. 212,   Tomo I, II Edición, Ed. ENAG, Honduras,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C72A23" w:rsidRDefault="00FC1DF6" w:rsidP="00C72A23">
    <w:pPr>
      <w:pStyle w:val="Encabezado"/>
      <w:pBdr>
        <w:bottom w:val="single" w:sz="4" w:space="1" w:color="auto"/>
      </w:pBdr>
      <w:jc w:val="center"/>
    </w:pPr>
    <w:r w:rsidRPr="00C72A23">
      <w:rPr>
        <w:rFonts w:ascii="Palatino Linotype" w:hAnsi="Palatino Linotype"/>
        <w:sz w:val="21"/>
        <w:szCs w:val="21"/>
      </w:rPr>
      <w:t>Maureen Jiménez Gómez</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E10347" w:rsidRDefault="00FC1DF6" w:rsidP="00E56629">
    <w:pPr>
      <w:ind w:firstLine="709"/>
      <w:jc w:val="center"/>
      <w:rPr>
        <w:rFonts w:ascii="Palatino Linotype" w:hAnsi="Palatino Linotype"/>
        <w:b/>
        <w:sz w:val="21"/>
        <w:szCs w:val="21"/>
      </w:rPr>
    </w:pPr>
    <w:r w:rsidRPr="00E10347">
      <w:rPr>
        <w:rFonts w:ascii="Palatino Linotype" w:hAnsi="Palatino Linotype"/>
        <w:b/>
        <w:sz w:val="21"/>
        <w:szCs w:val="21"/>
      </w:rPr>
      <w:t>La transversalidad del sistema oral en las pruebas en el NCPC.</w:t>
    </w:r>
  </w:p>
  <w:p w:rsidR="00FC1DF6" w:rsidRPr="00E56629" w:rsidRDefault="00FC1DF6" w:rsidP="00E56629">
    <w:pPr>
      <w:pStyle w:val="Encabezado"/>
      <w:pBdr>
        <w:bottom w:val="single" w:sz="4" w:space="1" w:color="auto"/>
      </w:pBdr>
      <w:jc w:val="center"/>
    </w:pPr>
    <w:r w:rsidRPr="00E10347">
      <w:rPr>
        <w:rFonts w:ascii="Palatino Linotype" w:hAnsi="Palatino Linotype"/>
        <w:b/>
        <w:sz w:val="21"/>
        <w:szCs w:val="21"/>
      </w:rPr>
      <w:t>Uno de los mayores desafíos de la reforma procesal</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003A48" w:rsidRDefault="00FC1DF6" w:rsidP="00003A48">
    <w:pPr>
      <w:pStyle w:val="Encabezado"/>
      <w:pBdr>
        <w:bottom w:val="single" w:sz="4" w:space="1" w:color="auto"/>
      </w:pBdr>
      <w:jc w:val="center"/>
    </w:pPr>
    <w:r w:rsidRPr="00003A48">
      <w:rPr>
        <w:rFonts w:ascii="Palatino Linotype" w:hAnsi="Palatino Linotype"/>
        <w:sz w:val="21"/>
        <w:szCs w:val="21"/>
      </w:rPr>
      <w:t>Yuri López Casal</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003A48" w:rsidRDefault="00FC1DF6" w:rsidP="00003A48">
    <w:pPr>
      <w:pStyle w:val="Predeterminado"/>
      <w:pBdr>
        <w:bottom w:val="single" w:sz="4" w:space="1" w:color="auto"/>
      </w:pBdr>
      <w:spacing w:after="0" w:line="240" w:lineRule="auto"/>
      <w:ind w:firstLine="709"/>
      <w:jc w:val="center"/>
    </w:pPr>
    <w:r w:rsidRPr="00003A48">
      <w:rPr>
        <w:rFonts w:ascii="Palatino Linotype" w:hAnsi="Palatino Linotype" w:cs="Arial"/>
        <w:color w:val="auto"/>
        <w:sz w:val="21"/>
        <w:szCs w:val="21"/>
      </w:rPr>
      <w:t xml:space="preserve">La aplicación de la teoría de la “carga dinámica de la prueba” en la responsabilidad civil </w:t>
    </w:r>
    <w:r w:rsidRPr="00003A48">
      <w:rPr>
        <w:rFonts w:ascii="Palatino Linotype" w:hAnsi="Palatino Linotype"/>
        <w:sz w:val="21"/>
        <w:szCs w:val="21"/>
      </w:rPr>
      <w:t>por productos defectuosos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1C00D1" w:rsidRDefault="00FC1DF6" w:rsidP="00003A48">
    <w:pPr>
      <w:pStyle w:val="Encabezado"/>
      <w:pBdr>
        <w:bottom w:val="single" w:sz="4" w:space="1" w:color="auto"/>
      </w:pBdr>
      <w:jc w:val="center"/>
      <w:rPr>
        <w:rFonts w:ascii="Palatino Linotype" w:hAnsi="Palatino Linotype"/>
        <w:sz w:val="21"/>
        <w:szCs w:val="21"/>
        <w:lang w:val="es-CR"/>
      </w:rPr>
    </w:pPr>
    <w:r w:rsidRPr="001C00D1">
      <w:rPr>
        <w:rFonts w:ascii="Palatino Linotype" w:hAnsi="Palatino Linotype"/>
        <w:sz w:val="21"/>
        <w:szCs w:val="21"/>
        <w:lang w:val="es-CR"/>
      </w:rPr>
      <w:t>Farith Suárez</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003A48" w:rsidRDefault="00FC1DF6" w:rsidP="00003A48">
    <w:pPr>
      <w:pStyle w:val="Ttulo1"/>
      <w:spacing w:before="0"/>
      <w:ind w:firstLine="709"/>
      <w:jc w:val="center"/>
      <w:rPr>
        <w:rFonts w:ascii="Palatino Linotype" w:eastAsia="Times New Roman" w:hAnsi="Palatino Linotype"/>
        <w:b w:val="0"/>
        <w:color w:val="auto"/>
        <w:sz w:val="21"/>
        <w:szCs w:val="21"/>
        <w:lang w:val="es-CR"/>
      </w:rPr>
    </w:pPr>
    <w:r w:rsidRPr="00003A48">
      <w:rPr>
        <w:rFonts w:ascii="Palatino Linotype" w:eastAsia="Times New Roman" w:hAnsi="Palatino Linotype"/>
        <w:b w:val="0"/>
        <w:color w:val="auto"/>
        <w:sz w:val="21"/>
        <w:szCs w:val="21"/>
        <w:lang w:val="es-CR"/>
      </w:rPr>
      <w:t>Las medidas cautelares y cálculo probatorio.</w:t>
    </w:r>
  </w:p>
  <w:p w:rsidR="00FC1DF6" w:rsidRPr="00003A48" w:rsidRDefault="00FC1DF6" w:rsidP="00003A48">
    <w:pPr>
      <w:pStyle w:val="Predeterminado"/>
      <w:pBdr>
        <w:bottom w:val="single" w:sz="4" w:space="1" w:color="auto"/>
      </w:pBdr>
      <w:spacing w:after="0" w:line="240" w:lineRule="auto"/>
      <w:ind w:firstLine="709"/>
      <w:jc w:val="center"/>
    </w:pPr>
    <w:r w:rsidRPr="00003A48">
      <w:rPr>
        <w:rFonts w:ascii="Palatino Linotype" w:eastAsia="Times New Roman" w:hAnsi="Palatino Linotype"/>
        <w:color w:val="auto"/>
        <w:sz w:val="21"/>
        <w:szCs w:val="21"/>
      </w:rPr>
      <w:t>En el nuevo Código Procesal Civil</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843063" w:rsidRDefault="00FC1DF6" w:rsidP="00003A48">
    <w:pPr>
      <w:pStyle w:val="Encabezado"/>
      <w:pBdr>
        <w:bottom w:val="single" w:sz="4" w:space="1" w:color="auto"/>
      </w:pBdr>
      <w:jc w:val="center"/>
      <w:rPr>
        <w:rFonts w:ascii="Palatino Linotype" w:hAnsi="Palatino Linotype"/>
        <w:sz w:val="21"/>
        <w:szCs w:val="21"/>
        <w:lang w:val="es-CR"/>
      </w:rPr>
    </w:pPr>
    <w:r w:rsidRPr="00843063">
      <w:rPr>
        <w:rFonts w:ascii="Palatino Linotype" w:hAnsi="Palatino Linotype" w:cs="Times New Roman"/>
        <w:sz w:val="21"/>
        <w:szCs w:val="21"/>
      </w:rPr>
      <w:t>Ricardo Zeledón Zeledón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003A48" w:rsidRDefault="00FC1DF6" w:rsidP="00003A48">
    <w:pPr>
      <w:pStyle w:val="Sinespaciado"/>
      <w:jc w:val="center"/>
      <w:rPr>
        <w:rFonts w:ascii="Palatino Linotype" w:hAnsi="Palatino Linotype" w:cs="Times New Roman"/>
        <w:sz w:val="21"/>
        <w:szCs w:val="21"/>
      </w:rPr>
    </w:pPr>
    <w:r w:rsidRPr="00003A48">
      <w:rPr>
        <w:rFonts w:ascii="Palatino Linotype" w:hAnsi="Palatino Linotype" w:cs="Times New Roman"/>
        <w:sz w:val="21"/>
        <w:szCs w:val="21"/>
      </w:rPr>
      <w:t xml:space="preserve">El cambio del paradigma ideológico </w:t>
    </w:r>
  </w:p>
  <w:p w:rsidR="00FC1DF6" w:rsidRPr="00003A48" w:rsidRDefault="00FC1DF6" w:rsidP="00003A48">
    <w:pPr>
      <w:pStyle w:val="Sinespaciado"/>
      <w:pBdr>
        <w:bottom w:val="single" w:sz="4" w:space="1" w:color="auto"/>
      </w:pBdr>
      <w:jc w:val="center"/>
    </w:pPr>
    <w:r w:rsidRPr="00003A48">
      <w:rPr>
        <w:rFonts w:ascii="Palatino Linotype" w:hAnsi="Palatino Linotype" w:cs="Times New Roman"/>
        <w:sz w:val="21"/>
        <w:szCs w:val="21"/>
      </w:rPr>
      <w:t>en la valoración de la prueba en la oralidad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003A48" w:rsidRDefault="00FC1DF6" w:rsidP="00003A48">
    <w:pPr>
      <w:pStyle w:val="Encabezado"/>
      <w:pBdr>
        <w:bottom w:val="single" w:sz="4" w:space="1" w:color="auto"/>
      </w:pBdr>
      <w:jc w:val="center"/>
    </w:pPr>
    <w:r w:rsidRPr="00003A48">
      <w:rPr>
        <w:rFonts w:ascii="Palatino Linotype" w:hAnsi="Palatino Linotype"/>
        <w:sz w:val="21"/>
        <w:szCs w:val="21"/>
      </w:rPr>
      <w:t>Yuri López Casal</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003A48" w:rsidRDefault="00FC1DF6" w:rsidP="00003A48">
    <w:pPr>
      <w:pStyle w:val="Sinespaciado"/>
      <w:pBdr>
        <w:bottom w:val="single" w:sz="4" w:space="1" w:color="auto"/>
      </w:pBdr>
      <w:jc w:val="center"/>
    </w:pPr>
    <w:r w:rsidRPr="00E10347">
      <w:rPr>
        <w:rFonts w:ascii="Palatino Linotype" w:hAnsi="Palatino Linotype" w:cs="Arial"/>
        <w:b/>
        <w:sz w:val="21"/>
        <w:szCs w:val="21"/>
      </w:rPr>
      <w:t>La carga de la prueba de la excepción de riesgos de desarrollo en la responsabilidad civil por productos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003A48" w:rsidRDefault="00FC1DF6" w:rsidP="00003A48">
    <w:pPr>
      <w:pStyle w:val="Encabezado"/>
      <w:pBdr>
        <w:bottom w:val="single" w:sz="4" w:space="1" w:color="auto"/>
      </w:pBdr>
      <w:jc w:val="center"/>
    </w:pPr>
    <w:r w:rsidRPr="00003A48">
      <w:rPr>
        <w:rFonts w:ascii="Palatino Linotype" w:hAnsi="Palatino Linotype"/>
        <w:sz w:val="21"/>
        <w:szCs w:val="21"/>
      </w:rPr>
      <w:t>Herman Mora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FF79BF" w:rsidRDefault="00FC1DF6" w:rsidP="00FF79BF">
    <w:pPr>
      <w:pStyle w:val="Encabezado"/>
      <w:pBdr>
        <w:bottom w:val="single" w:sz="4" w:space="1" w:color="auto"/>
      </w:pBdr>
      <w:jc w:val="center"/>
    </w:pPr>
    <w:r w:rsidRPr="00FF79BF">
      <w:rPr>
        <w:rFonts w:ascii="Palatino Linotype" w:hAnsi="Palatino Linotype"/>
        <w:sz w:val="21"/>
        <w:szCs w:val="21"/>
      </w:rPr>
      <w:t>La carga laboral de la prueba y su comparación con la civil, a la luz de las nuevas reformas procesales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003A48" w:rsidRDefault="00FC1DF6" w:rsidP="00003A48">
    <w:pPr>
      <w:jc w:val="center"/>
      <w:rPr>
        <w:rFonts w:ascii="Palatino Linotype" w:hAnsi="Palatino Linotype"/>
        <w:sz w:val="21"/>
        <w:szCs w:val="21"/>
      </w:rPr>
    </w:pPr>
    <w:r w:rsidRPr="00003A48">
      <w:rPr>
        <w:rFonts w:ascii="Palatino Linotype" w:hAnsi="Palatino Linotype"/>
        <w:sz w:val="21"/>
        <w:szCs w:val="21"/>
      </w:rPr>
      <w:t>El instrumento público: los documentos notariales.</w:t>
    </w:r>
  </w:p>
  <w:p w:rsidR="00FC1DF6" w:rsidRPr="00003A48" w:rsidRDefault="00FC1DF6" w:rsidP="00003A48">
    <w:pPr>
      <w:pStyle w:val="Sinespaciado"/>
      <w:pBdr>
        <w:bottom w:val="single" w:sz="4" w:space="1" w:color="auto"/>
      </w:pBdr>
      <w:jc w:val="center"/>
    </w:pPr>
    <w:r w:rsidRPr="00003A48">
      <w:rPr>
        <w:rFonts w:ascii="Palatino Linotype" w:hAnsi="Palatino Linotype"/>
        <w:sz w:val="21"/>
        <w:szCs w:val="21"/>
      </w:rPr>
      <w:t>Análisis comparativo de la legislación vigente al Nuevo Código Procesal Civil</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003A48" w:rsidRDefault="00FC1DF6" w:rsidP="00003A48">
    <w:pPr>
      <w:pStyle w:val="Encabezado"/>
      <w:pBdr>
        <w:bottom w:val="single" w:sz="4" w:space="1" w:color="auto"/>
      </w:pBdr>
      <w:jc w:val="center"/>
    </w:pPr>
    <w:r w:rsidRPr="00003A48">
      <w:rPr>
        <w:rFonts w:ascii="Palatino Linotype" w:eastAsia="Times New Roman" w:hAnsi="Palatino Linotype"/>
        <w:sz w:val="21"/>
        <w:szCs w:val="21"/>
        <w:lang w:val="es-CR"/>
      </w:rPr>
      <w:t>José Roberto Garita Navarro</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BD4869" w:rsidRDefault="00FC1DF6" w:rsidP="00003A48">
    <w:pPr>
      <w:pStyle w:val="Sinespaciado"/>
      <w:jc w:val="center"/>
      <w:rPr>
        <w:rFonts w:ascii="Palatino Linotype" w:eastAsia="Times New Roman" w:hAnsi="Palatino Linotype"/>
        <w:sz w:val="21"/>
        <w:szCs w:val="21"/>
      </w:rPr>
    </w:pPr>
    <w:r w:rsidRPr="00BD4869">
      <w:rPr>
        <w:rFonts w:ascii="Palatino Linotype" w:eastAsia="Times New Roman" w:hAnsi="Palatino Linotype"/>
        <w:sz w:val="21"/>
        <w:szCs w:val="21"/>
      </w:rPr>
      <w:t xml:space="preserve">Algunos dilemas prácticos en la dinámica probatoria del proceso </w:t>
    </w:r>
  </w:p>
  <w:p w:rsidR="00FC1DF6" w:rsidRPr="00BD4869" w:rsidRDefault="00FC1DF6" w:rsidP="002E0898">
    <w:pPr>
      <w:pStyle w:val="Sinespaciado"/>
      <w:pBdr>
        <w:bottom w:val="single" w:sz="4" w:space="1" w:color="auto"/>
      </w:pBdr>
      <w:jc w:val="center"/>
    </w:pPr>
    <w:r w:rsidRPr="00BD4869">
      <w:rPr>
        <w:rFonts w:ascii="Palatino Linotype" w:eastAsia="Times New Roman" w:hAnsi="Palatino Linotype"/>
        <w:sz w:val="21"/>
        <w:szCs w:val="21"/>
      </w:rPr>
      <w:t>contencioso administrativo y civil de hacienda.</w:t>
    </w:r>
    <w:r w:rsidRPr="00BD4869">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003A48" w:rsidRDefault="00FC1DF6" w:rsidP="00003A48">
    <w:pPr>
      <w:pStyle w:val="Encabezado"/>
      <w:pBdr>
        <w:bottom w:val="single" w:sz="4" w:space="1" w:color="auto"/>
      </w:pBdr>
      <w:jc w:val="center"/>
    </w:pPr>
    <w:r>
      <w:rPr>
        <w:rFonts w:ascii="Palatino Linotype" w:eastAsia="Times New Roman" w:hAnsi="Palatino Linotype"/>
        <w:sz w:val="21"/>
        <w:szCs w:val="21"/>
        <w:lang w:val="es-CR"/>
      </w:rPr>
      <w:t>Luis A. Ortíz Zamora</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BD4869" w:rsidRDefault="00FC1DF6" w:rsidP="00003A48">
    <w:pPr>
      <w:pStyle w:val="Sinespaciado"/>
      <w:pBdr>
        <w:bottom w:val="single" w:sz="4" w:space="1" w:color="auto"/>
      </w:pBdr>
      <w:jc w:val="center"/>
      <w:rPr>
        <w:rFonts w:ascii="Palatino Linotype" w:hAnsi="Palatino Linotype"/>
        <w:sz w:val="21"/>
        <w:szCs w:val="21"/>
      </w:rPr>
    </w:pPr>
    <w:r w:rsidRPr="00BD4869">
      <w:rPr>
        <w:rFonts w:ascii="Palatino Linotype" w:hAnsi="Palatino Linotype"/>
        <w:sz w:val="21"/>
        <w:szCs w:val="21"/>
      </w:rPr>
      <w:t>Conflictos probatorios entre el CPCA, LGAP Y NCPC.</w:t>
    </w:r>
  </w:p>
  <w:p w:rsidR="00FC1DF6" w:rsidRPr="00BD4869" w:rsidRDefault="00FC1DF6" w:rsidP="00003A48">
    <w:pPr>
      <w:pStyle w:val="Sinespaciado"/>
      <w:pBdr>
        <w:bottom w:val="single" w:sz="4" w:space="1" w:color="auto"/>
      </w:pBdr>
      <w:jc w:val="center"/>
      <w:rPr>
        <w:rFonts w:ascii="Palatino Linotype" w:hAnsi="Palatino Linotype"/>
        <w:sz w:val="21"/>
        <w:szCs w:val="21"/>
      </w:rPr>
    </w:pPr>
    <w:r w:rsidRPr="00BD4869">
      <w:rPr>
        <w:rFonts w:ascii="Palatino Linotype" w:hAnsi="Palatino Linotype"/>
        <w:sz w:val="21"/>
        <w:szCs w:val="21"/>
      </w:rPr>
      <w:t>¿Cómo solucionarlos?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003A48" w:rsidRDefault="00FC1DF6" w:rsidP="00003A48">
    <w:pPr>
      <w:pStyle w:val="Encabezado"/>
      <w:pBdr>
        <w:bottom w:val="single" w:sz="4" w:space="1" w:color="auto"/>
      </w:pBdr>
      <w:jc w:val="center"/>
    </w:pPr>
    <w:r w:rsidRPr="00E10347">
      <w:rPr>
        <w:rFonts w:ascii="Palatino Linotype" w:hAnsi="Palatino Linotype"/>
        <w:sz w:val="21"/>
        <w:szCs w:val="21"/>
      </w:rPr>
      <w:t>Haideer Miranda Bonilla</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BD4869" w:rsidRDefault="00FC1DF6" w:rsidP="00003A48">
    <w:pPr>
      <w:pStyle w:val="Sinespaciado"/>
      <w:pBdr>
        <w:bottom w:val="single" w:sz="4" w:space="1" w:color="auto"/>
      </w:pBdr>
      <w:jc w:val="center"/>
      <w:rPr>
        <w:rFonts w:ascii="Palatino Linotype" w:hAnsi="Palatino Linotype"/>
        <w:sz w:val="21"/>
        <w:szCs w:val="21"/>
      </w:rPr>
    </w:pPr>
    <w:r w:rsidRPr="00E10347">
      <w:rPr>
        <w:rFonts w:ascii="Palatino Linotype" w:hAnsi="Palatino Linotype" w:cs="Times New Roman"/>
        <w:b/>
        <w:sz w:val="21"/>
        <w:szCs w:val="21"/>
      </w:rPr>
      <w:t>La prueba desde la perspectiva constitucional</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BD4869" w:rsidRDefault="00FC1DF6" w:rsidP="00003A48">
    <w:pPr>
      <w:pStyle w:val="Encabezado"/>
      <w:pBdr>
        <w:bottom w:val="single" w:sz="4" w:space="1" w:color="auto"/>
      </w:pBdr>
      <w:jc w:val="center"/>
    </w:pPr>
    <w:r w:rsidRPr="00BD4869">
      <w:rPr>
        <w:rFonts w:ascii="Palatino Linotype" w:hAnsi="Palatino Linotype"/>
        <w:sz w:val="21"/>
        <w:szCs w:val="21"/>
        <w:lang w:val="es-CR"/>
      </w:rPr>
      <w:t>Mario Peña Chacón</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BD4869" w:rsidRDefault="00FC1DF6" w:rsidP="00003A48">
    <w:pPr>
      <w:pStyle w:val="Sinespaciado"/>
      <w:pBdr>
        <w:bottom w:val="single" w:sz="4" w:space="1" w:color="auto"/>
      </w:pBdr>
      <w:jc w:val="center"/>
      <w:rPr>
        <w:rFonts w:ascii="Palatino Linotype" w:hAnsi="Palatino Linotype"/>
        <w:sz w:val="21"/>
        <w:szCs w:val="21"/>
      </w:rPr>
    </w:pPr>
    <w:r w:rsidRPr="00BD4869">
      <w:rPr>
        <w:rFonts w:ascii="Palatino Linotype" w:hAnsi="Palatino Linotype"/>
        <w:sz w:val="21"/>
        <w:szCs w:val="21"/>
      </w:rPr>
      <w:t>La prueba en procesos ambientales</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BD4869" w:rsidRDefault="00FC1DF6" w:rsidP="00003A48">
    <w:pPr>
      <w:pStyle w:val="Encabezado"/>
      <w:pBdr>
        <w:bottom w:val="single" w:sz="4" w:space="1" w:color="auto"/>
      </w:pBdr>
      <w:jc w:val="center"/>
    </w:pPr>
    <w:r w:rsidRPr="00BD4869">
      <w:rPr>
        <w:rFonts w:ascii="Palatino Linotype" w:eastAsia="Times New Roman" w:hAnsi="Palatino Linotype" w:cs="Times New Roman"/>
        <w:sz w:val="21"/>
        <w:szCs w:val="21"/>
      </w:rPr>
      <w:t>Pablo José Porras Barahona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E56629" w:rsidRDefault="00FC1DF6" w:rsidP="00E56629">
    <w:pPr>
      <w:pStyle w:val="Encabezado"/>
      <w:pBdr>
        <w:bottom w:val="single" w:sz="4" w:space="1" w:color="auto"/>
      </w:pBdr>
      <w:jc w:val="center"/>
    </w:pPr>
    <w:r w:rsidRPr="00E56629">
      <w:rPr>
        <w:rFonts w:ascii="Palatino Linotype" w:hAnsi="Palatino Linotype"/>
        <w:bCs/>
        <w:iCs/>
        <w:sz w:val="21"/>
        <w:szCs w:val="21"/>
        <w:lang w:val="es-MX"/>
      </w:rPr>
      <w:t>Carlos Adolfo Picado Vargas</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BD4869" w:rsidRDefault="00FC1DF6" w:rsidP="00843063">
    <w:pPr>
      <w:widowControl/>
      <w:pBdr>
        <w:bottom w:val="single" w:sz="4" w:space="1" w:color="auto"/>
      </w:pBdr>
      <w:ind w:firstLine="709"/>
      <w:jc w:val="center"/>
      <w:rPr>
        <w:rFonts w:ascii="Palatino Linotype" w:eastAsia="Times New Roman" w:hAnsi="Palatino Linotype" w:cs="Times New Roman"/>
        <w:sz w:val="21"/>
        <w:szCs w:val="21"/>
      </w:rPr>
    </w:pPr>
    <w:r w:rsidRPr="00BD4869">
      <w:rPr>
        <w:rFonts w:ascii="Palatino Linotype" w:eastAsia="Times New Roman" w:hAnsi="Palatino Linotype" w:cs="Times New Roman"/>
        <w:sz w:val="21"/>
        <w:szCs w:val="21"/>
      </w:rPr>
      <w:t>“La sentencia oral: ¿mito o realidad?”</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BD4869" w:rsidRDefault="00FC1DF6" w:rsidP="00003A48">
    <w:pPr>
      <w:pStyle w:val="Encabezado"/>
      <w:pBdr>
        <w:bottom w:val="single" w:sz="4" w:space="1" w:color="auto"/>
      </w:pBdr>
      <w:jc w:val="center"/>
    </w:pPr>
    <w:r w:rsidRPr="00E10347">
      <w:rPr>
        <w:rFonts w:ascii="Palatino Linotype" w:hAnsi="Palatino Linotype" w:cs="Times New Roman"/>
        <w:sz w:val="21"/>
        <w:szCs w:val="21"/>
      </w:rPr>
      <w:t>Enrique Ulate Chacón</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E429E2" w:rsidRDefault="00FC1DF6" w:rsidP="00E429E2">
    <w:pPr>
      <w:ind w:right="51"/>
      <w:jc w:val="center"/>
      <w:rPr>
        <w:rFonts w:ascii="Palatino Linotype" w:hAnsi="Palatino Linotype" w:cs="Times New Roman"/>
        <w:sz w:val="21"/>
        <w:szCs w:val="21"/>
      </w:rPr>
    </w:pPr>
    <w:r w:rsidRPr="00E429E2">
      <w:rPr>
        <w:rFonts w:ascii="Palatino Linotype" w:hAnsi="Palatino Linotype" w:cs="Times New Roman"/>
        <w:sz w:val="21"/>
        <w:szCs w:val="21"/>
      </w:rPr>
      <w:t>Apuntes sobre la aportación y valoración de la prueba</w:t>
    </w:r>
  </w:p>
  <w:p w:rsidR="00FC1DF6" w:rsidRPr="00E429E2" w:rsidRDefault="00FC1DF6" w:rsidP="00E429E2">
    <w:pPr>
      <w:pStyle w:val="Sinespaciado"/>
      <w:pBdr>
        <w:bottom w:val="single" w:sz="4" w:space="1" w:color="auto"/>
      </w:pBdr>
      <w:jc w:val="center"/>
      <w:rPr>
        <w:rFonts w:ascii="Palatino Linotype" w:hAnsi="Palatino Linotype"/>
        <w:sz w:val="21"/>
        <w:szCs w:val="21"/>
      </w:rPr>
    </w:pPr>
    <w:r w:rsidRPr="00E429E2">
      <w:rPr>
        <w:rFonts w:ascii="Palatino Linotype" w:hAnsi="Palatino Linotype" w:cs="Times New Roman"/>
        <w:sz w:val="21"/>
        <w:szCs w:val="21"/>
      </w:rPr>
      <w:t>en el (nuevo) proceso agrario</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BD4869" w:rsidRDefault="00FC1DF6" w:rsidP="00003A48">
    <w:pPr>
      <w:pStyle w:val="Encabezado"/>
      <w:pBdr>
        <w:bottom w:val="single" w:sz="4" w:space="1" w:color="auto"/>
      </w:pBdr>
      <w:jc w:val="center"/>
    </w:pPr>
    <w:r w:rsidRPr="00E10347">
      <w:rPr>
        <w:rFonts w:ascii="Palatino Linotype" w:hAnsi="Palatino Linotype"/>
        <w:sz w:val="21"/>
        <w:szCs w:val="21"/>
      </w:rPr>
      <w:t>Jordi Ferrer Beltrán</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E429E2" w:rsidRDefault="00FC1DF6" w:rsidP="00E429E2">
    <w:pPr>
      <w:ind w:firstLine="709"/>
      <w:jc w:val="center"/>
      <w:rPr>
        <w:rFonts w:ascii="Palatino Linotype" w:hAnsi="Palatino Linotype"/>
        <w:sz w:val="21"/>
        <w:szCs w:val="21"/>
      </w:rPr>
    </w:pPr>
    <w:r w:rsidRPr="00E429E2">
      <w:rPr>
        <w:rFonts w:ascii="Palatino Linotype" w:hAnsi="Palatino Linotype"/>
        <w:sz w:val="21"/>
        <w:szCs w:val="21"/>
      </w:rPr>
      <w:t xml:space="preserve">Una concepción minimalista y garantista </w:t>
    </w:r>
  </w:p>
  <w:p w:rsidR="00FC1DF6" w:rsidRPr="00E429E2" w:rsidRDefault="00FC1DF6" w:rsidP="00E429E2">
    <w:pPr>
      <w:pStyle w:val="Sinespaciado"/>
      <w:pBdr>
        <w:bottom w:val="single" w:sz="4" w:space="1" w:color="auto"/>
      </w:pBdr>
      <w:jc w:val="center"/>
      <w:rPr>
        <w:rFonts w:ascii="Palatino Linotype" w:hAnsi="Palatino Linotype"/>
        <w:sz w:val="21"/>
        <w:szCs w:val="21"/>
      </w:rPr>
    </w:pPr>
    <w:r w:rsidRPr="00E429E2">
      <w:rPr>
        <w:rFonts w:ascii="Palatino Linotype" w:hAnsi="Palatino Linotype"/>
        <w:sz w:val="21"/>
        <w:szCs w:val="21"/>
      </w:rPr>
      <w:t>de la presunción de inocencia</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E429E2" w:rsidRDefault="00FC1DF6" w:rsidP="00003A48">
    <w:pPr>
      <w:pStyle w:val="Encabezado"/>
      <w:pBdr>
        <w:bottom w:val="single" w:sz="4" w:space="1" w:color="auto"/>
      </w:pBdr>
      <w:jc w:val="center"/>
    </w:pPr>
    <w:r w:rsidRPr="00E429E2">
      <w:rPr>
        <w:rFonts w:ascii="Palatino Linotype" w:hAnsi="Palatino Linotype"/>
        <w:sz w:val="21"/>
        <w:szCs w:val="21"/>
      </w:rPr>
      <w:t>Herman Duarte</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Default="00FC1DF6" w:rsidP="00E429E2">
    <w:pPr>
      <w:jc w:val="center"/>
      <w:rPr>
        <w:rFonts w:ascii="Palatino Linotype" w:hAnsi="Palatino Linotype"/>
        <w:b/>
        <w:sz w:val="21"/>
        <w:szCs w:val="21"/>
      </w:rPr>
    </w:pPr>
    <w:r w:rsidRPr="00E10347">
      <w:rPr>
        <w:rFonts w:ascii="Palatino Linotype" w:hAnsi="Palatino Linotype"/>
        <w:b/>
        <w:sz w:val="21"/>
        <w:szCs w:val="21"/>
      </w:rPr>
      <w:t xml:space="preserve">No todo lo que brilla es oro ni todo lo que crees es cierto: </w:t>
    </w:r>
  </w:p>
  <w:p w:rsidR="00FC1DF6" w:rsidRPr="00E429E2" w:rsidRDefault="00FC1DF6" w:rsidP="00E429E2">
    <w:pPr>
      <w:pStyle w:val="Sinespaciado"/>
      <w:pBdr>
        <w:bottom w:val="single" w:sz="4" w:space="1" w:color="auto"/>
      </w:pBdr>
      <w:jc w:val="center"/>
      <w:rPr>
        <w:rFonts w:ascii="Palatino Linotype" w:hAnsi="Palatino Linotype"/>
        <w:sz w:val="21"/>
        <w:szCs w:val="21"/>
      </w:rPr>
    </w:pPr>
    <w:r w:rsidRPr="00E10347">
      <w:rPr>
        <w:rFonts w:ascii="Palatino Linotype" w:hAnsi="Palatino Linotype"/>
        <w:b/>
        <w:sz w:val="21"/>
        <w:szCs w:val="21"/>
      </w:rPr>
      <w:t>Testigos y memorias falsas</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E429E2" w:rsidRDefault="00FC1DF6" w:rsidP="00003A48">
    <w:pPr>
      <w:pStyle w:val="Encabezado"/>
      <w:pBdr>
        <w:bottom w:val="single" w:sz="4" w:space="1" w:color="auto"/>
      </w:pBdr>
      <w:jc w:val="center"/>
    </w:pPr>
    <w:r w:rsidRPr="00E429E2">
      <w:rPr>
        <w:rFonts w:ascii="Palatino Linotype" w:hAnsi="Palatino Linotype"/>
        <w:sz w:val="21"/>
        <w:szCs w:val="21"/>
        <w:lang w:eastAsia="es-ES_tradnl"/>
      </w:rPr>
      <w:t>Álvaro Burgos</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E429E2" w:rsidRDefault="00FC1DF6" w:rsidP="00E429E2">
    <w:pPr>
      <w:keepNext/>
      <w:jc w:val="center"/>
      <w:outlineLvl w:val="1"/>
      <w:rPr>
        <w:rFonts w:ascii="Palatino Linotype" w:hAnsi="Palatino Linotype"/>
        <w:sz w:val="21"/>
        <w:szCs w:val="21"/>
        <w:lang w:eastAsia="es-ES_tradnl"/>
      </w:rPr>
    </w:pPr>
    <w:r w:rsidRPr="00E429E2">
      <w:rPr>
        <w:rFonts w:ascii="Palatino Linotype" w:hAnsi="Palatino Linotype"/>
        <w:sz w:val="21"/>
        <w:szCs w:val="21"/>
        <w:lang w:eastAsia="es-ES_tradnl"/>
      </w:rPr>
      <w:t>El Consultor Técnico</w:t>
    </w:r>
  </w:p>
  <w:p w:rsidR="00FC1DF6" w:rsidRPr="00E429E2" w:rsidRDefault="00FC1DF6" w:rsidP="00E429E2">
    <w:pPr>
      <w:pStyle w:val="Sinespaciado"/>
      <w:pBdr>
        <w:bottom w:val="single" w:sz="4" w:space="1" w:color="auto"/>
      </w:pBdr>
      <w:jc w:val="center"/>
      <w:rPr>
        <w:rFonts w:ascii="Palatino Linotype" w:hAnsi="Palatino Linotype"/>
        <w:sz w:val="21"/>
        <w:szCs w:val="21"/>
      </w:rPr>
    </w:pPr>
    <w:r w:rsidRPr="00E429E2">
      <w:rPr>
        <w:rFonts w:ascii="Palatino Linotype" w:hAnsi="Palatino Linotype"/>
        <w:sz w:val="21"/>
        <w:szCs w:val="21"/>
        <w:lang w:eastAsia="es-ES_tradnl"/>
      </w:rPr>
      <w:t>Dentro del Proceso Penal Costarricense</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FA6EFB" w:rsidRDefault="00FC1DF6" w:rsidP="00FA6EF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FF79BF" w:rsidRDefault="00FC1DF6" w:rsidP="00C72A23">
    <w:pPr>
      <w:pStyle w:val="Encabezado"/>
      <w:pBdr>
        <w:bottom w:val="single" w:sz="4" w:space="1" w:color="auto"/>
      </w:pBdr>
      <w:jc w:val="center"/>
    </w:pPr>
    <w:r w:rsidRPr="00FF79BF">
      <w:rPr>
        <w:rFonts w:ascii="Palatino Linotype" w:hAnsi="Palatino Linotype"/>
        <w:bCs/>
        <w:sz w:val="21"/>
        <w:szCs w:val="21"/>
        <w:lang w:val="es-MX"/>
      </w:rPr>
      <w:t>El “ser o no ser” del juez: la prueba de oficio en la reforma procesal civil y laboral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E56629" w:rsidRDefault="00FC1DF6" w:rsidP="00E56629">
    <w:pPr>
      <w:pStyle w:val="Encabezado"/>
      <w:pBdr>
        <w:bottom w:val="single" w:sz="4" w:space="1" w:color="auto"/>
      </w:pBdr>
      <w:jc w:val="center"/>
      <w:rPr>
        <w:rFonts w:ascii="Palatino Linotype" w:hAnsi="Palatino Linotype"/>
        <w:sz w:val="21"/>
        <w:szCs w:val="21"/>
        <w:lang w:val="es-CR"/>
      </w:rPr>
    </w:pPr>
    <w:r w:rsidRPr="00E56629">
      <w:rPr>
        <w:rFonts w:ascii="Palatino Linotype" w:hAnsi="Palatino Linotype"/>
        <w:sz w:val="21"/>
        <w:szCs w:val="21"/>
        <w:lang w:val="es-CR"/>
      </w:rPr>
      <w:t>Ricardo Zeledón Zeledón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FF79BF" w:rsidRDefault="00FC1DF6" w:rsidP="005F65BE">
    <w:pPr>
      <w:pStyle w:val="Sinespaciado"/>
      <w:pBdr>
        <w:bottom w:val="single" w:sz="4" w:space="1" w:color="auto"/>
      </w:pBdr>
      <w:jc w:val="center"/>
    </w:pPr>
    <w:r w:rsidRPr="00E10347">
      <w:rPr>
        <w:rFonts w:ascii="Palatino Linotype" w:hAnsi="Palatino Linotype"/>
        <w:b/>
        <w:sz w:val="21"/>
        <w:szCs w:val="21"/>
      </w:rPr>
      <w:t>Los pecados del Nuevo Código Procesal Civil</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FF79BF" w:rsidRDefault="00FC1DF6" w:rsidP="00FF79BF">
    <w:pPr>
      <w:pStyle w:val="Encabezado"/>
      <w:pBdr>
        <w:bottom w:val="single" w:sz="4" w:space="1" w:color="auto"/>
      </w:pBdr>
      <w:jc w:val="center"/>
      <w:rPr>
        <w:rFonts w:ascii="Palatino Linotype" w:hAnsi="Palatino Linotype"/>
        <w:lang w:val="es-CR"/>
      </w:rPr>
    </w:pPr>
    <w:r w:rsidRPr="00E10347">
      <w:rPr>
        <w:rFonts w:ascii="Palatino Linotype" w:hAnsi="Palatino Linotype"/>
        <w:sz w:val="21"/>
        <w:szCs w:val="21"/>
      </w:rPr>
      <w:t>Carmen Vázquez</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FF79BF" w:rsidRDefault="00FC1DF6" w:rsidP="00FF79BF">
    <w:pPr>
      <w:ind w:firstLine="709"/>
      <w:jc w:val="center"/>
      <w:rPr>
        <w:rFonts w:ascii="Palatino Linotype" w:hAnsi="Palatino Linotype"/>
        <w:sz w:val="21"/>
        <w:szCs w:val="21"/>
      </w:rPr>
    </w:pPr>
    <w:r w:rsidRPr="00FF79BF">
      <w:rPr>
        <w:rFonts w:ascii="Palatino Linotype" w:hAnsi="Palatino Linotype"/>
        <w:sz w:val="21"/>
        <w:szCs w:val="21"/>
      </w:rPr>
      <w:t>La prueba pericial en la experiencia estadounidense</w:t>
    </w:r>
  </w:p>
  <w:p w:rsidR="00FC1DF6" w:rsidRPr="00FF79BF" w:rsidRDefault="00FC1DF6" w:rsidP="00FF79BF">
    <w:pPr>
      <w:pStyle w:val="Sinespaciado"/>
      <w:pBdr>
        <w:bottom w:val="single" w:sz="4" w:space="1" w:color="auto"/>
      </w:pBdr>
      <w:jc w:val="center"/>
    </w:pPr>
    <w:r w:rsidRPr="00FF79BF">
      <w:rPr>
        <w:rFonts w:ascii="Palatino Linotype" w:hAnsi="Palatino Linotype"/>
        <w:sz w:val="21"/>
        <w:szCs w:val="21"/>
      </w:rPr>
      <w:t>El caso Daubert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F6" w:rsidRPr="00E56629" w:rsidRDefault="00FC1DF6" w:rsidP="00E56629">
    <w:pPr>
      <w:pStyle w:val="Encabezado"/>
      <w:pBdr>
        <w:bottom w:val="single" w:sz="4" w:space="1" w:color="auto"/>
      </w:pBdr>
      <w:jc w:val="center"/>
      <w:rPr>
        <w:rFonts w:ascii="Palatino Linotype" w:hAnsi="Palatino Linotype"/>
        <w:lang w:val="es-CR"/>
      </w:rPr>
    </w:pPr>
    <w:r>
      <w:rPr>
        <w:rFonts w:ascii="Palatino Linotype" w:hAnsi="Palatino Linotype"/>
        <w:sz w:val="21"/>
        <w:szCs w:val="21"/>
        <w:lang w:val="es-CR"/>
      </w:rPr>
      <w:t>Sergio Artavia Barrantes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1698"/>
    <w:multiLevelType w:val="singleLevel"/>
    <w:tmpl w:val="9D8231E8"/>
    <w:lvl w:ilvl="0">
      <w:start w:val="1"/>
      <w:numFmt w:val="decimal"/>
      <w:lvlText w:val="%1."/>
      <w:legacy w:legacy="1" w:legacySpace="0" w:legacyIndent="566"/>
      <w:lvlJc w:val="left"/>
      <w:rPr>
        <w:rFonts w:ascii="Times New Roman" w:hAnsi="Times New Roman" w:cs="Times New Roman" w:hint="default"/>
      </w:rPr>
    </w:lvl>
  </w:abstractNum>
  <w:abstractNum w:abstractNumId="1" w15:restartNumberingAfterBreak="0">
    <w:nsid w:val="04E61D59"/>
    <w:multiLevelType w:val="hybridMultilevel"/>
    <w:tmpl w:val="0EBC8496"/>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5C21775"/>
    <w:multiLevelType w:val="multilevel"/>
    <w:tmpl w:val="1B4A693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 w15:restartNumberingAfterBreak="0">
    <w:nsid w:val="093E39F4"/>
    <w:multiLevelType w:val="hybridMultilevel"/>
    <w:tmpl w:val="E61E896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9A06E6C"/>
    <w:multiLevelType w:val="hybridMultilevel"/>
    <w:tmpl w:val="DC403D0C"/>
    <w:lvl w:ilvl="0" w:tplc="144E577C">
      <w:start w:val="1"/>
      <w:numFmt w:val="bullet"/>
      <w:lvlText w:val=""/>
      <w:lvlJc w:val="left"/>
      <w:pPr>
        <w:tabs>
          <w:tab w:val="num" w:pos="720"/>
        </w:tabs>
        <w:ind w:left="720" w:hanging="360"/>
      </w:pPr>
      <w:rPr>
        <w:rFonts w:ascii="Symbol" w:hAnsi="Symbol" w:hint="default"/>
      </w:rPr>
    </w:lvl>
    <w:lvl w:ilvl="1" w:tplc="B01800D4" w:tentative="1">
      <w:start w:val="1"/>
      <w:numFmt w:val="bullet"/>
      <w:lvlText w:val="o"/>
      <w:lvlJc w:val="left"/>
      <w:pPr>
        <w:tabs>
          <w:tab w:val="num" w:pos="1440"/>
        </w:tabs>
        <w:ind w:left="1440" w:hanging="360"/>
      </w:pPr>
      <w:rPr>
        <w:rFonts w:ascii="Courier New" w:hAnsi="Courier New" w:hint="default"/>
      </w:rPr>
    </w:lvl>
    <w:lvl w:ilvl="2" w:tplc="0B0620B2" w:tentative="1">
      <w:start w:val="1"/>
      <w:numFmt w:val="bullet"/>
      <w:lvlText w:val=""/>
      <w:lvlJc w:val="left"/>
      <w:pPr>
        <w:tabs>
          <w:tab w:val="num" w:pos="2160"/>
        </w:tabs>
        <w:ind w:left="2160" w:hanging="360"/>
      </w:pPr>
      <w:rPr>
        <w:rFonts w:ascii="Wingdings" w:hAnsi="Wingdings" w:hint="default"/>
      </w:rPr>
    </w:lvl>
    <w:lvl w:ilvl="3" w:tplc="BB808E6A" w:tentative="1">
      <w:start w:val="1"/>
      <w:numFmt w:val="bullet"/>
      <w:lvlText w:val=""/>
      <w:lvlJc w:val="left"/>
      <w:pPr>
        <w:tabs>
          <w:tab w:val="num" w:pos="2880"/>
        </w:tabs>
        <w:ind w:left="2880" w:hanging="360"/>
      </w:pPr>
      <w:rPr>
        <w:rFonts w:ascii="Symbol" w:hAnsi="Symbol" w:hint="default"/>
      </w:rPr>
    </w:lvl>
    <w:lvl w:ilvl="4" w:tplc="17AEDCE8" w:tentative="1">
      <w:start w:val="1"/>
      <w:numFmt w:val="bullet"/>
      <w:lvlText w:val="o"/>
      <w:lvlJc w:val="left"/>
      <w:pPr>
        <w:tabs>
          <w:tab w:val="num" w:pos="3600"/>
        </w:tabs>
        <w:ind w:left="3600" w:hanging="360"/>
      </w:pPr>
      <w:rPr>
        <w:rFonts w:ascii="Courier New" w:hAnsi="Courier New" w:hint="default"/>
      </w:rPr>
    </w:lvl>
    <w:lvl w:ilvl="5" w:tplc="53FC5372" w:tentative="1">
      <w:start w:val="1"/>
      <w:numFmt w:val="bullet"/>
      <w:lvlText w:val=""/>
      <w:lvlJc w:val="left"/>
      <w:pPr>
        <w:tabs>
          <w:tab w:val="num" w:pos="4320"/>
        </w:tabs>
        <w:ind w:left="4320" w:hanging="360"/>
      </w:pPr>
      <w:rPr>
        <w:rFonts w:ascii="Wingdings" w:hAnsi="Wingdings" w:hint="default"/>
      </w:rPr>
    </w:lvl>
    <w:lvl w:ilvl="6" w:tplc="D108BAE4" w:tentative="1">
      <w:start w:val="1"/>
      <w:numFmt w:val="bullet"/>
      <w:lvlText w:val=""/>
      <w:lvlJc w:val="left"/>
      <w:pPr>
        <w:tabs>
          <w:tab w:val="num" w:pos="5040"/>
        </w:tabs>
        <w:ind w:left="5040" w:hanging="360"/>
      </w:pPr>
      <w:rPr>
        <w:rFonts w:ascii="Symbol" w:hAnsi="Symbol" w:hint="default"/>
      </w:rPr>
    </w:lvl>
    <w:lvl w:ilvl="7" w:tplc="4964FBBA" w:tentative="1">
      <w:start w:val="1"/>
      <w:numFmt w:val="bullet"/>
      <w:lvlText w:val="o"/>
      <w:lvlJc w:val="left"/>
      <w:pPr>
        <w:tabs>
          <w:tab w:val="num" w:pos="5760"/>
        </w:tabs>
        <w:ind w:left="5760" w:hanging="360"/>
      </w:pPr>
      <w:rPr>
        <w:rFonts w:ascii="Courier New" w:hAnsi="Courier New" w:hint="default"/>
      </w:rPr>
    </w:lvl>
    <w:lvl w:ilvl="8" w:tplc="99EC65C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7509BB"/>
    <w:multiLevelType w:val="multilevel"/>
    <w:tmpl w:val="090462F0"/>
    <w:lvl w:ilvl="0">
      <w:start w:val="1"/>
      <w:numFmt w:val="decimal"/>
      <w:lvlText w:val="%1"/>
      <w:lvlJc w:val="left"/>
      <w:pPr>
        <w:ind w:left="430" w:hanging="430"/>
      </w:pPr>
      <w:rPr>
        <w:rFonts w:hint="default"/>
      </w:rPr>
    </w:lvl>
    <w:lvl w:ilvl="1">
      <w:start w:val="2"/>
      <w:numFmt w:val="decimal"/>
      <w:lvlText w:val="%1.%2"/>
      <w:lvlJc w:val="left"/>
      <w:pPr>
        <w:ind w:left="430" w:hanging="4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D855385"/>
    <w:multiLevelType w:val="hybridMultilevel"/>
    <w:tmpl w:val="A2BA3114"/>
    <w:lvl w:ilvl="0" w:tplc="D7CA128A">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0FD5C8F"/>
    <w:multiLevelType w:val="multilevel"/>
    <w:tmpl w:val="83062448"/>
    <w:lvl w:ilvl="0">
      <w:numFmt w:val="bullet"/>
      <w:lvlText w:val="-"/>
      <w:lvlJc w:val="left"/>
      <w:rPr>
        <w:rFonts w:ascii="Times New Roman" w:hAnsi="Times New Roman" w:cs="Times New Roman"/>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8" w15:restartNumberingAfterBreak="0">
    <w:nsid w:val="172D535A"/>
    <w:multiLevelType w:val="singleLevel"/>
    <w:tmpl w:val="DE4C9BFC"/>
    <w:lvl w:ilvl="0">
      <w:start w:val="3"/>
      <w:numFmt w:val="decimal"/>
      <w:lvlText w:val="%1)"/>
      <w:lvlJc w:val="left"/>
      <w:pPr>
        <w:tabs>
          <w:tab w:val="num" w:pos="1068"/>
        </w:tabs>
        <w:ind w:left="1068" w:hanging="360"/>
      </w:pPr>
      <w:rPr>
        <w:sz w:val="20"/>
        <w:szCs w:val="20"/>
      </w:rPr>
    </w:lvl>
  </w:abstractNum>
  <w:abstractNum w:abstractNumId="9" w15:restartNumberingAfterBreak="0">
    <w:nsid w:val="18424FF4"/>
    <w:multiLevelType w:val="hybridMultilevel"/>
    <w:tmpl w:val="77B617C4"/>
    <w:lvl w:ilvl="0" w:tplc="0378849A">
      <w:start w:val="1"/>
      <w:numFmt w:val="decimal"/>
      <w:lvlText w:val="%1)"/>
      <w:lvlJc w:val="left"/>
      <w:pPr>
        <w:tabs>
          <w:tab w:val="num" w:pos="1743"/>
        </w:tabs>
        <w:ind w:left="1743" w:hanging="1035"/>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1C8C65F7"/>
    <w:multiLevelType w:val="hybridMultilevel"/>
    <w:tmpl w:val="E13426DE"/>
    <w:lvl w:ilvl="0" w:tplc="C8305504">
      <w:start w:val="1"/>
      <w:numFmt w:val="decimal"/>
      <w:lvlText w:val="%1)"/>
      <w:lvlJc w:val="left"/>
      <w:pPr>
        <w:tabs>
          <w:tab w:val="num" w:pos="1365"/>
        </w:tabs>
        <w:ind w:left="1365" w:hanging="825"/>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1" w15:restartNumberingAfterBreak="0">
    <w:nsid w:val="20656DDB"/>
    <w:multiLevelType w:val="singleLevel"/>
    <w:tmpl w:val="66985452"/>
    <w:lvl w:ilvl="0">
      <w:start w:val="2"/>
      <w:numFmt w:val="decimal"/>
      <w:lvlText w:val="%1)"/>
      <w:lvlJc w:val="left"/>
      <w:pPr>
        <w:tabs>
          <w:tab w:val="num" w:pos="360"/>
        </w:tabs>
        <w:ind w:left="360" w:hanging="360"/>
      </w:pPr>
      <w:rPr>
        <w:b w:val="0"/>
        <w:bCs w:val="0"/>
        <w:i w:val="0"/>
        <w:iCs w:val="0"/>
      </w:rPr>
    </w:lvl>
  </w:abstractNum>
  <w:abstractNum w:abstractNumId="12" w15:restartNumberingAfterBreak="0">
    <w:nsid w:val="25F73C11"/>
    <w:multiLevelType w:val="hybridMultilevel"/>
    <w:tmpl w:val="0C30F5CA"/>
    <w:lvl w:ilvl="0" w:tplc="0248ED0A">
      <w:start w:val="1"/>
      <w:numFmt w:val="bullet"/>
      <w:lvlText w:val=""/>
      <w:lvlJc w:val="left"/>
      <w:pPr>
        <w:tabs>
          <w:tab w:val="num" w:pos="720"/>
        </w:tabs>
        <w:ind w:left="720" w:hanging="360"/>
      </w:pPr>
      <w:rPr>
        <w:rFonts w:ascii="Symbol" w:hAnsi="Symbol" w:hint="default"/>
      </w:rPr>
    </w:lvl>
    <w:lvl w:ilvl="1" w:tplc="623630A6" w:tentative="1">
      <w:start w:val="1"/>
      <w:numFmt w:val="bullet"/>
      <w:lvlText w:val="o"/>
      <w:lvlJc w:val="left"/>
      <w:pPr>
        <w:tabs>
          <w:tab w:val="num" w:pos="1440"/>
        </w:tabs>
        <w:ind w:left="1440" w:hanging="360"/>
      </w:pPr>
      <w:rPr>
        <w:rFonts w:ascii="Courier New" w:hAnsi="Courier New" w:hint="default"/>
      </w:rPr>
    </w:lvl>
    <w:lvl w:ilvl="2" w:tplc="DEEEF630" w:tentative="1">
      <w:start w:val="1"/>
      <w:numFmt w:val="bullet"/>
      <w:lvlText w:val=""/>
      <w:lvlJc w:val="left"/>
      <w:pPr>
        <w:tabs>
          <w:tab w:val="num" w:pos="2160"/>
        </w:tabs>
        <w:ind w:left="2160" w:hanging="360"/>
      </w:pPr>
      <w:rPr>
        <w:rFonts w:ascii="Wingdings" w:hAnsi="Wingdings" w:hint="default"/>
      </w:rPr>
    </w:lvl>
    <w:lvl w:ilvl="3" w:tplc="369A2550" w:tentative="1">
      <w:start w:val="1"/>
      <w:numFmt w:val="bullet"/>
      <w:lvlText w:val=""/>
      <w:lvlJc w:val="left"/>
      <w:pPr>
        <w:tabs>
          <w:tab w:val="num" w:pos="2880"/>
        </w:tabs>
        <w:ind w:left="2880" w:hanging="360"/>
      </w:pPr>
      <w:rPr>
        <w:rFonts w:ascii="Symbol" w:hAnsi="Symbol" w:hint="default"/>
      </w:rPr>
    </w:lvl>
    <w:lvl w:ilvl="4" w:tplc="E7B82DC2" w:tentative="1">
      <w:start w:val="1"/>
      <w:numFmt w:val="bullet"/>
      <w:lvlText w:val="o"/>
      <w:lvlJc w:val="left"/>
      <w:pPr>
        <w:tabs>
          <w:tab w:val="num" w:pos="3600"/>
        </w:tabs>
        <w:ind w:left="3600" w:hanging="360"/>
      </w:pPr>
      <w:rPr>
        <w:rFonts w:ascii="Courier New" w:hAnsi="Courier New" w:hint="default"/>
      </w:rPr>
    </w:lvl>
    <w:lvl w:ilvl="5" w:tplc="CD001BD4" w:tentative="1">
      <w:start w:val="1"/>
      <w:numFmt w:val="bullet"/>
      <w:lvlText w:val=""/>
      <w:lvlJc w:val="left"/>
      <w:pPr>
        <w:tabs>
          <w:tab w:val="num" w:pos="4320"/>
        </w:tabs>
        <w:ind w:left="4320" w:hanging="360"/>
      </w:pPr>
      <w:rPr>
        <w:rFonts w:ascii="Wingdings" w:hAnsi="Wingdings" w:hint="default"/>
      </w:rPr>
    </w:lvl>
    <w:lvl w:ilvl="6" w:tplc="1D5A709E" w:tentative="1">
      <w:start w:val="1"/>
      <w:numFmt w:val="bullet"/>
      <w:lvlText w:val=""/>
      <w:lvlJc w:val="left"/>
      <w:pPr>
        <w:tabs>
          <w:tab w:val="num" w:pos="5040"/>
        </w:tabs>
        <w:ind w:left="5040" w:hanging="360"/>
      </w:pPr>
      <w:rPr>
        <w:rFonts w:ascii="Symbol" w:hAnsi="Symbol" w:hint="default"/>
      </w:rPr>
    </w:lvl>
    <w:lvl w:ilvl="7" w:tplc="007A84B6" w:tentative="1">
      <w:start w:val="1"/>
      <w:numFmt w:val="bullet"/>
      <w:lvlText w:val="o"/>
      <w:lvlJc w:val="left"/>
      <w:pPr>
        <w:tabs>
          <w:tab w:val="num" w:pos="5760"/>
        </w:tabs>
        <w:ind w:left="5760" w:hanging="360"/>
      </w:pPr>
      <w:rPr>
        <w:rFonts w:ascii="Courier New" w:hAnsi="Courier New" w:hint="default"/>
      </w:rPr>
    </w:lvl>
    <w:lvl w:ilvl="8" w:tplc="C1BCF0C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EB1856"/>
    <w:multiLevelType w:val="hybridMultilevel"/>
    <w:tmpl w:val="57C45AF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1A13BB4"/>
    <w:multiLevelType w:val="hybridMultilevel"/>
    <w:tmpl w:val="35C88956"/>
    <w:lvl w:ilvl="0" w:tplc="F0023FF6">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2687A71"/>
    <w:multiLevelType w:val="hybridMultilevel"/>
    <w:tmpl w:val="59A21F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35F045B"/>
    <w:multiLevelType w:val="singleLevel"/>
    <w:tmpl w:val="946804CE"/>
    <w:lvl w:ilvl="0">
      <w:start w:val="1"/>
      <w:numFmt w:val="lowerLetter"/>
      <w:lvlText w:val="%1."/>
      <w:lvlJc w:val="left"/>
      <w:pPr>
        <w:tabs>
          <w:tab w:val="num" w:pos="1068"/>
        </w:tabs>
        <w:ind w:left="1068" w:hanging="360"/>
      </w:pPr>
      <w:rPr>
        <w:rFonts w:hint="default"/>
      </w:rPr>
    </w:lvl>
  </w:abstractNum>
  <w:abstractNum w:abstractNumId="17" w15:restartNumberingAfterBreak="0">
    <w:nsid w:val="39F94015"/>
    <w:multiLevelType w:val="singleLevel"/>
    <w:tmpl w:val="8FB6AFD4"/>
    <w:lvl w:ilvl="0">
      <w:start w:val="1"/>
      <w:numFmt w:val="decimal"/>
      <w:lvlText w:val="%1)"/>
      <w:lvlJc w:val="left"/>
      <w:pPr>
        <w:tabs>
          <w:tab w:val="num" w:pos="360"/>
        </w:tabs>
        <w:ind w:left="360" w:hanging="360"/>
      </w:pPr>
      <w:rPr>
        <w:sz w:val="20"/>
        <w:szCs w:val="20"/>
      </w:rPr>
    </w:lvl>
  </w:abstractNum>
  <w:abstractNum w:abstractNumId="18" w15:restartNumberingAfterBreak="0">
    <w:nsid w:val="3D45419E"/>
    <w:multiLevelType w:val="hybridMultilevel"/>
    <w:tmpl w:val="0866761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42196E5E"/>
    <w:multiLevelType w:val="hybridMultilevel"/>
    <w:tmpl w:val="2E442CA8"/>
    <w:lvl w:ilvl="0" w:tplc="B64ADCB8">
      <w:start w:val="1"/>
      <w:numFmt w:val="decimal"/>
      <w:lvlText w:val="%1."/>
      <w:lvlJc w:val="left"/>
      <w:pPr>
        <w:ind w:left="720" w:hanging="360"/>
      </w:pPr>
      <w:rPr>
        <w:b w:val="0"/>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44355FAB"/>
    <w:multiLevelType w:val="multilevel"/>
    <w:tmpl w:val="C624D10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4652287"/>
    <w:multiLevelType w:val="hybridMultilevel"/>
    <w:tmpl w:val="02688A8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44BA668C"/>
    <w:multiLevelType w:val="multilevel"/>
    <w:tmpl w:val="CDAA9468"/>
    <w:lvl w:ilvl="0">
      <w:start w:val="1"/>
      <w:numFmt w:val="bullet"/>
      <w:lvlText w:val=""/>
      <w:lvlJc w:val="left"/>
      <w:rPr>
        <w:rFonts w:ascii="Wingdings" w:hAnsi="Wingdings"/>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 w15:restartNumberingAfterBreak="0">
    <w:nsid w:val="492552F1"/>
    <w:multiLevelType w:val="hybridMultilevel"/>
    <w:tmpl w:val="45149AB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BFE18D6"/>
    <w:multiLevelType w:val="singleLevel"/>
    <w:tmpl w:val="04ACA8C4"/>
    <w:lvl w:ilvl="0">
      <w:start w:val="1"/>
      <w:numFmt w:val="lowerLetter"/>
      <w:lvlText w:val="%1."/>
      <w:lvlJc w:val="left"/>
      <w:pPr>
        <w:tabs>
          <w:tab w:val="num" w:pos="1211"/>
        </w:tabs>
        <w:ind w:left="1211" w:hanging="360"/>
      </w:pPr>
      <w:rPr>
        <w:rFonts w:hint="default"/>
      </w:rPr>
    </w:lvl>
  </w:abstractNum>
  <w:abstractNum w:abstractNumId="25" w15:restartNumberingAfterBreak="0">
    <w:nsid w:val="541C0A9D"/>
    <w:multiLevelType w:val="hybridMultilevel"/>
    <w:tmpl w:val="94FE73F2"/>
    <w:lvl w:ilvl="0" w:tplc="0C0A0001">
      <w:start w:val="1"/>
      <w:numFmt w:val="bullet"/>
      <w:lvlText w:val=""/>
      <w:lvlJc w:val="left"/>
      <w:pPr>
        <w:tabs>
          <w:tab w:val="num" w:pos="720"/>
        </w:tabs>
        <w:ind w:left="720" w:hanging="360"/>
      </w:pPr>
      <w:rPr>
        <w:rFonts w:ascii="Symbol" w:hAnsi="Symbol" w:cs="Symbol"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6" w15:restartNumberingAfterBreak="0">
    <w:nsid w:val="54324314"/>
    <w:multiLevelType w:val="multilevel"/>
    <w:tmpl w:val="56440004"/>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4A33176"/>
    <w:multiLevelType w:val="hybridMultilevel"/>
    <w:tmpl w:val="5EA2D9A0"/>
    <w:lvl w:ilvl="0" w:tplc="4FD05A7C">
      <w:start w:val="1"/>
      <w:numFmt w:val="decimal"/>
      <w:lvlText w:val="%1."/>
      <w:lvlJc w:val="left"/>
      <w:pPr>
        <w:ind w:left="1260" w:hanging="360"/>
      </w:pPr>
      <w:rPr>
        <w:rFonts w:hint="default"/>
        <w:b/>
      </w:r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28" w15:restartNumberingAfterBreak="0">
    <w:nsid w:val="58771EA4"/>
    <w:multiLevelType w:val="singleLevel"/>
    <w:tmpl w:val="4C34B9D2"/>
    <w:lvl w:ilvl="0">
      <w:start w:val="1"/>
      <w:numFmt w:val="lowerLetter"/>
      <w:lvlText w:val="%1."/>
      <w:lvlJc w:val="left"/>
      <w:pPr>
        <w:tabs>
          <w:tab w:val="num" w:pos="1068"/>
        </w:tabs>
        <w:ind w:left="1068" w:hanging="360"/>
      </w:pPr>
      <w:rPr>
        <w:rFonts w:hint="default"/>
      </w:rPr>
    </w:lvl>
  </w:abstractNum>
  <w:abstractNum w:abstractNumId="29" w15:restartNumberingAfterBreak="0">
    <w:nsid w:val="5B465417"/>
    <w:multiLevelType w:val="hybridMultilevel"/>
    <w:tmpl w:val="894A76F0"/>
    <w:lvl w:ilvl="0" w:tplc="0D246A98">
      <w:start w:val="1"/>
      <w:numFmt w:val="lowerLetter"/>
      <w:lvlText w:val="%1)"/>
      <w:lvlJc w:val="left"/>
      <w:pPr>
        <w:ind w:left="1068"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F080E36"/>
    <w:multiLevelType w:val="hybridMultilevel"/>
    <w:tmpl w:val="F0908122"/>
    <w:lvl w:ilvl="0" w:tplc="9014F1A6">
      <w:numFmt w:val="bullet"/>
      <w:lvlText w:val="-"/>
      <w:lvlJc w:val="left"/>
      <w:pPr>
        <w:tabs>
          <w:tab w:val="num" w:pos="720"/>
        </w:tabs>
        <w:ind w:left="720" w:hanging="360"/>
      </w:pPr>
      <w:rPr>
        <w:rFonts w:ascii="Arial" w:eastAsia="Times New Roman" w:hAnsi="Arial" w:cs="Arial" w:hint="default"/>
        <w:lang w:val="es-ES"/>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460FE6"/>
    <w:multiLevelType w:val="hybridMultilevel"/>
    <w:tmpl w:val="DCB6B3B8"/>
    <w:lvl w:ilvl="0" w:tplc="762850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7060F4A"/>
    <w:multiLevelType w:val="hybridMultilevel"/>
    <w:tmpl w:val="A822D01C"/>
    <w:lvl w:ilvl="0" w:tplc="2202297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6869644D"/>
    <w:multiLevelType w:val="hybridMultilevel"/>
    <w:tmpl w:val="D3143FD8"/>
    <w:lvl w:ilvl="0" w:tplc="762850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CC16C40"/>
    <w:multiLevelType w:val="multilevel"/>
    <w:tmpl w:val="5D365620"/>
    <w:lvl w:ilvl="0">
      <w:start w:val="1"/>
      <w:numFmt w:val="bullet"/>
      <w:lvlText w:val=""/>
      <w:lvlJc w:val="left"/>
      <w:rPr>
        <w:rFonts w:ascii="Wingdings" w:hAnsi="Wingdings"/>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5" w15:restartNumberingAfterBreak="0">
    <w:nsid w:val="6F835613"/>
    <w:multiLevelType w:val="hybridMultilevel"/>
    <w:tmpl w:val="708041C6"/>
    <w:lvl w:ilvl="0" w:tplc="A2C29DA4">
      <w:start w:val="1"/>
      <w:numFmt w:val="decimal"/>
      <w:lvlText w:val="%1."/>
      <w:lvlJc w:val="left"/>
      <w:pPr>
        <w:ind w:left="1080" w:hanging="360"/>
      </w:pPr>
      <w:rPr>
        <w:rFonts w:hint="default"/>
        <w:lang w:val="es-ES_tradnl"/>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start w:val="1"/>
      <w:numFmt w:val="decimal"/>
      <w:lvlText w:val="%4."/>
      <w:lvlJc w:val="left"/>
      <w:pPr>
        <w:ind w:left="3240" w:hanging="360"/>
      </w:p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36" w15:restartNumberingAfterBreak="0">
    <w:nsid w:val="70BB7AE5"/>
    <w:multiLevelType w:val="hybridMultilevel"/>
    <w:tmpl w:val="FC0AC85A"/>
    <w:lvl w:ilvl="0" w:tplc="D38C63B4">
      <w:start w:val="1"/>
      <w:numFmt w:val="lowerLetter"/>
      <w:lvlText w:val="%1."/>
      <w:lvlJc w:val="left"/>
      <w:pPr>
        <w:tabs>
          <w:tab w:val="num" w:pos="1125"/>
        </w:tabs>
        <w:ind w:left="1125" w:hanging="405"/>
      </w:pPr>
      <w:rPr>
        <w:rFonts w:hint="default"/>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37" w15:restartNumberingAfterBreak="0">
    <w:nsid w:val="715811A5"/>
    <w:multiLevelType w:val="hybridMultilevel"/>
    <w:tmpl w:val="67D82F5E"/>
    <w:lvl w:ilvl="0" w:tplc="3AB0FA2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7227105E"/>
    <w:multiLevelType w:val="singleLevel"/>
    <w:tmpl w:val="6F7203DC"/>
    <w:lvl w:ilvl="0">
      <w:start w:val="1"/>
      <w:numFmt w:val="decimal"/>
      <w:lvlText w:val="%1)"/>
      <w:lvlJc w:val="left"/>
      <w:pPr>
        <w:tabs>
          <w:tab w:val="num" w:pos="360"/>
        </w:tabs>
        <w:ind w:left="360" w:hanging="360"/>
      </w:pPr>
      <w:rPr>
        <w:rFonts w:hint="default"/>
        <w:i w:val="0"/>
        <w:iCs w:val="0"/>
      </w:rPr>
    </w:lvl>
  </w:abstractNum>
  <w:abstractNum w:abstractNumId="39" w15:restartNumberingAfterBreak="0">
    <w:nsid w:val="72B96277"/>
    <w:multiLevelType w:val="singleLevel"/>
    <w:tmpl w:val="C952CFCA"/>
    <w:lvl w:ilvl="0">
      <w:start w:val="5"/>
      <w:numFmt w:val="decimal"/>
      <w:lvlText w:val="%1)"/>
      <w:lvlJc w:val="left"/>
      <w:pPr>
        <w:tabs>
          <w:tab w:val="num" w:pos="1068"/>
        </w:tabs>
        <w:ind w:left="1068" w:hanging="360"/>
      </w:pPr>
      <w:rPr>
        <w:sz w:val="22"/>
        <w:szCs w:val="22"/>
        <w:lang w:val="es-ES"/>
      </w:rPr>
    </w:lvl>
  </w:abstractNum>
  <w:abstractNum w:abstractNumId="40" w15:restartNumberingAfterBreak="0">
    <w:nsid w:val="738B6EC3"/>
    <w:multiLevelType w:val="singleLevel"/>
    <w:tmpl w:val="A0A68546"/>
    <w:lvl w:ilvl="0">
      <w:start w:val="3"/>
      <w:numFmt w:val="decimal"/>
      <w:lvlText w:val="%1)"/>
      <w:lvlJc w:val="left"/>
      <w:pPr>
        <w:tabs>
          <w:tab w:val="num" w:pos="1068"/>
        </w:tabs>
        <w:ind w:left="1068" w:hanging="360"/>
      </w:pPr>
      <w:rPr>
        <w:sz w:val="20"/>
        <w:szCs w:val="20"/>
      </w:rPr>
    </w:lvl>
  </w:abstractNum>
  <w:abstractNum w:abstractNumId="41" w15:restartNumberingAfterBreak="0">
    <w:nsid w:val="73E91245"/>
    <w:multiLevelType w:val="multilevel"/>
    <w:tmpl w:val="124AF65A"/>
    <w:lvl w:ilvl="0">
      <w:start w:val="1"/>
      <w:numFmt w:val="bullet"/>
      <w:lvlText w:val=""/>
      <w:lvlJc w:val="left"/>
      <w:rPr>
        <w:rFonts w:ascii="Symbol" w:hAnsi="Symbol"/>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2" w15:restartNumberingAfterBreak="0">
    <w:nsid w:val="75F1612A"/>
    <w:multiLevelType w:val="hybridMultilevel"/>
    <w:tmpl w:val="49A49050"/>
    <w:lvl w:ilvl="0" w:tplc="AFFA764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7A9C0EB2"/>
    <w:multiLevelType w:val="hybridMultilevel"/>
    <w:tmpl w:val="BDE0BFB4"/>
    <w:lvl w:ilvl="0" w:tplc="D24652A6">
      <w:start w:val="1"/>
      <w:numFmt w:val="decimal"/>
      <w:lvlText w:val="%1."/>
      <w:lvlJc w:val="left"/>
      <w:pPr>
        <w:ind w:left="1260" w:hanging="360"/>
      </w:pPr>
      <w:rPr>
        <w:rFonts w:ascii="Palatino Linotype" w:eastAsiaTheme="minorEastAsia" w:hAnsi="Palatino Linotype" w:cs="Times New Roman"/>
        <w:b/>
      </w:r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44" w15:restartNumberingAfterBreak="0">
    <w:nsid w:val="7E210640"/>
    <w:multiLevelType w:val="hybridMultilevel"/>
    <w:tmpl w:val="F336021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num w:numId="1">
    <w:abstractNumId w:val="19"/>
  </w:num>
  <w:num w:numId="2">
    <w:abstractNumId w:val="42"/>
  </w:num>
  <w:num w:numId="3">
    <w:abstractNumId w:val="37"/>
  </w:num>
  <w:num w:numId="4">
    <w:abstractNumId w:val="32"/>
  </w:num>
  <w:num w:numId="5">
    <w:abstractNumId w:val="6"/>
  </w:num>
  <w:num w:numId="6">
    <w:abstractNumId w:val="14"/>
  </w:num>
  <w:num w:numId="7">
    <w:abstractNumId w:val="2"/>
  </w:num>
  <w:num w:numId="8">
    <w:abstractNumId w:val="41"/>
  </w:num>
  <w:num w:numId="9">
    <w:abstractNumId w:val="26"/>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8"/>
  </w:num>
  <w:num w:numId="14">
    <w:abstractNumId w:val="21"/>
  </w:num>
  <w:num w:numId="15">
    <w:abstractNumId w:val="28"/>
  </w:num>
  <w:num w:numId="16">
    <w:abstractNumId w:val="16"/>
  </w:num>
  <w:num w:numId="17">
    <w:abstractNumId w:val="24"/>
  </w:num>
  <w:num w:numId="18">
    <w:abstractNumId w:val="27"/>
  </w:num>
  <w:num w:numId="19">
    <w:abstractNumId w:val="43"/>
  </w:num>
  <w:num w:numId="20">
    <w:abstractNumId w:val="7"/>
  </w:num>
  <w:num w:numId="21">
    <w:abstractNumId w:val="17"/>
    <w:lvlOverride w:ilvl="0">
      <w:startOverride w:val="1"/>
    </w:lvlOverride>
  </w:num>
  <w:num w:numId="22">
    <w:abstractNumId w:val="38"/>
    <w:lvlOverride w:ilvl="0">
      <w:startOverride w:val="1"/>
    </w:lvlOverride>
  </w:num>
  <w:num w:numId="23">
    <w:abstractNumId w:val="11"/>
    <w:lvlOverride w:ilvl="0">
      <w:startOverride w:val="2"/>
    </w:lvlOverride>
  </w:num>
  <w:num w:numId="24">
    <w:abstractNumId w:val="8"/>
    <w:lvlOverride w:ilvl="0">
      <w:startOverride w:val="3"/>
    </w:lvlOverride>
  </w:num>
  <w:num w:numId="25">
    <w:abstractNumId w:val="40"/>
    <w:lvlOverride w:ilvl="0">
      <w:startOverride w:val="3"/>
    </w:lvlOverride>
  </w:num>
  <w:num w:numId="26">
    <w:abstractNumId w:val="39"/>
    <w:lvlOverride w:ilvl="0">
      <w:startOverride w:val="5"/>
    </w:lvlOverride>
  </w:num>
  <w:num w:numId="27">
    <w:abstractNumId w:val="44"/>
  </w:num>
  <w:num w:numId="28">
    <w:abstractNumId w:val="36"/>
  </w:num>
  <w:num w:numId="29">
    <w:abstractNumId w:val="25"/>
  </w:num>
  <w:num w:numId="30">
    <w:abstractNumId w:val="0"/>
  </w:num>
  <w:num w:numId="31">
    <w:abstractNumId w:val="0"/>
    <w:lvlOverride w:ilvl="0">
      <w:lvl w:ilvl="0">
        <w:start w:val="1"/>
        <w:numFmt w:val="decimal"/>
        <w:lvlText w:val="%1."/>
        <w:legacy w:legacy="1" w:legacySpace="0" w:legacyIndent="567"/>
        <w:lvlJc w:val="left"/>
        <w:rPr>
          <w:rFonts w:ascii="Times New Roman" w:hAnsi="Times New Roman" w:cs="Times New Roman" w:hint="default"/>
        </w:rPr>
      </w:lvl>
    </w:lvlOverride>
  </w:num>
  <w:num w:numId="32">
    <w:abstractNumId w:val="35"/>
  </w:num>
  <w:num w:numId="33">
    <w:abstractNumId w:val="30"/>
  </w:num>
  <w:num w:numId="34">
    <w:abstractNumId w:val="9"/>
  </w:num>
  <w:num w:numId="35">
    <w:abstractNumId w:val="10"/>
  </w:num>
  <w:num w:numId="36">
    <w:abstractNumId w:val="1"/>
  </w:num>
  <w:num w:numId="37">
    <w:abstractNumId w:val="23"/>
  </w:num>
  <w:num w:numId="38">
    <w:abstractNumId w:val="13"/>
  </w:num>
  <w:num w:numId="39">
    <w:abstractNumId w:val="29"/>
  </w:num>
  <w:num w:numId="40">
    <w:abstractNumId w:val="12"/>
  </w:num>
  <w:num w:numId="41">
    <w:abstractNumId w:val="4"/>
  </w:num>
  <w:num w:numId="42">
    <w:abstractNumId w:val="15"/>
  </w:num>
  <w:num w:numId="43">
    <w:abstractNumId w:val="31"/>
  </w:num>
  <w:num w:numId="44">
    <w:abstractNumId w:val="33"/>
  </w:num>
  <w:num w:numId="45">
    <w:abstractNumId w:val="20"/>
  </w:num>
  <w:num w:numId="46">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A13"/>
    <w:rsid w:val="00003A48"/>
    <w:rsid w:val="000107EF"/>
    <w:rsid w:val="00021A86"/>
    <w:rsid w:val="000237F1"/>
    <w:rsid w:val="00076AF8"/>
    <w:rsid w:val="000C1999"/>
    <w:rsid w:val="000F387C"/>
    <w:rsid w:val="00154A93"/>
    <w:rsid w:val="00161E42"/>
    <w:rsid w:val="00183AD0"/>
    <w:rsid w:val="001A1F1F"/>
    <w:rsid w:val="001C00D1"/>
    <w:rsid w:val="001E067A"/>
    <w:rsid w:val="001E141B"/>
    <w:rsid w:val="001E59C2"/>
    <w:rsid w:val="002014CA"/>
    <w:rsid w:val="00201AA7"/>
    <w:rsid w:val="00206DF2"/>
    <w:rsid w:val="00213ECE"/>
    <w:rsid w:val="002260A0"/>
    <w:rsid w:val="00244C82"/>
    <w:rsid w:val="00262E4A"/>
    <w:rsid w:val="00287336"/>
    <w:rsid w:val="002A76CC"/>
    <w:rsid w:val="002E0898"/>
    <w:rsid w:val="00353409"/>
    <w:rsid w:val="0035457D"/>
    <w:rsid w:val="003A0C35"/>
    <w:rsid w:val="003A7356"/>
    <w:rsid w:val="003B50FC"/>
    <w:rsid w:val="003D7E3A"/>
    <w:rsid w:val="003E3FFE"/>
    <w:rsid w:val="003F3E60"/>
    <w:rsid w:val="004522F5"/>
    <w:rsid w:val="00467BDB"/>
    <w:rsid w:val="004A2C43"/>
    <w:rsid w:val="004B3229"/>
    <w:rsid w:val="004B4D3D"/>
    <w:rsid w:val="004D3B1F"/>
    <w:rsid w:val="004E46C3"/>
    <w:rsid w:val="005108FF"/>
    <w:rsid w:val="00516CF0"/>
    <w:rsid w:val="00517433"/>
    <w:rsid w:val="005506ED"/>
    <w:rsid w:val="00563A13"/>
    <w:rsid w:val="005771E0"/>
    <w:rsid w:val="005B3647"/>
    <w:rsid w:val="005E7ABE"/>
    <w:rsid w:val="005F65BE"/>
    <w:rsid w:val="006130EF"/>
    <w:rsid w:val="0062377F"/>
    <w:rsid w:val="006301B3"/>
    <w:rsid w:val="0064139F"/>
    <w:rsid w:val="006505F9"/>
    <w:rsid w:val="006514DB"/>
    <w:rsid w:val="00677D57"/>
    <w:rsid w:val="00696B1B"/>
    <w:rsid w:val="006B0F51"/>
    <w:rsid w:val="006B3298"/>
    <w:rsid w:val="006D5B5F"/>
    <w:rsid w:val="00730EFE"/>
    <w:rsid w:val="007506C0"/>
    <w:rsid w:val="007818DC"/>
    <w:rsid w:val="0079347B"/>
    <w:rsid w:val="00793876"/>
    <w:rsid w:val="007C015B"/>
    <w:rsid w:val="008044E2"/>
    <w:rsid w:val="00817A22"/>
    <w:rsid w:val="00825DEA"/>
    <w:rsid w:val="00843063"/>
    <w:rsid w:val="008554C3"/>
    <w:rsid w:val="0086389C"/>
    <w:rsid w:val="0087536A"/>
    <w:rsid w:val="008A02E9"/>
    <w:rsid w:val="008A0E38"/>
    <w:rsid w:val="008A479A"/>
    <w:rsid w:val="008C1267"/>
    <w:rsid w:val="008C2BE0"/>
    <w:rsid w:val="00905D55"/>
    <w:rsid w:val="009235DC"/>
    <w:rsid w:val="00944871"/>
    <w:rsid w:val="009532E6"/>
    <w:rsid w:val="009570CC"/>
    <w:rsid w:val="0099757E"/>
    <w:rsid w:val="009A5379"/>
    <w:rsid w:val="009C21BD"/>
    <w:rsid w:val="009C2C0B"/>
    <w:rsid w:val="009D5804"/>
    <w:rsid w:val="00A05EF6"/>
    <w:rsid w:val="00A13B16"/>
    <w:rsid w:val="00A22ACF"/>
    <w:rsid w:val="00A22DC1"/>
    <w:rsid w:val="00A44ABF"/>
    <w:rsid w:val="00A528E4"/>
    <w:rsid w:val="00A5760D"/>
    <w:rsid w:val="00AA21F8"/>
    <w:rsid w:val="00B600D3"/>
    <w:rsid w:val="00B64EA1"/>
    <w:rsid w:val="00B957CE"/>
    <w:rsid w:val="00BD116D"/>
    <w:rsid w:val="00BD4869"/>
    <w:rsid w:val="00C035E1"/>
    <w:rsid w:val="00C0552A"/>
    <w:rsid w:val="00C4690B"/>
    <w:rsid w:val="00C566D3"/>
    <w:rsid w:val="00C6472C"/>
    <w:rsid w:val="00C72A23"/>
    <w:rsid w:val="00C84813"/>
    <w:rsid w:val="00C912FE"/>
    <w:rsid w:val="00CA2699"/>
    <w:rsid w:val="00CA49F0"/>
    <w:rsid w:val="00D465E6"/>
    <w:rsid w:val="00D847F4"/>
    <w:rsid w:val="00DB41CD"/>
    <w:rsid w:val="00DB45D2"/>
    <w:rsid w:val="00DD5619"/>
    <w:rsid w:val="00E00D37"/>
    <w:rsid w:val="00E041E6"/>
    <w:rsid w:val="00E10347"/>
    <w:rsid w:val="00E338DC"/>
    <w:rsid w:val="00E423B9"/>
    <w:rsid w:val="00E429E2"/>
    <w:rsid w:val="00E42F79"/>
    <w:rsid w:val="00E56629"/>
    <w:rsid w:val="00E60FEF"/>
    <w:rsid w:val="00E83320"/>
    <w:rsid w:val="00E84517"/>
    <w:rsid w:val="00EA7DD2"/>
    <w:rsid w:val="00ED0298"/>
    <w:rsid w:val="00F0691C"/>
    <w:rsid w:val="00F129D0"/>
    <w:rsid w:val="00F350F6"/>
    <w:rsid w:val="00F35C2F"/>
    <w:rsid w:val="00F80BB6"/>
    <w:rsid w:val="00FA6EFB"/>
    <w:rsid w:val="00FB103D"/>
    <w:rsid w:val="00FC1DF6"/>
    <w:rsid w:val="00FD5A68"/>
    <w:rsid w:val="00FE67FD"/>
    <w:rsid w:val="00FF72D8"/>
    <w:rsid w:val="00FF745B"/>
    <w:rsid w:val="00FF79B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AA3DA"/>
  <w15:chartTrackingRefBased/>
  <w15:docId w15:val="{B2A2FA0F-4C82-4004-AACE-E82B039F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63A13"/>
    <w:pPr>
      <w:widowControl w:val="0"/>
      <w:autoSpaceDE w:val="0"/>
      <w:autoSpaceDN w:val="0"/>
      <w:adjustRightInd w:val="0"/>
    </w:pPr>
    <w:rPr>
      <w:rFonts w:ascii="Arial" w:eastAsiaTheme="minorEastAsia" w:hAnsi="Arial" w:cs="Arial"/>
      <w:sz w:val="24"/>
      <w:szCs w:val="24"/>
      <w:lang w:val="es-ES"/>
    </w:rPr>
  </w:style>
  <w:style w:type="paragraph" w:styleId="Ttulo1">
    <w:name w:val="heading 1"/>
    <w:aliases w:val="Títulos"/>
    <w:basedOn w:val="Normal"/>
    <w:next w:val="Normal"/>
    <w:link w:val="Ttulo1Car"/>
    <w:qFormat/>
    <w:rsid w:val="00563A1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nhideWhenUsed/>
    <w:qFormat/>
    <w:rsid w:val="00563A1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nhideWhenUsed/>
    <w:qFormat/>
    <w:rsid w:val="00563A13"/>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nhideWhenUsed/>
    <w:qFormat/>
    <w:rsid w:val="00F80BB6"/>
    <w:pPr>
      <w:keepNext/>
      <w:widowControl/>
      <w:tabs>
        <w:tab w:val="num" w:pos="2880"/>
      </w:tabs>
      <w:autoSpaceDE/>
      <w:autoSpaceDN/>
      <w:adjustRightInd/>
      <w:spacing w:before="240" w:after="60"/>
      <w:ind w:left="2880" w:hanging="720"/>
      <w:outlineLvl w:val="3"/>
    </w:pPr>
    <w:rPr>
      <w:rFonts w:ascii="Calibri" w:eastAsia="Times New Roman" w:hAnsi="Calibri" w:cs="Times New Roman"/>
      <w:b/>
      <w:bCs/>
      <w:sz w:val="28"/>
      <w:szCs w:val="28"/>
      <w:lang w:val="en-US"/>
    </w:rPr>
  </w:style>
  <w:style w:type="paragraph" w:styleId="Ttulo5">
    <w:name w:val="heading 5"/>
    <w:basedOn w:val="Normal"/>
    <w:next w:val="Normal"/>
    <w:link w:val="Ttulo5Car"/>
    <w:unhideWhenUsed/>
    <w:qFormat/>
    <w:rsid w:val="00F80BB6"/>
    <w:pPr>
      <w:widowControl/>
      <w:tabs>
        <w:tab w:val="num" w:pos="3600"/>
      </w:tabs>
      <w:autoSpaceDE/>
      <w:autoSpaceDN/>
      <w:adjustRightInd/>
      <w:spacing w:before="240" w:after="60"/>
      <w:ind w:left="3600" w:hanging="720"/>
      <w:outlineLvl w:val="4"/>
    </w:pPr>
    <w:rPr>
      <w:rFonts w:ascii="Calibri" w:eastAsia="Times New Roman" w:hAnsi="Calibri" w:cs="Times New Roman"/>
      <w:b/>
      <w:bCs/>
      <w:i/>
      <w:iCs/>
      <w:sz w:val="26"/>
      <w:szCs w:val="26"/>
      <w:lang w:val="en-US"/>
    </w:rPr>
  </w:style>
  <w:style w:type="paragraph" w:styleId="Ttulo6">
    <w:name w:val="heading 6"/>
    <w:basedOn w:val="Normal"/>
    <w:next w:val="Normal"/>
    <w:link w:val="Ttulo6Car"/>
    <w:qFormat/>
    <w:rsid w:val="00F80BB6"/>
    <w:pPr>
      <w:widowControl/>
      <w:tabs>
        <w:tab w:val="num" w:pos="4320"/>
      </w:tabs>
      <w:autoSpaceDE/>
      <w:autoSpaceDN/>
      <w:adjustRightInd/>
      <w:spacing w:before="240" w:after="60"/>
      <w:ind w:left="4320" w:hanging="720"/>
      <w:outlineLvl w:val="5"/>
    </w:pPr>
    <w:rPr>
      <w:rFonts w:ascii="Times New Roman" w:eastAsia="Times New Roman" w:hAnsi="Times New Roman" w:cs="Times New Roman"/>
      <w:b/>
      <w:bCs/>
      <w:sz w:val="22"/>
      <w:szCs w:val="22"/>
      <w:lang w:val="en-US"/>
    </w:rPr>
  </w:style>
  <w:style w:type="paragraph" w:styleId="Ttulo7">
    <w:name w:val="heading 7"/>
    <w:basedOn w:val="Normal"/>
    <w:next w:val="Normal"/>
    <w:link w:val="Ttulo7Car"/>
    <w:unhideWhenUsed/>
    <w:qFormat/>
    <w:rsid w:val="00F80BB6"/>
    <w:pPr>
      <w:widowControl/>
      <w:tabs>
        <w:tab w:val="num" w:pos="5040"/>
      </w:tabs>
      <w:autoSpaceDE/>
      <w:autoSpaceDN/>
      <w:adjustRightInd/>
      <w:spacing w:before="240" w:after="60"/>
      <w:ind w:left="5040" w:hanging="720"/>
      <w:outlineLvl w:val="6"/>
    </w:pPr>
    <w:rPr>
      <w:rFonts w:ascii="Calibri" w:eastAsia="Times New Roman" w:hAnsi="Calibri" w:cs="Times New Roman"/>
      <w:lang w:val="en-US"/>
    </w:rPr>
  </w:style>
  <w:style w:type="paragraph" w:styleId="Ttulo8">
    <w:name w:val="heading 8"/>
    <w:basedOn w:val="Normal"/>
    <w:next w:val="Normal"/>
    <w:link w:val="Ttulo8Car"/>
    <w:unhideWhenUsed/>
    <w:qFormat/>
    <w:rsid w:val="00F80BB6"/>
    <w:pPr>
      <w:widowControl/>
      <w:tabs>
        <w:tab w:val="num" w:pos="5760"/>
      </w:tabs>
      <w:autoSpaceDE/>
      <w:autoSpaceDN/>
      <w:adjustRightInd/>
      <w:spacing w:before="240" w:after="60"/>
      <w:ind w:left="5760" w:hanging="720"/>
      <w:outlineLvl w:val="7"/>
    </w:pPr>
    <w:rPr>
      <w:rFonts w:ascii="Calibri" w:eastAsia="Times New Roman" w:hAnsi="Calibri" w:cs="Times New Roman"/>
      <w:i/>
      <w:iCs/>
      <w:lang w:val="en-US"/>
    </w:rPr>
  </w:style>
  <w:style w:type="paragraph" w:styleId="Ttulo9">
    <w:name w:val="heading 9"/>
    <w:basedOn w:val="Normal"/>
    <w:next w:val="Normal"/>
    <w:link w:val="Ttulo9Car"/>
    <w:unhideWhenUsed/>
    <w:qFormat/>
    <w:rsid w:val="00F80BB6"/>
    <w:pPr>
      <w:widowControl/>
      <w:tabs>
        <w:tab w:val="num" w:pos="6480"/>
      </w:tabs>
      <w:autoSpaceDE/>
      <w:autoSpaceDN/>
      <w:adjustRightInd/>
      <w:spacing w:before="240" w:after="60"/>
      <w:ind w:left="6480" w:hanging="720"/>
      <w:outlineLvl w:val="8"/>
    </w:pPr>
    <w:rPr>
      <w:rFonts w:ascii="Cambria" w:eastAsia="Times New Roman" w:hAnsi="Cambria" w:cs="Times New Roman"/>
      <w:sz w:val="22"/>
      <w:szCs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s Car"/>
    <w:basedOn w:val="Fuentedeprrafopredeter"/>
    <w:link w:val="Ttulo1"/>
    <w:rsid w:val="00563A13"/>
    <w:rPr>
      <w:rFonts w:asciiTheme="majorHAnsi" w:eastAsiaTheme="majorEastAsia" w:hAnsiTheme="majorHAnsi" w:cstheme="majorBidi"/>
      <w:b/>
      <w:bCs/>
      <w:color w:val="2F5496" w:themeColor="accent1" w:themeShade="BF"/>
      <w:sz w:val="28"/>
      <w:szCs w:val="28"/>
      <w:lang w:val="es-ES"/>
    </w:rPr>
  </w:style>
  <w:style w:type="character" w:customStyle="1" w:styleId="Ttulo2Car">
    <w:name w:val="Título 2 Car"/>
    <w:basedOn w:val="Fuentedeprrafopredeter"/>
    <w:link w:val="Ttulo2"/>
    <w:uiPriority w:val="9"/>
    <w:rsid w:val="00563A13"/>
    <w:rPr>
      <w:rFonts w:asciiTheme="majorHAnsi" w:eastAsiaTheme="majorEastAsia" w:hAnsiTheme="majorHAnsi" w:cstheme="majorBidi"/>
      <w:b/>
      <w:bCs/>
      <w:color w:val="4472C4" w:themeColor="accent1"/>
      <w:sz w:val="26"/>
      <w:szCs w:val="26"/>
      <w:lang w:val="es-ES"/>
    </w:rPr>
  </w:style>
  <w:style w:type="character" w:customStyle="1" w:styleId="Ttulo3Car">
    <w:name w:val="Título 3 Car"/>
    <w:basedOn w:val="Fuentedeprrafopredeter"/>
    <w:link w:val="Ttulo3"/>
    <w:uiPriority w:val="9"/>
    <w:rsid w:val="00563A13"/>
    <w:rPr>
      <w:rFonts w:asciiTheme="majorHAnsi" w:eastAsiaTheme="majorEastAsia" w:hAnsiTheme="majorHAnsi" w:cstheme="majorBidi"/>
      <w:b/>
      <w:bCs/>
      <w:color w:val="4472C4" w:themeColor="accent1"/>
      <w:sz w:val="24"/>
      <w:szCs w:val="24"/>
      <w:lang w:val="es-ES"/>
    </w:rPr>
  </w:style>
  <w:style w:type="character" w:customStyle="1" w:styleId="Ttulo4Car">
    <w:name w:val="Título 4 Car"/>
    <w:basedOn w:val="Fuentedeprrafopredeter"/>
    <w:link w:val="Ttulo4"/>
    <w:uiPriority w:val="9"/>
    <w:semiHidden/>
    <w:rsid w:val="00F80BB6"/>
    <w:rPr>
      <w:rFonts w:ascii="Calibri" w:eastAsia="Times New Roman" w:hAnsi="Calibri" w:cs="Times New Roman"/>
      <w:b/>
      <w:bCs/>
      <w:sz w:val="28"/>
      <w:szCs w:val="28"/>
      <w:lang w:val="en-US"/>
    </w:rPr>
  </w:style>
  <w:style w:type="character" w:customStyle="1" w:styleId="Ttulo5Car">
    <w:name w:val="Título 5 Car"/>
    <w:basedOn w:val="Fuentedeprrafopredeter"/>
    <w:link w:val="Ttulo5"/>
    <w:uiPriority w:val="9"/>
    <w:semiHidden/>
    <w:rsid w:val="00F80BB6"/>
    <w:rPr>
      <w:rFonts w:ascii="Calibri" w:eastAsia="Times New Roman" w:hAnsi="Calibri" w:cs="Times New Roman"/>
      <w:b/>
      <w:bCs/>
      <w:i/>
      <w:iCs/>
      <w:sz w:val="26"/>
      <w:szCs w:val="26"/>
      <w:lang w:val="en-US"/>
    </w:rPr>
  </w:style>
  <w:style w:type="character" w:customStyle="1" w:styleId="Ttulo6Car">
    <w:name w:val="Título 6 Car"/>
    <w:basedOn w:val="Fuentedeprrafopredeter"/>
    <w:link w:val="Ttulo6"/>
    <w:rsid w:val="00F80BB6"/>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rsid w:val="00F80BB6"/>
    <w:rPr>
      <w:rFonts w:ascii="Calibri" w:eastAsia="Times New Roman" w:hAnsi="Calibri" w:cs="Times New Roman"/>
      <w:sz w:val="24"/>
      <w:szCs w:val="24"/>
      <w:lang w:val="en-US"/>
    </w:rPr>
  </w:style>
  <w:style w:type="character" w:customStyle="1" w:styleId="Ttulo8Car">
    <w:name w:val="Título 8 Car"/>
    <w:basedOn w:val="Fuentedeprrafopredeter"/>
    <w:link w:val="Ttulo8"/>
    <w:uiPriority w:val="9"/>
    <w:semiHidden/>
    <w:rsid w:val="00F80BB6"/>
    <w:rPr>
      <w:rFonts w:ascii="Calibri" w:eastAsia="Times New Roman" w:hAnsi="Calibri" w:cs="Times New Roman"/>
      <w:i/>
      <w:iCs/>
      <w:sz w:val="24"/>
      <w:szCs w:val="24"/>
      <w:lang w:val="en-US"/>
    </w:rPr>
  </w:style>
  <w:style w:type="character" w:customStyle="1" w:styleId="Ttulo9Car">
    <w:name w:val="Título 9 Car"/>
    <w:basedOn w:val="Fuentedeprrafopredeter"/>
    <w:link w:val="Ttulo9"/>
    <w:uiPriority w:val="9"/>
    <w:semiHidden/>
    <w:rsid w:val="00F80BB6"/>
    <w:rPr>
      <w:rFonts w:ascii="Cambria" w:eastAsia="Times New Roman" w:hAnsi="Cambria" w:cs="Times New Roman"/>
      <w:lang w:val="en-US"/>
    </w:rPr>
  </w:style>
  <w:style w:type="paragraph" w:styleId="Encabezado">
    <w:name w:val="header"/>
    <w:aliases w:val="encabezado"/>
    <w:basedOn w:val="Normal"/>
    <w:link w:val="EncabezadoCar"/>
    <w:uiPriority w:val="99"/>
    <w:unhideWhenUsed/>
    <w:rsid w:val="00563A13"/>
    <w:pPr>
      <w:tabs>
        <w:tab w:val="center" w:pos="4419"/>
        <w:tab w:val="right" w:pos="8838"/>
      </w:tabs>
    </w:pPr>
  </w:style>
  <w:style w:type="character" w:customStyle="1" w:styleId="EncabezadoCar">
    <w:name w:val="Encabezado Car"/>
    <w:aliases w:val="encabezado Car"/>
    <w:basedOn w:val="Fuentedeprrafopredeter"/>
    <w:link w:val="Encabezado"/>
    <w:uiPriority w:val="99"/>
    <w:rsid w:val="00563A13"/>
    <w:rPr>
      <w:rFonts w:ascii="Arial" w:eastAsiaTheme="minorEastAsia" w:hAnsi="Arial" w:cs="Arial"/>
      <w:sz w:val="24"/>
      <w:szCs w:val="24"/>
      <w:lang w:val="es-ES"/>
    </w:rPr>
  </w:style>
  <w:style w:type="paragraph" w:styleId="Piedepgina">
    <w:name w:val="footer"/>
    <w:basedOn w:val="Normal"/>
    <w:link w:val="PiedepginaCar"/>
    <w:uiPriority w:val="99"/>
    <w:unhideWhenUsed/>
    <w:rsid w:val="00563A13"/>
    <w:pPr>
      <w:tabs>
        <w:tab w:val="center" w:pos="4419"/>
        <w:tab w:val="right" w:pos="8838"/>
      </w:tabs>
    </w:pPr>
  </w:style>
  <w:style w:type="character" w:customStyle="1" w:styleId="PiedepginaCar">
    <w:name w:val="Pie de página Car"/>
    <w:basedOn w:val="Fuentedeprrafopredeter"/>
    <w:link w:val="Piedepgina"/>
    <w:uiPriority w:val="99"/>
    <w:rsid w:val="00563A13"/>
    <w:rPr>
      <w:rFonts w:ascii="Arial" w:eastAsiaTheme="minorEastAsia" w:hAnsi="Arial" w:cs="Arial"/>
      <w:sz w:val="24"/>
      <w:szCs w:val="24"/>
      <w:lang w:val="es-ES"/>
    </w:rPr>
  </w:style>
  <w:style w:type="paragraph" w:styleId="Textonotapie">
    <w:name w:val="footnote text"/>
    <w:aliases w:val="Geneva 9,Font: Geneva 9,Boston 10,f,Footnote Text Char Char Char Char Char Char,Footnote Text Char Char Char Char1,Footnote Text Char Char Char Char Char1,Footnote Text Char Char Char Char Char,Footnote Text Char Char C, Car Car Car,fn,Ca"/>
    <w:basedOn w:val="Normal"/>
    <w:link w:val="TextonotapieCar"/>
    <w:unhideWhenUsed/>
    <w:qFormat/>
    <w:rsid w:val="00563A13"/>
    <w:rPr>
      <w:sz w:val="20"/>
      <w:szCs w:val="20"/>
    </w:rPr>
  </w:style>
  <w:style w:type="character" w:customStyle="1" w:styleId="TextonotapieCar">
    <w:name w:val="Texto nota pie Car"/>
    <w:aliases w:val="Geneva 9 Car,Font: Geneva 9 Car,Boston 10 Car,f Car,Footnote Text Char Char Char Char Char Char Car,Footnote Text Char Char Char Char1 Car,Footnote Text Char Char Char Char Char1 Car,Footnote Text Char Char Char Char Char Car,fn Car"/>
    <w:basedOn w:val="Fuentedeprrafopredeter"/>
    <w:link w:val="Textonotapie"/>
    <w:rsid w:val="00563A13"/>
    <w:rPr>
      <w:rFonts w:ascii="Arial" w:eastAsiaTheme="minorEastAsia" w:hAnsi="Arial" w:cs="Arial"/>
      <w:sz w:val="20"/>
      <w:szCs w:val="20"/>
      <w:lang w:val="es-ES"/>
    </w:rPr>
  </w:style>
  <w:style w:type="character" w:styleId="Refdenotaalpie">
    <w:name w:val="footnote reference"/>
    <w:aliases w:val="16 Point,Superscript 6 Point,Referencia nota al pie,Título 3 Car Car Car,EN Footnote Reference,Times 10 Point,Exposant 3 Point,Footnote symbol,Footnote reference number,note TESI,stylish,SUPERS,number,no...,Footnote,sobrescrito,4_G"/>
    <w:basedOn w:val="Fuentedeprrafopredeter"/>
    <w:unhideWhenUsed/>
    <w:qFormat/>
    <w:rsid w:val="00563A13"/>
    <w:rPr>
      <w:vertAlign w:val="superscript"/>
    </w:rPr>
  </w:style>
  <w:style w:type="paragraph" w:styleId="Prrafodelista">
    <w:name w:val="List Paragraph"/>
    <w:basedOn w:val="Normal"/>
    <w:uiPriority w:val="34"/>
    <w:qFormat/>
    <w:rsid w:val="00563A13"/>
    <w:pPr>
      <w:ind w:left="720"/>
      <w:contextualSpacing/>
    </w:pPr>
  </w:style>
  <w:style w:type="paragraph" w:styleId="TtuloTDC">
    <w:name w:val="TOC Heading"/>
    <w:basedOn w:val="Ttulo1"/>
    <w:next w:val="Normal"/>
    <w:uiPriority w:val="39"/>
    <w:unhideWhenUsed/>
    <w:qFormat/>
    <w:rsid w:val="00563A13"/>
    <w:pPr>
      <w:widowControl/>
      <w:autoSpaceDE/>
      <w:autoSpaceDN/>
      <w:adjustRightInd/>
      <w:spacing w:line="276" w:lineRule="auto"/>
      <w:outlineLvl w:val="9"/>
    </w:pPr>
  </w:style>
  <w:style w:type="paragraph" w:styleId="TDC1">
    <w:name w:val="toc 1"/>
    <w:basedOn w:val="Normal"/>
    <w:next w:val="Normal"/>
    <w:autoRedefine/>
    <w:uiPriority w:val="39"/>
    <w:unhideWhenUsed/>
    <w:rsid w:val="001E59C2"/>
    <w:pPr>
      <w:spacing w:before="120" w:after="240"/>
    </w:pPr>
    <w:rPr>
      <w:rFonts w:ascii="Palatino Linotype" w:hAnsi="Palatino Linotype"/>
      <w:b/>
      <w:bCs/>
      <w:sz w:val="22"/>
      <w:szCs w:val="22"/>
    </w:rPr>
  </w:style>
  <w:style w:type="paragraph" w:styleId="TDC2">
    <w:name w:val="toc 2"/>
    <w:basedOn w:val="Normal"/>
    <w:next w:val="Normal"/>
    <w:autoRedefine/>
    <w:uiPriority w:val="39"/>
    <w:unhideWhenUsed/>
    <w:rsid w:val="00563A13"/>
    <w:pPr>
      <w:spacing w:after="100"/>
      <w:ind w:left="240"/>
    </w:pPr>
  </w:style>
  <w:style w:type="paragraph" w:styleId="TDC3">
    <w:name w:val="toc 3"/>
    <w:basedOn w:val="Normal"/>
    <w:next w:val="Normal"/>
    <w:autoRedefine/>
    <w:uiPriority w:val="39"/>
    <w:unhideWhenUsed/>
    <w:rsid w:val="00563A13"/>
    <w:pPr>
      <w:spacing w:after="100"/>
      <w:ind w:left="480"/>
    </w:pPr>
  </w:style>
  <w:style w:type="character" w:styleId="Hipervnculo">
    <w:name w:val="Hyperlink"/>
    <w:basedOn w:val="Fuentedeprrafopredeter"/>
    <w:uiPriority w:val="99"/>
    <w:unhideWhenUsed/>
    <w:rsid w:val="00563A13"/>
    <w:rPr>
      <w:color w:val="0563C1" w:themeColor="hyperlink"/>
      <w:u w:val="single"/>
    </w:rPr>
  </w:style>
  <w:style w:type="paragraph" w:customStyle="1" w:styleId="BodyText21">
    <w:name w:val="Body Text 21"/>
    <w:basedOn w:val="Normal"/>
    <w:rsid w:val="00563A13"/>
    <w:pPr>
      <w:widowControl/>
      <w:overflowPunct w:val="0"/>
      <w:jc w:val="both"/>
    </w:pPr>
    <w:rPr>
      <w:rFonts w:ascii="Times New Roman" w:eastAsia="Times New Roman" w:hAnsi="Times New Roman" w:cs="Times New Roman"/>
      <w:szCs w:val="20"/>
      <w:lang w:val="es-ES_tradnl" w:eastAsia="es-ES"/>
    </w:rPr>
  </w:style>
  <w:style w:type="paragraph" w:styleId="NormalWeb">
    <w:name w:val="Normal (Web)"/>
    <w:basedOn w:val="Normal"/>
    <w:link w:val="NormalWebCar"/>
    <w:unhideWhenUsed/>
    <w:rsid w:val="00563A13"/>
    <w:pPr>
      <w:widowControl/>
      <w:autoSpaceDE/>
      <w:autoSpaceDN/>
      <w:adjustRightInd/>
      <w:spacing w:before="100" w:beforeAutospacing="1" w:after="100" w:afterAutospacing="1"/>
    </w:pPr>
    <w:rPr>
      <w:rFonts w:ascii="Times New Roman" w:eastAsia="Times New Roman" w:hAnsi="Times New Roman" w:cs="Times New Roman"/>
      <w:lang w:val="es-CR" w:eastAsia="es-CR"/>
    </w:rPr>
  </w:style>
  <w:style w:type="character" w:customStyle="1" w:styleId="NormalWebCar">
    <w:name w:val="Normal (Web) Car"/>
    <w:link w:val="NormalWeb"/>
    <w:rsid w:val="00F80BB6"/>
    <w:rPr>
      <w:rFonts w:ascii="Times New Roman" w:eastAsia="Times New Roman" w:hAnsi="Times New Roman" w:cs="Times New Roman"/>
      <w:sz w:val="24"/>
      <w:szCs w:val="24"/>
      <w:lang w:eastAsia="es-CR"/>
    </w:rPr>
  </w:style>
  <w:style w:type="character" w:styleId="nfasis">
    <w:name w:val="Emphasis"/>
    <w:basedOn w:val="Fuentedeprrafopredeter"/>
    <w:qFormat/>
    <w:rsid w:val="00563A13"/>
    <w:rPr>
      <w:b/>
      <w:bCs/>
      <w:i w:val="0"/>
      <w:iCs w:val="0"/>
    </w:rPr>
  </w:style>
  <w:style w:type="paragraph" w:styleId="HTMLconformatoprevio">
    <w:name w:val="HTML Preformatted"/>
    <w:basedOn w:val="Normal"/>
    <w:link w:val="HTMLconformatoprevioCar"/>
    <w:unhideWhenUsed/>
    <w:rsid w:val="00563A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val="es-CR" w:eastAsia="es-CR"/>
    </w:rPr>
  </w:style>
  <w:style w:type="character" w:customStyle="1" w:styleId="HTMLconformatoprevioCar">
    <w:name w:val="HTML con formato previo Car"/>
    <w:basedOn w:val="Fuentedeprrafopredeter"/>
    <w:link w:val="HTMLconformatoprevio"/>
    <w:uiPriority w:val="99"/>
    <w:rsid w:val="00563A13"/>
    <w:rPr>
      <w:rFonts w:ascii="Courier New" w:eastAsia="Times New Roman" w:hAnsi="Courier New" w:cs="Courier New"/>
      <w:sz w:val="20"/>
      <w:szCs w:val="20"/>
      <w:lang w:eastAsia="es-CR"/>
    </w:rPr>
  </w:style>
  <w:style w:type="paragraph" w:customStyle="1" w:styleId="Default">
    <w:name w:val="Default"/>
    <w:uiPriority w:val="99"/>
    <w:rsid w:val="00563A13"/>
    <w:pPr>
      <w:autoSpaceDE w:val="0"/>
      <w:autoSpaceDN w:val="0"/>
      <w:adjustRightInd w:val="0"/>
    </w:pPr>
    <w:rPr>
      <w:rFonts w:ascii="Arial" w:hAnsi="Arial" w:cs="Arial"/>
      <w:color w:val="000000"/>
      <w:sz w:val="24"/>
      <w:szCs w:val="24"/>
    </w:rPr>
  </w:style>
  <w:style w:type="paragraph" w:customStyle="1" w:styleId="Predeterminado">
    <w:name w:val="Predeterminado"/>
    <w:rsid w:val="00563A13"/>
    <w:pPr>
      <w:tabs>
        <w:tab w:val="left" w:pos="708"/>
      </w:tabs>
      <w:suppressAutoHyphens/>
      <w:spacing w:after="200" w:line="276" w:lineRule="auto"/>
    </w:pPr>
    <w:rPr>
      <w:rFonts w:ascii="Times New Roman" w:eastAsia="SimSun" w:hAnsi="Times New Roman" w:cs="Mangal"/>
      <w:color w:val="00000A"/>
      <w:sz w:val="24"/>
      <w:szCs w:val="24"/>
      <w:lang w:eastAsia="zh-CN" w:bidi="hi-IN"/>
    </w:rPr>
  </w:style>
  <w:style w:type="paragraph" w:styleId="Sangradetextonormal">
    <w:name w:val="Body Text Indent"/>
    <w:basedOn w:val="Normal"/>
    <w:link w:val="SangradetextonormalCar"/>
    <w:semiHidden/>
    <w:unhideWhenUsed/>
    <w:rsid w:val="00563A13"/>
    <w:pPr>
      <w:widowControl/>
      <w:autoSpaceDE/>
      <w:autoSpaceDN/>
      <w:adjustRightInd/>
      <w:spacing w:before="100" w:beforeAutospacing="1" w:after="100" w:afterAutospacing="1"/>
    </w:pPr>
    <w:rPr>
      <w:rFonts w:ascii="Times New Roman" w:eastAsia="Times New Roman" w:hAnsi="Times New Roman" w:cs="Times New Roman"/>
      <w:lang w:val="es-ES_tradnl" w:eastAsia="es-ES_tradnl"/>
    </w:rPr>
  </w:style>
  <w:style w:type="character" w:customStyle="1" w:styleId="SangradetextonormalCar">
    <w:name w:val="Sangría de texto normal Car"/>
    <w:basedOn w:val="Fuentedeprrafopredeter"/>
    <w:link w:val="Sangradetextonormal"/>
    <w:semiHidden/>
    <w:rsid w:val="00563A13"/>
    <w:rPr>
      <w:rFonts w:ascii="Times New Roman" w:eastAsia="Times New Roman" w:hAnsi="Times New Roman" w:cs="Times New Roman"/>
      <w:sz w:val="24"/>
      <w:szCs w:val="24"/>
      <w:lang w:val="es-ES_tradnl" w:eastAsia="es-ES_tradnl"/>
    </w:rPr>
  </w:style>
  <w:style w:type="paragraph" w:styleId="Bibliografa">
    <w:name w:val="Bibliography"/>
    <w:basedOn w:val="Normal"/>
    <w:next w:val="Normal"/>
    <w:uiPriority w:val="37"/>
    <w:semiHidden/>
    <w:unhideWhenUsed/>
    <w:rsid w:val="00F80BB6"/>
  </w:style>
  <w:style w:type="paragraph" w:styleId="Textoindependiente">
    <w:name w:val="Body Text"/>
    <w:basedOn w:val="Normal"/>
    <w:link w:val="TextoindependienteCar"/>
    <w:unhideWhenUsed/>
    <w:rsid w:val="00F80BB6"/>
    <w:pPr>
      <w:spacing w:after="120"/>
    </w:pPr>
  </w:style>
  <w:style w:type="character" w:customStyle="1" w:styleId="TextoindependienteCar">
    <w:name w:val="Texto independiente Car"/>
    <w:basedOn w:val="Fuentedeprrafopredeter"/>
    <w:link w:val="Textoindependiente"/>
    <w:uiPriority w:val="99"/>
    <w:rsid w:val="00F80BB6"/>
    <w:rPr>
      <w:rFonts w:ascii="Arial" w:eastAsiaTheme="minorEastAsia" w:hAnsi="Arial" w:cs="Arial"/>
      <w:sz w:val="24"/>
      <w:szCs w:val="24"/>
      <w:lang w:val="es-ES"/>
    </w:rPr>
  </w:style>
  <w:style w:type="paragraph" w:styleId="Sangranormal">
    <w:name w:val="Normal Indent"/>
    <w:basedOn w:val="Normal"/>
    <w:semiHidden/>
    <w:rsid w:val="00F80BB6"/>
    <w:pPr>
      <w:autoSpaceDE/>
      <w:autoSpaceDN/>
      <w:adjustRightInd/>
      <w:spacing w:line="480" w:lineRule="auto"/>
      <w:ind w:firstLine="567"/>
      <w:jc w:val="both"/>
    </w:pPr>
    <w:rPr>
      <w:rFonts w:ascii="Roman 10cpi" w:eastAsia="Times New Roman" w:hAnsi="Roman 10cpi" w:cs="Times New Roman"/>
      <w:sz w:val="20"/>
      <w:szCs w:val="20"/>
      <w:lang w:val="es-ES_tradnl" w:eastAsia="es-CR"/>
    </w:rPr>
  </w:style>
  <w:style w:type="paragraph" w:customStyle="1" w:styleId="Textodenotaalpie">
    <w:name w:val="Texto de nota al pie"/>
    <w:basedOn w:val="Normal"/>
    <w:rsid w:val="00F80BB6"/>
    <w:pPr>
      <w:autoSpaceDE/>
      <w:autoSpaceDN/>
      <w:adjustRightInd/>
    </w:pPr>
    <w:rPr>
      <w:rFonts w:ascii="Lucida Sans Typewriter" w:eastAsia="Times New Roman" w:hAnsi="Lucida Sans Typewriter" w:cs="Times New Roman"/>
      <w:szCs w:val="20"/>
      <w:lang w:eastAsia="es-CR"/>
    </w:rPr>
  </w:style>
  <w:style w:type="paragraph" w:customStyle="1" w:styleId="Pa2">
    <w:name w:val="Pa2"/>
    <w:next w:val="Normal"/>
    <w:uiPriority w:val="99"/>
    <w:rsid w:val="00F80BB6"/>
    <w:pPr>
      <w:widowControl w:val="0"/>
      <w:autoSpaceDE w:val="0"/>
      <w:autoSpaceDN w:val="0"/>
      <w:adjustRightInd w:val="0"/>
      <w:spacing w:line="221" w:lineRule="atLeast"/>
    </w:pPr>
    <w:rPr>
      <w:rFonts w:ascii="Arial" w:eastAsiaTheme="minorEastAsia" w:hAnsi="Arial" w:cs="Arial"/>
      <w:sz w:val="24"/>
      <w:szCs w:val="24"/>
      <w:lang w:val="es-ES" w:eastAsia="es-CR"/>
    </w:rPr>
  </w:style>
  <w:style w:type="character" w:customStyle="1" w:styleId="A3">
    <w:name w:val="A3"/>
    <w:uiPriority w:val="99"/>
    <w:rsid w:val="00F80BB6"/>
    <w:rPr>
      <w:color w:val="000000"/>
      <w:sz w:val="12"/>
    </w:rPr>
  </w:style>
  <w:style w:type="paragraph" w:styleId="Sinespaciado">
    <w:name w:val="No Spacing"/>
    <w:aliases w:val="NOTAS,Nota al pie"/>
    <w:uiPriority w:val="99"/>
    <w:qFormat/>
    <w:rsid w:val="00F80BB6"/>
  </w:style>
  <w:style w:type="character" w:styleId="Textoennegrita">
    <w:name w:val="Strong"/>
    <w:basedOn w:val="Fuentedeprrafopredeter"/>
    <w:uiPriority w:val="22"/>
    <w:qFormat/>
    <w:rsid w:val="00F80BB6"/>
    <w:rPr>
      <w:b/>
      <w:bCs/>
    </w:rPr>
  </w:style>
  <w:style w:type="character" w:customStyle="1" w:styleId="apple-converted-space">
    <w:name w:val="apple-converted-space"/>
    <w:basedOn w:val="Fuentedeprrafopredeter"/>
    <w:rsid w:val="00F80BB6"/>
  </w:style>
  <w:style w:type="character" w:customStyle="1" w:styleId="textexposedshow">
    <w:name w:val="text_exposed_show"/>
    <w:basedOn w:val="Fuentedeprrafopredeter"/>
    <w:rsid w:val="00F80BB6"/>
  </w:style>
  <w:style w:type="paragraph" w:customStyle="1" w:styleId="WW-Textoindependiente21">
    <w:name w:val="WW-Texto independiente 21"/>
    <w:basedOn w:val="Normal"/>
    <w:rsid w:val="00F80BB6"/>
    <w:pPr>
      <w:widowControl/>
      <w:overflowPunct w:val="0"/>
      <w:spacing w:line="480" w:lineRule="auto"/>
      <w:jc w:val="both"/>
      <w:textAlignment w:val="baseline"/>
    </w:pPr>
    <w:rPr>
      <w:rFonts w:eastAsia="Times New Roman" w:cs="Times New Roman"/>
      <w:color w:val="000000"/>
      <w:szCs w:val="20"/>
      <w:lang w:eastAsia="es-ES"/>
    </w:rPr>
  </w:style>
  <w:style w:type="paragraph" w:styleId="Textoindependiente3">
    <w:name w:val="Body Text 3"/>
    <w:basedOn w:val="Normal"/>
    <w:link w:val="Textoindependiente3Car"/>
    <w:semiHidden/>
    <w:rsid w:val="00F80BB6"/>
    <w:pPr>
      <w:widowControl/>
      <w:autoSpaceDE/>
      <w:autoSpaceDN/>
      <w:adjustRightInd/>
      <w:spacing w:line="360" w:lineRule="auto"/>
      <w:jc w:val="both"/>
    </w:pPr>
    <w:rPr>
      <w:rFonts w:ascii="Century Schoolbook" w:eastAsia="Times New Roman" w:hAnsi="Century Schoolbook" w:cs="Times New Roman"/>
      <w:sz w:val="28"/>
      <w:szCs w:val="20"/>
      <w:lang w:val="es-ES_tradnl" w:eastAsia="es-ES"/>
    </w:rPr>
  </w:style>
  <w:style w:type="character" w:customStyle="1" w:styleId="Textoindependiente3Car">
    <w:name w:val="Texto independiente 3 Car"/>
    <w:basedOn w:val="Fuentedeprrafopredeter"/>
    <w:link w:val="Textoindependiente3"/>
    <w:semiHidden/>
    <w:rsid w:val="00F80BB6"/>
    <w:rPr>
      <w:rFonts w:ascii="Century Schoolbook" w:eastAsia="Times New Roman" w:hAnsi="Century Schoolbook" w:cs="Times New Roman"/>
      <w:sz w:val="28"/>
      <w:szCs w:val="20"/>
      <w:lang w:val="es-ES_tradnl" w:eastAsia="es-ES"/>
    </w:rPr>
  </w:style>
  <w:style w:type="character" w:customStyle="1" w:styleId="Sangra3detindependienteCar">
    <w:name w:val="Sangría 3 de t. independiente Car"/>
    <w:basedOn w:val="Fuentedeprrafopredeter"/>
    <w:link w:val="Sangra3detindependiente"/>
    <w:uiPriority w:val="99"/>
    <w:semiHidden/>
    <w:rsid w:val="00F80BB6"/>
    <w:rPr>
      <w:sz w:val="16"/>
      <w:szCs w:val="16"/>
    </w:rPr>
  </w:style>
  <w:style w:type="paragraph" w:styleId="Sangra3detindependiente">
    <w:name w:val="Body Text Indent 3"/>
    <w:basedOn w:val="Normal"/>
    <w:link w:val="Sangra3detindependienteCar"/>
    <w:semiHidden/>
    <w:unhideWhenUsed/>
    <w:rsid w:val="00F80BB6"/>
    <w:pPr>
      <w:widowControl/>
      <w:autoSpaceDE/>
      <w:autoSpaceDN/>
      <w:adjustRightInd/>
      <w:spacing w:after="120" w:line="276" w:lineRule="auto"/>
      <w:ind w:left="283"/>
    </w:pPr>
    <w:rPr>
      <w:rFonts w:asciiTheme="minorHAnsi" w:eastAsiaTheme="minorHAnsi" w:hAnsiTheme="minorHAnsi" w:cstheme="minorBidi"/>
      <w:sz w:val="16"/>
      <w:szCs w:val="16"/>
      <w:lang w:val="es-CR"/>
    </w:rPr>
  </w:style>
  <w:style w:type="paragraph" w:styleId="Textoindependiente2">
    <w:name w:val="Body Text 2"/>
    <w:basedOn w:val="Normal"/>
    <w:link w:val="Textoindependiente2Car"/>
    <w:uiPriority w:val="99"/>
    <w:semiHidden/>
    <w:unhideWhenUsed/>
    <w:rsid w:val="00F80BB6"/>
    <w:pPr>
      <w:widowControl/>
      <w:autoSpaceDE/>
      <w:autoSpaceDN/>
      <w:adjustRightInd/>
      <w:spacing w:after="120" w:line="480" w:lineRule="auto"/>
    </w:pPr>
    <w:rPr>
      <w:rFonts w:asciiTheme="minorHAnsi" w:eastAsiaTheme="minorHAnsi" w:hAnsiTheme="minorHAnsi" w:cstheme="minorBidi"/>
      <w:sz w:val="22"/>
      <w:szCs w:val="22"/>
      <w:lang w:val="es-CR"/>
    </w:rPr>
  </w:style>
  <w:style w:type="character" w:customStyle="1" w:styleId="Textoindependiente2Car">
    <w:name w:val="Texto independiente 2 Car"/>
    <w:basedOn w:val="Fuentedeprrafopredeter"/>
    <w:link w:val="Textoindependiente2"/>
    <w:uiPriority w:val="99"/>
    <w:semiHidden/>
    <w:rsid w:val="00F80BB6"/>
  </w:style>
  <w:style w:type="character" w:customStyle="1" w:styleId="Sangra2detindependienteCar">
    <w:name w:val="Sangría 2 de t. independiente Car"/>
    <w:basedOn w:val="Fuentedeprrafopredeter"/>
    <w:link w:val="Sangra2detindependiente"/>
    <w:uiPriority w:val="99"/>
    <w:semiHidden/>
    <w:rsid w:val="00F80BB6"/>
  </w:style>
  <w:style w:type="paragraph" w:styleId="Sangra2detindependiente">
    <w:name w:val="Body Text Indent 2"/>
    <w:basedOn w:val="Normal"/>
    <w:link w:val="Sangra2detindependienteCar"/>
    <w:semiHidden/>
    <w:unhideWhenUsed/>
    <w:rsid w:val="00F80BB6"/>
    <w:pPr>
      <w:widowControl/>
      <w:autoSpaceDE/>
      <w:autoSpaceDN/>
      <w:adjustRightInd/>
      <w:spacing w:after="120" w:line="480" w:lineRule="auto"/>
      <w:ind w:left="283"/>
    </w:pPr>
    <w:rPr>
      <w:rFonts w:asciiTheme="minorHAnsi" w:eastAsiaTheme="minorHAnsi" w:hAnsiTheme="minorHAnsi" w:cstheme="minorBidi"/>
      <w:sz w:val="22"/>
      <w:szCs w:val="22"/>
      <w:lang w:val="es-CR"/>
    </w:rPr>
  </w:style>
  <w:style w:type="paragraph" w:customStyle="1" w:styleId="Textoindependiente21">
    <w:name w:val="Texto independiente 21"/>
    <w:basedOn w:val="Normal"/>
    <w:rsid w:val="00F80BB6"/>
    <w:pPr>
      <w:widowControl/>
      <w:overflowPunct w:val="0"/>
      <w:ind w:left="850"/>
      <w:jc w:val="both"/>
      <w:textAlignment w:val="baseline"/>
    </w:pPr>
    <w:rPr>
      <w:rFonts w:eastAsia="Times New Roman" w:cs="Times New Roman"/>
      <w:szCs w:val="20"/>
      <w:lang w:val="es-MX" w:eastAsia="es-ES"/>
    </w:rPr>
  </w:style>
  <w:style w:type="character" w:customStyle="1" w:styleId="TextocomentarioCar">
    <w:name w:val="Texto comentario Car"/>
    <w:basedOn w:val="Fuentedeprrafopredeter"/>
    <w:link w:val="Textocomentario"/>
    <w:uiPriority w:val="99"/>
    <w:semiHidden/>
    <w:rsid w:val="00F80BB6"/>
    <w:rPr>
      <w:noProof/>
      <w:sz w:val="20"/>
      <w:szCs w:val="20"/>
    </w:rPr>
  </w:style>
  <w:style w:type="paragraph" w:styleId="Textocomentario">
    <w:name w:val="annotation text"/>
    <w:basedOn w:val="Normal"/>
    <w:link w:val="TextocomentarioCar"/>
    <w:uiPriority w:val="99"/>
    <w:semiHidden/>
    <w:unhideWhenUsed/>
    <w:rsid w:val="00F80BB6"/>
    <w:pPr>
      <w:widowControl/>
      <w:autoSpaceDE/>
      <w:autoSpaceDN/>
      <w:adjustRightInd/>
      <w:spacing w:after="160"/>
    </w:pPr>
    <w:rPr>
      <w:rFonts w:asciiTheme="minorHAnsi" w:eastAsiaTheme="minorHAnsi" w:hAnsiTheme="minorHAnsi" w:cstheme="minorBidi"/>
      <w:noProof/>
      <w:sz w:val="20"/>
      <w:szCs w:val="20"/>
      <w:lang w:val="es-CR"/>
    </w:rPr>
  </w:style>
  <w:style w:type="character" w:customStyle="1" w:styleId="AsuntodelcomentarioCar">
    <w:name w:val="Asunto del comentario Car"/>
    <w:basedOn w:val="TextocomentarioCar"/>
    <w:link w:val="Asuntodelcomentario"/>
    <w:uiPriority w:val="99"/>
    <w:semiHidden/>
    <w:rsid w:val="00F80BB6"/>
    <w:rPr>
      <w:b/>
      <w:bCs/>
      <w:noProof/>
      <w:sz w:val="20"/>
      <w:szCs w:val="20"/>
    </w:rPr>
  </w:style>
  <w:style w:type="paragraph" w:styleId="Asuntodelcomentario">
    <w:name w:val="annotation subject"/>
    <w:basedOn w:val="Textocomentario"/>
    <w:next w:val="Textocomentario"/>
    <w:link w:val="AsuntodelcomentarioCar"/>
    <w:uiPriority w:val="99"/>
    <w:semiHidden/>
    <w:unhideWhenUsed/>
    <w:rsid w:val="00F80BB6"/>
    <w:rPr>
      <w:b/>
      <w:bCs/>
    </w:rPr>
  </w:style>
  <w:style w:type="character" w:customStyle="1" w:styleId="TextodegloboCar">
    <w:name w:val="Texto de globo Car"/>
    <w:basedOn w:val="Fuentedeprrafopredeter"/>
    <w:link w:val="Textodeglobo"/>
    <w:uiPriority w:val="99"/>
    <w:semiHidden/>
    <w:rsid w:val="00F80BB6"/>
    <w:rPr>
      <w:rFonts w:ascii="Segoe UI" w:hAnsi="Segoe UI" w:cs="Segoe UI"/>
      <w:noProof/>
      <w:sz w:val="18"/>
      <w:szCs w:val="18"/>
    </w:rPr>
  </w:style>
  <w:style w:type="paragraph" w:styleId="Textodeglobo">
    <w:name w:val="Balloon Text"/>
    <w:basedOn w:val="Normal"/>
    <w:link w:val="TextodegloboCar"/>
    <w:uiPriority w:val="99"/>
    <w:semiHidden/>
    <w:unhideWhenUsed/>
    <w:rsid w:val="00F80BB6"/>
    <w:pPr>
      <w:widowControl/>
      <w:autoSpaceDE/>
      <w:autoSpaceDN/>
      <w:adjustRightInd/>
    </w:pPr>
    <w:rPr>
      <w:rFonts w:ascii="Segoe UI" w:eastAsiaTheme="minorHAnsi" w:hAnsi="Segoe UI" w:cs="Segoe UI"/>
      <w:noProof/>
      <w:sz w:val="18"/>
      <w:szCs w:val="18"/>
      <w:lang w:val="es-CR"/>
    </w:rPr>
  </w:style>
  <w:style w:type="character" w:customStyle="1" w:styleId="spelle">
    <w:name w:val="spelle"/>
    <w:basedOn w:val="Fuentedeprrafopredeter"/>
    <w:rsid w:val="00F80BB6"/>
  </w:style>
  <w:style w:type="character" w:customStyle="1" w:styleId="grame">
    <w:name w:val="grame"/>
    <w:basedOn w:val="Fuentedeprrafopredeter"/>
    <w:rsid w:val="00F80BB6"/>
  </w:style>
  <w:style w:type="table" w:styleId="Tablaconcuadrcula">
    <w:name w:val="Table Grid"/>
    <w:basedOn w:val="Tablanormal"/>
    <w:uiPriority w:val="59"/>
    <w:rsid w:val="00F80BB6"/>
    <w:pPr>
      <w:spacing w:after="200" w:line="276" w:lineRule="auto"/>
    </w:pPr>
    <w:rPr>
      <w:rFonts w:ascii="Palatino Linotype" w:eastAsiaTheme="minorEastAsia" w:hAnsi="Palatino Linotype"/>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Textoindependiente"/>
    <w:rsid w:val="00F80BB6"/>
    <w:pPr>
      <w:widowControl/>
      <w:suppressAutoHyphens/>
      <w:autoSpaceDE/>
      <w:autoSpaceDN/>
      <w:adjustRightInd/>
    </w:pPr>
    <w:rPr>
      <w:rFonts w:eastAsia="Times New Roman"/>
      <w:sz w:val="18"/>
      <w:szCs w:val="18"/>
      <w:lang w:eastAsia="ar-SA"/>
    </w:rPr>
  </w:style>
  <w:style w:type="paragraph" w:styleId="Textosinformato">
    <w:name w:val="Plain Text"/>
    <w:basedOn w:val="Normal"/>
    <w:link w:val="TextosinformatoCar"/>
    <w:rsid w:val="00F80BB6"/>
    <w:pPr>
      <w:widowControl/>
      <w:autoSpaceDE/>
      <w:autoSpaceDN/>
      <w:adjustRightInd/>
    </w:pPr>
    <w:rPr>
      <w:rFonts w:ascii="Courier New" w:eastAsia="Times New Roman" w:hAnsi="Courier New" w:cs="Courier New"/>
      <w:sz w:val="20"/>
      <w:szCs w:val="20"/>
      <w:lang w:val="es-ES_tradnl" w:eastAsia="es-ES"/>
    </w:rPr>
  </w:style>
  <w:style w:type="character" w:customStyle="1" w:styleId="TextosinformatoCar">
    <w:name w:val="Texto sin formato Car"/>
    <w:basedOn w:val="Fuentedeprrafopredeter"/>
    <w:link w:val="Textosinformato"/>
    <w:rsid w:val="00F80BB6"/>
    <w:rPr>
      <w:rFonts w:ascii="Courier New" w:eastAsia="Times New Roman" w:hAnsi="Courier New" w:cs="Courier New"/>
      <w:sz w:val="20"/>
      <w:szCs w:val="20"/>
      <w:lang w:val="es-ES_tradnl" w:eastAsia="es-ES"/>
    </w:rPr>
  </w:style>
  <w:style w:type="paragraph" w:customStyle="1" w:styleId="t19">
    <w:name w:val="t19"/>
    <w:basedOn w:val="Normal"/>
    <w:uiPriority w:val="99"/>
    <w:rsid w:val="00817A22"/>
    <w:pPr>
      <w:widowControl/>
      <w:adjustRightInd/>
      <w:spacing w:line="260" w:lineRule="atLeast"/>
    </w:pPr>
    <w:rPr>
      <w:rFonts w:eastAsia="Times New Roman"/>
      <w:lang w:val="es-ES_tradnl" w:eastAsia="es-ES"/>
    </w:rPr>
  </w:style>
  <w:style w:type="character" w:customStyle="1" w:styleId="a">
    <w:name w:val="a"/>
    <w:basedOn w:val="Fuentedeprrafopredeter"/>
    <w:rsid w:val="004A2C43"/>
  </w:style>
  <w:style w:type="paragraph" w:customStyle="1" w:styleId="NoSpacing1">
    <w:name w:val="No Spacing1"/>
    <w:uiPriority w:val="99"/>
    <w:rsid w:val="00287336"/>
    <w:rPr>
      <w:rFonts w:ascii="Calibri" w:eastAsia="Times New Roman" w:hAnsi="Calibri" w:cs="Times New Roman"/>
      <w:lang w:val="es-MX"/>
    </w:rPr>
  </w:style>
  <w:style w:type="character" w:customStyle="1" w:styleId="Hipervnculo1">
    <w:name w:val="Hipervínculo1"/>
    <w:basedOn w:val="Fuentedeprrafopredeter"/>
    <w:uiPriority w:val="99"/>
    <w:unhideWhenUsed/>
    <w:rsid w:val="00287336"/>
    <w:rPr>
      <w:color w:val="0000FF"/>
      <w:u w:val="single"/>
    </w:rPr>
  </w:style>
  <w:style w:type="paragraph" w:customStyle="1" w:styleId="Sinespaciado1">
    <w:name w:val="Sin espaciado1"/>
    <w:rsid w:val="00287336"/>
    <w:rPr>
      <w:rFonts w:ascii="Calibri" w:eastAsia="Times New Roman" w:hAnsi="Calibri" w:cs="Times New Roman"/>
      <w:lang w:val="es-ES"/>
    </w:rPr>
  </w:style>
  <w:style w:type="character" w:styleId="Refdecomentario">
    <w:name w:val="annotation reference"/>
    <w:basedOn w:val="Fuentedeprrafopredeter"/>
    <w:uiPriority w:val="99"/>
    <w:semiHidden/>
    <w:unhideWhenUsed/>
    <w:rsid w:val="00287336"/>
    <w:rPr>
      <w:sz w:val="18"/>
      <w:szCs w:val="18"/>
    </w:rPr>
  </w:style>
  <w:style w:type="character" w:customStyle="1" w:styleId="apple-style-span">
    <w:name w:val="apple-style-span"/>
    <w:basedOn w:val="Fuentedeprrafopredeter"/>
    <w:rsid w:val="00213ECE"/>
  </w:style>
  <w:style w:type="character" w:customStyle="1" w:styleId="TextonotaalfinalCar">
    <w:name w:val="Texto nota al final Car"/>
    <w:basedOn w:val="Fuentedeprrafopredeter"/>
    <w:link w:val="Textonotaalfinal"/>
    <w:uiPriority w:val="99"/>
    <w:semiHidden/>
    <w:rsid w:val="00A22DC1"/>
    <w:rPr>
      <w:rFonts w:eastAsiaTheme="minorEastAsia"/>
      <w:sz w:val="20"/>
      <w:szCs w:val="20"/>
      <w:lang w:val="es-ES_tradnl" w:eastAsia="es-ES"/>
    </w:rPr>
  </w:style>
  <w:style w:type="paragraph" w:styleId="Textonotaalfinal">
    <w:name w:val="endnote text"/>
    <w:basedOn w:val="Normal"/>
    <w:link w:val="TextonotaalfinalCar"/>
    <w:uiPriority w:val="99"/>
    <w:semiHidden/>
    <w:unhideWhenUsed/>
    <w:rsid w:val="00A22DC1"/>
    <w:pPr>
      <w:widowControl/>
      <w:autoSpaceDE/>
      <w:autoSpaceDN/>
      <w:adjustRightInd/>
    </w:pPr>
    <w:rPr>
      <w:rFonts w:asciiTheme="minorHAnsi" w:hAnsiTheme="minorHAnsi" w:cstheme="minorBidi"/>
      <w:sz w:val="20"/>
      <w:szCs w:val="20"/>
      <w:lang w:val="es-ES_tradnl" w:eastAsia="es-ES"/>
    </w:rPr>
  </w:style>
  <w:style w:type="character" w:customStyle="1" w:styleId="f11">
    <w:name w:val="f11"/>
    <w:basedOn w:val="Fuentedeprrafopredeter"/>
    <w:rsid w:val="00E10347"/>
    <w:rPr>
      <w:rFonts w:ascii="Times New Roman" w:hAnsi="Times New Roman" w:cs="Times New Roman" w:hint="default"/>
      <w:color w:val="000000"/>
      <w:sz w:val="20"/>
      <w:szCs w:val="20"/>
    </w:rPr>
  </w:style>
  <w:style w:type="paragraph" w:styleId="Ttulo">
    <w:name w:val="Title"/>
    <w:basedOn w:val="Normal"/>
    <w:link w:val="TtuloCar"/>
    <w:qFormat/>
    <w:rsid w:val="00E10347"/>
    <w:pPr>
      <w:widowControl/>
      <w:autoSpaceDE/>
      <w:autoSpaceDN/>
      <w:adjustRightInd/>
      <w:jc w:val="center"/>
    </w:pPr>
    <w:rPr>
      <w:rFonts w:ascii="Atlantic Inline" w:eastAsia="Times New Roman" w:hAnsi="Atlantic Inline"/>
      <w:i/>
      <w:sz w:val="72"/>
      <w:szCs w:val="72"/>
      <w:lang w:val="es-ES_tradnl" w:eastAsia="es-ES"/>
    </w:rPr>
  </w:style>
  <w:style w:type="character" w:customStyle="1" w:styleId="TtuloCar">
    <w:name w:val="Título Car"/>
    <w:basedOn w:val="Fuentedeprrafopredeter"/>
    <w:link w:val="Ttulo"/>
    <w:rsid w:val="00E10347"/>
    <w:rPr>
      <w:rFonts w:ascii="Atlantic Inline" w:eastAsia="Times New Roman" w:hAnsi="Atlantic Inline" w:cs="Arial"/>
      <w:i/>
      <w:sz w:val="72"/>
      <w:szCs w:val="72"/>
      <w:lang w:val="es-ES_tradnl" w:eastAsia="es-ES"/>
    </w:rPr>
  </w:style>
  <w:style w:type="paragraph" w:customStyle="1" w:styleId="Estilo1">
    <w:name w:val="Estilo1"/>
    <w:basedOn w:val="Normal"/>
    <w:rsid w:val="00E10347"/>
    <w:pPr>
      <w:widowControl/>
      <w:autoSpaceDE/>
      <w:autoSpaceDN/>
      <w:adjustRightInd/>
      <w:spacing w:line="480" w:lineRule="auto"/>
      <w:jc w:val="both"/>
    </w:pPr>
    <w:rPr>
      <w:rFonts w:ascii="Times New Roman" w:eastAsia="Times New Roman" w:hAnsi="Times New Roman" w:cs="Times New Roman"/>
      <w:szCs w:val="20"/>
      <w:lang w:val="es-ES_tradnl" w:eastAsia="es-ES"/>
    </w:rPr>
  </w:style>
  <w:style w:type="paragraph" w:styleId="Saludo">
    <w:name w:val="Salutation"/>
    <w:basedOn w:val="Normal"/>
    <w:link w:val="SaludoCar"/>
    <w:semiHidden/>
    <w:rsid w:val="00E10347"/>
    <w:pPr>
      <w:widowControl/>
      <w:autoSpaceDE/>
      <w:autoSpaceDN/>
      <w:adjustRightInd/>
    </w:pPr>
    <w:rPr>
      <w:rFonts w:ascii="Times New Roman" w:eastAsia="Times New Roman" w:hAnsi="Times New Roman" w:cs="Times New Roman"/>
      <w:sz w:val="20"/>
      <w:szCs w:val="20"/>
      <w:lang w:val="es-ES_tradnl" w:eastAsia="es-ES"/>
    </w:rPr>
  </w:style>
  <w:style w:type="character" w:customStyle="1" w:styleId="SaludoCar">
    <w:name w:val="Saludo Car"/>
    <w:basedOn w:val="Fuentedeprrafopredeter"/>
    <w:link w:val="Saludo"/>
    <w:semiHidden/>
    <w:rsid w:val="00E10347"/>
    <w:rPr>
      <w:rFonts w:ascii="Times New Roman" w:eastAsia="Times New Roman" w:hAnsi="Times New Roman" w:cs="Times New Roman"/>
      <w:sz w:val="20"/>
      <w:szCs w:val="20"/>
      <w:lang w:val="es-ES_tradnl" w:eastAsia="es-ES"/>
    </w:rPr>
  </w:style>
  <w:style w:type="paragraph" w:styleId="TDC4">
    <w:name w:val="toc 4"/>
    <w:basedOn w:val="Normal"/>
    <w:next w:val="Normal"/>
    <w:autoRedefine/>
    <w:uiPriority w:val="39"/>
    <w:semiHidden/>
    <w:unhideWhenUsed/>
    <w:rsid w:val="007C015B"/>
    <w:pPr>
      <w:spacing w:after="100"/>
      <w:ind w:left="720"/>
    </w:pPr>
  </w:style>
  <w:style w:type="character" w:styleId="Mencionar">
    <w:name w:val="Mention"/>
    <w:basedOn w:val="Fuentedeprrafopredeter"/>
    <w:uiPriority w:val="99"/>
    <w:semiHidden/>
    <w:unhideWhenUsed/>
    <w:rsid w:val="00696B1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itorialfaro.com" TargetMode="Externa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yperlink" Target="https://es.wikipedia.org/wiki/Club_de_los_Cordeliers" TargetMode="External"/><Relationship Id="rId21" Type="http://schemas.openxmlformats.org/officeDocument/2006/relationships/hyperlink" Target="http://www2.lse.ac.uk/philosophy/about/lakatos/scienceAndPseudoscience.aspx" TargetMode="External"/><Relationship Id="rId34" Type="http://schemas.openxmlformats.org/officeDocument/2006/relationships/hyperlink" Target="https://es.wikipedia.org/wiki/Girondino" TargetMode="External"/><Relationship Id="rId42" Type="http://schemas.openxmlformats.org/officeDocument/2006/relationships/header" Target="header16.xml"/><Relationship Id="rId47" Type="http://schemas.openxmlformats.org/officeDocument/2006/relationships/header" Target="header19.xml"/><Relationship Id="rId50" Type="http://schemas.openxmlformats.org/officeDocument/2006/relationships/header" Target="header22.xml"/><Relationship Id="rId55" Type="http://schemas.openxmlformats.org/officeDocument/2006/relationships/header" Target="header27.xml"/><Relationship Id="rId63" Type="http://schemas.openxmlformats.org/officeDocument/2006/relationships/header" Target="header34.xml"/><Relationship Id="rId68" Type="http://schemas.openxmlformats.org/officeDocument/2006/relationships/header" Target="header38.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yperlink" Target="https://es.wikipedia.org/wiki/Honor%C3%A9_Gabriel_Riqueti" TargetMode="External"/><Relationship Id="rId37" Type="http://schemas.openxmlformats.org/officeDocument/2006/relationships/hyperlink" Target="https://es.wikipedia.org/wiki/Georges-Jacques_Danton" TargetMode="External"/><Relationship Id="rId40" Type="http://schemas.openxmlformats.org/officeDocument/2006/relationships/hyperlink" Target="https://es.wikipedia.org/wiki/Jean-Paul_Marat" TargetMode="External"/><Relationship Id="rId45" Type="http://schemas.openxmlformats.org/officeDocument/2006/relationships/header" Target="header17.xml"/><Relationship Id="rId53" Type="http://schemas.openxmlformats.org/officeDocument/2006/relationships/header" Target="header25.xml"/><Relationship Id="rId58" Type="http://schemas.openxmlformats.org/officeDocument/2006/relationships/header" Target="header29.xml"/><Relationship Id="rId66" Type="http://schemas.openxmlformats.org/officeDocument/2006/relationships/header" Target="header3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defendingscience.org/science-courts" TargetMode="External"/><Relationship Id="rId28" Type="http://schemas.openxmlformats.org/officeDocument/2006/relationships/header" Target="header11.xml"/><Relationship Id="rId36" Type="http://schemas.openxmlformats.org/officeDocument/2006/relationships/hyperlink" Target="https://es.wikipedia.org/wiki/Jacobino" TargetMode="External"/><Relationship Id="rId49" Type="http://schemas.openxmlformats.org/officeDocument/2006/relationships/header" Target="header21.xml"/><Relationship Id="rId57" Type="http://schemas.openxmlformats.org/officeDocument/2006/relationships/hyperlink" Target="http://www.oas.org/dil/esp/1969_Convenci%C3%B3n_Americana_sobre_Derechos_Humanos.pdf" TargetMode="External"/><Relationship Id="rId61" Type="http://schemas.openxmlformats.org/officeDocument/2006/relationships/header" Target="header3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4.xml"/><Relationship Id="rId44" Type="http://schemas.openxmlformats.org/officeDocument/2006/relationships/hyperlink" Target="http://www.indret.com" TargetMode="External"/><Relationship Id="rId52" Type="http://schemas.openxmlformats.org/officeDocument/2006/relationships/header" Target="header24.xml"/><Relationship Id="rId60" Type="http://schemas.openxmlformats.org/officeDocument/2006/relationships/header" Target="header31.xml"/><Relationship Id="rId65" Type="http://schemas.openxmlformats.org/officeDocument/2006/relationships/header" Target="header35.xml"/><Relationship Id="rId4" Type="http://schemas.openxmlformats.org/officeDocument/2006/relationships/settings" Target="settings.xml"/><Relationship Id="rId9" Type="http://schemas.openxmlformats.org/officeDocument/2006/relationships/hyperlink" Target="mailto:info@institutocdp.org" TargetMode="External"/><Relationship Id="rId14" Type="http://schemas.openxmlformats.org/officeDocument/2006/relationships/header" Target="header1.xml"/><Relationship Id="rId22" Type="http://schemas.openxmlformats.org/officeDocument/2006/relationships/hyperlink" Target="http://www.nap-edu/catalog/12589.html" TargetMode="Externa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yperlink" Target="https://es.wikipedia.org/wiki/Jacques_Pierre_Brissot" TargetMode="External"/><Relationship Id="rId43" Type="http://schemas.openxmlformats.org/officeDocument/2006/relationships/hyperlink" Target="http://www.upf.edu/dretcivil/_pdf/mat_fernando/T82008.pdf" TargetMode="External"/><Relationship Id="rId48" Type="http://schemas.openxmlformats.org/officeDocument/2006/relationships/header" Target="header20.xml"/><Relationship Id="rId56" Type="http://schemas.openxmlformats.org/officeDocument/2006/relationships/header" Target="header28.xml"/><Relationship Id="rId64" Type="http://schemas.openxmlformats.org/officeDocument/2006/relationships/image" Target="media/image1.png"/><Relationship Id="rId69" Type="http://schemas.openxmlformats.org/officeDocument/2006/relationships/header" Target="header39.xml"/><Relationship Id="rId8" Type="http://schemas.openxmlformats.org/officeDocument/2006/relationships/hyperlink" Target="http://www.institutocdp.org" TargetMode="External"/><Relationship Id="rId51" Type="http://schemas.openxmlformats.org/officeDocument/2006/relationships/header" Target="header2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yperlink" Target="https://es.wikipedia.org/wiki/La_Fayette" TargetMode="External"/><Relationship Id="rId38" Type="http://schemas.openxmlformats.org/officeDocument/2006/relationships/hyperlink" Target="https://es.wikipedia.org/wiki/Maximilien_Robespierre" TargetMode="External"/><Relationship Id="rId46" Type="http://schemas.openxmlformats.org/officeDocument/2006/relationships/header" Target="header18.xml"/><Relationship Id="rId59" Type="http://schemas.openxmlformats.org/officeDocument/2006/relationships/header" Target="header30.xml"/><Relationship Id="rId67" Type="http://schemas.openxmlformats.org/officeDocument/2006/relationships/header" Target="header37.xml"/><Relationship Id="rId20" Type="http://schemas.openxmlformats.org/officeDocument/2006/relationships/hyperlink" Target="http://papers.ssrn.com/sol3/papers.cfm?abstract_id=2141395" TargetMode="External"/><Relationship Id="rId41" Type="http://schemas.openxmlformats.org/officeDocument/2006/relationships/header" Target="header15.xml"/><Relationship Id="rId54" Type="http://schemas.openxmlformats.org/officeDocument/2006/relationships/header" Target="header26.xml"/><Relationship Id="rId62" Type="http://schemas.openxmlformats.org/officeDocument/2006/relationships/header" Target="header33.xm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mailto:herman.duarte@gmail.com" TargetMode="External"/><Relationship Id="rId13" Type="http://schemas.openxmlformats.org/officeDocument/2006/relationships/hyperlink" Target="https://webfiles.uci.edu/eloftus/Davis_Loftus_Misinformation_HandbookChapScan07.pdf?uniq=e418yu" TargetMode="External"/><Relationship Id="rId18" Type="http://schemas.openxmlformats.org/officeDocument/2006/relationships/image" Target="media/image2.png"/><Relationship Id="rId26" Type="http://schemas.openxmlformats.org/officeDocument/2006/relationships/hyperlink" Target="https://webfiles.uci.edu/eloftus/Laney_Loftus_EmotionalFalseMem_Memory08.pdf?uniq=-794hub" TargetMode="External"/><Relationship Id="rId3" Type="http://schemas.openxmlformats.org/officeDocument/2006/relationships/hyperlink" Target="http://www.upf.edu/dretcivil/_pdf/mat_fernando/T82008.pdf" TargetMode="External"/><Relationship Id="rId21" Type="http://schemas.openxmlformats.org/officeDocument/2006/relationships/hyperlink" Target="https://es.wikipedia.org/wiki/Corte_Suprema_de_los_Estados_Unidos" TargetMode="External"/><Relationship Id="rId34" Type="http://schemas.openxmlformats.org/officeDocument/2006/relationships/hyperlink" Target="https://agora.stanford.edu/sjls/images/pdf/engelhardt.pdf" TargetMode="External"/><Relationship Id="rId7" Type="http://schemas.openxmlformats.org/officeDocument/2006/relationships/hyperlink" Target="http://www.derechocomunitario.ucr.ac.cr" TargetMode="External"/><Relationship Id="rId12" Type="http://schemas.openxmlformats.org/officeDocument/2006/relationships/hyperlink" Target="https://www.youtube.com/watch?v=xysL8o9mg4I" TargetMode="External"/><Relationship Id="rId17" Type="http://schemas.openxmlformats.org/officeDocument/2006/relationships/hyperlink" Target="https://www.researchgate.net/journal/1068-316X_Psychology_Crime_and_Law" TargetMode="External"/><Relationship Id="rId25" Type="http://schemas.openxmlformats.org/officeDocument/2006/relationships/hyperlink" Target="https://www.ted.com/talks/elizabeth_loftus_%20the_fiction_of_memory" TargetMode="External"/><Relationship Id="rId33" Type="http://schemas.openxmlformats.org/officeDocument/2006/relationships/hyperlink" Target="http://revistas.pucp.edu.pe/index.php/" TargetMode="External"/><Relationship Id="rId2" Type="http://schemas.openxmlformats.org/officeDocument/2006/relationships/hyperlink" Target="http://www.fda.gov/cder/drug/antidepressants/default.htm" TargetMode="External"/><Relationship Id="rId16" Type="http://schemas.openxmlformats.org/officeDocument/2006/relationships/hyperlink" Target="http://www.theinvisiblegorilla.com/videos.html" TargetMode="External"/><Relationship Id="rId20" Type="http://schemas.openxmlformats.org/officeDocument/2006/relationships/hyperlink" Target="https://www.researchgate.net/publication/230066111_The_Myth_of_Repressed_Memory_and_the_Realities_of_Science" TargetMode="External"/><Relationship Id="rId29" Type="http://schemas.openxmlformats.org/officeDocument/2006/relationships/hyperlink" Target="https://agora.stanford.edu/sjls/images/pdf/engelhardt.pdf" TargetMode="External"/><Relationship Id="rId1" Type="http://schemas.openxmlformats.org/officeDocument/2006/relationships/hyperlink" Target="http://www.clerus.org/bibliaclerusonline/es/bvo.htm" TargetMode="External"/><Relationship Id="rId6" Type="http://schemas.openxmlformats.org/officeDocument/2006/relationships/hyperlink" Target="https://www.youtube.com/watch?v=GAEf1cP_%20NiY&amp;feature=iv&amp;src_vid=IYqgJAsTUMQ&amp;anno%20tation_id=channel%3A58bb6bf7-0000-2df7-a47c-001a114cadfc" TargetMode="External"/><Relationship Id="rId11" Type="http://schemas.openxmlformats.org/officeDocument/2006/relationships/hyperlink" Target="http://scholarship.law.cornell.edu/cgi/viewcontent.cgi?article=1707&amp;context=facpub" TargetMode="External"/><Relationship Id="rId24" Type="http://schemas.openxmlformats.org/officeDocument/2006/relationships/hyperlink" Target="https://www.ncbi.nlm.nih.gov/pubmed/17328368" TargetMode="External"/><Relationship Id="rId32" Type="http://schemas.openxmlformats.org/officeDocument/2006/relationships/hyperlink" Target="http://dx.doi.org/10.2139/ssrn.2063186" TargetMode="External"/><Relationship Id="rId5" Type="http://schemas.openxmlformats.org/officeDocument/2006/relationships/hyperlink" Target="https://www.youtube.com/watch?v=euRfDtIL7cg" TargetMode="External"/><Relationship Id="rId15" Type="http://schemas.openxmlformats.org/officeDocument/2006/relationships/hyperlink" Target="http://scholars.law.unlv.edu/nlj/vol15/iss2/3" TargetMode="External"/><Relationship Id="rId23" Type="http://schemas.openxmlformats.org/officeDocument/2006/relationships/hyperlink" Target="https://webfiles.uci.edu/eloftus/Davis_Loftus_Misinformation_HandbookChapScan07.pdf?uniq=e418yu" TargetMode="External"/><Relationship Id="rId28" Type="http://schemas.openxmlformats.org/officeDocument/2006/relationships/hyperlink" Target="https://www.ncjrs.gov/pdffiles1/nij/178240.pdf" TargetMode="External"/><Relationship Id="rId10" Type="http://schemas.openxmlformats.org/officeDocument/2006/relationships/hyperlink" Target="https://www.dcbar.org/bar-resources/publications/washington-lawyer/articles/november-2014-eyewitness.cfm" TargetMode="External"/><Relationship Id="rId19" Type="http://schemas.openxmlformats.org/officeDocument/2006/relationships/hyperlink" Target="http://scholar.harvard.edu/files/schacterlab/files/schacter_american_psychologist_1999.pdf" TargetMode="External"/><Relationship Id="rId31" Type="http://schemas.openxmlformats.org/officeDocument/2006/relationships/hyperlink" Target="https://ssrn.com/abstract=2063186" TargetMode="External"/><Relationship Id="rId4" Type="http://schemas.openxmlformats.org/officeDocument/2006/relationships/hyperlink" Target="mailto:lortiz@blplegal.com" TargetMode="External"/><Relationship Id="rId9" Type="http://schemas.openxmlformats.org/officeDocument/2006/relationships/hyperlink" Target="http://www.usanetwork.com/suits/cast/mike-ross" TargetMode="External"/><Relationship Id="rId14" Type="http://schemas.openxmlformats.org/officeDocument/2006/relationships/hyperlink" Target="http://scholarship.law.cornell.edu/cgi/viewcontent.cgi?article=1707&amp;context=facpub" TargetMode="External"/><Relationship Id="rId22" Type="http://schemas.openxmlformats.org/officeDocument/2006/relationships/hyperlink" Target="https://webfiles.uci.edu/eloftus/Loftus_ScientificAmerican_Good97.pdf" TargetMode="External"/><Relationship Id="rId27" Type="http://schemas.openxmlformats.org/officeDocument/2006/relationships/hyperlink" Target="http://revistas.pucp.edu.pe/index.php/iusetveritas/article/view/12038" TargetMode="External"/><Relationship Id="rId30" Type="http://schemas.openxmlformats.org/officeDocument/2006/relationships/hyperlink" Target="http://www.harvardlawreview.org/wp-content/uploads/pdfs/vol125_state_v_henderson.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85AED-F805-4F62-974B-D1336D167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674</Pages>
  <Words>212537</Words>
  <Characters>1168958</Characters>
  <Application>Microsoft Office Word</Application>
  <DocSecurity>0</DocSecurity>
  <Lines>9741</Lines>
  <Paragraphs>2757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Artavia</dc:creator>
  <cp:keywords/>
  <dc:description/>
  <cp:lastModifiedBy>Sergio Artavia</cp:lastModifiedBy>
  <cp:revision>18</cp:revision>
  <dcterms:created xsi:type="dcterms:W3CDTF">2017-04-05T21:17:00Z</dcterms:created>
  <dcterms:modified xsi:type="dcterms:W3CDTF">2017-04-06T14:55:00Z</dcterms:modified>
</cp:coreProperties>
</file>